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35" w:rsidRPr="00756F2B" w:rsidRDefault="00001735" w:rsidP="00756F2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6F2B">
        <w:rPr>
          <w:rFonts w:ascii="Georgia" w:eastAsia="Times New Roman" w:hAnsi="Georgia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9353FB3" wp14:editId="1AD9A42D">
            <wp:simplePos x="0" y="0"/>
            <wp:positionH relativeFrom="column">
              <wp:posOffset>2571750</wp:posOffset>
            </wp:positionH>
            <wp:positionV relativeFrom="paragraph">
              <wp:posOffset>-182245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2B" w:rsidRPr="00756F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436"/>
        <w:gridCol w:w="851"/>
        <w:gridCol w:w="283"/>
        <w:gridCol w:w="283"/>
        <w:gridCol w:w="3749"/>
        <w:gridCol w:w="446"/>
        <w:gridCol w:w="1334"/>
      </w:tblGrid>
      <w:tr w:rsidR="00001735" w:rsidRPr="00001735" w:rsidTr="00001735">
        <w:trPr>
          <w:trHeight w:hRule="exact" w:val="1134"/>
        </w:trPr>
        <w:tc>
          <w:tcPr>
            <w:tcW w:w="9464" w:type="dxa"/>
            <w:gridSpan w:val="10"/>
          </w:tcPr>
          <w:p w:rsidR="00001735" w:rsidRPr="00001735" w:rsidRDefault="00001735" w:rsidP="00001735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ar-SA"/>
              </w:rPr>
            </w:pPr>
            <w:r w:rsidRPr="00001735">
              <w:rPr>
                <w:rFonts w:ascii="Georgia" w:eastAsia="Times New Roman" w:hAnsi="Georgia" w:cs="Times New Roman"/>
                <w:b/>
                <w:sz w:val="24"/>
                <w:szCs w:val="24"/>
                <w:lang w:eastAsia="ar-SA"/>
              </w:rPr>
              <w:t>Муниципальное образование Октябрьский район</w:t>
            </w:r>
          </w:p>
          <w:p w:rsidR="00001735" w:rsidRPr="00001735" w:rsidRDefault="00001735" w:rsidP="00001735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ar-SA"/>
              </w:rPr>
            </w:pPr>
          </w:p>
          <w:p w:rsidR="00001735" w:rsidRPr="00001735" w:rsidRDefault="00001735" w:rsidP="00001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АДМИНИСТРАЦИЯ ОКТЯБРЬСКОГО РАЙОНА</w:t>
            </w:r>
          </w:p>
          <w:p w:rsidR="00001735" w:rsidRPr="00001735" w:rsidRDefault="00001735" w:rsidP="00001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  <w:p w:rsidR="00001735" w:rsidRPr="00001735" w:rsidRDefault="00001735" w:rsidP="00001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ar-SA"/>
              </w:rPr>
              <w:t>ПОСТАНОВЛЕНИЕ</w:t>
            </w:r>
          </w:p>
        </w:tc>
      </w:tr>
      <w:tr w:rsidR="00001735" w:rsidRPr="00001735" w:rsidTr="0000173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ind w:right="-29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28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left w:val="nil"/>
              <w:right w:val="nil"/>
            </w:tcBorders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  <w:tr w:rsidR="00001735" w:rsidRPr="00001735" w:rsidTr="00001735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001735" w:rsidRPr="00001735" w:rsidRDefault="00001735" w:rsidP="00001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пгт</w:t>
            </w:r>
            <w:proofErr w:type="spellEnd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Октябрьское</w:t>
            </w:r>
          </w:p>
        </w:tc>
      </w:tr>
    </w:tbl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внесении изменения в постановление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Октябрьского района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06.02.2018 № 231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Default="00001735" w:rsidP="00001735">
      <w:pPr>
        <w:tabs>
          <w:tab w:val="left" w:pos="9735"/>
        </w:tabs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Default="00001735" w:rsidP="00001735">
      <w:pPr>
        <w:tabs>
          <w:tab w:val="left" w:pos="9735"/>
        </w:tabs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изменение в постановление администрации Октябрьского района </w:t>
      </w:r>
      <w:r w:rsidR="00596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06.02.2018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231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иных межбюджетных трансфертов из бюджета Октябрьского района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инициативного бюджетирования»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изложив  приложение  в новой редакции,  согласно приложению.</w:t>
      </w:r>
    </w:p>
    <w:p w:rsidR="0028112D" w:rsidRPr="00001735" w:rsidRDefault="0028112D" w:rsidP="00001735">
      <w:pPr>
        <w:tabs>
          <w:tab w:val="left" w:pos="9735"/>
        </w:tabs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00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постановление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официальном сетевом издании «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октвести.ру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01735" w:rsidRPr="00001735" w:rsidRDefault="0028112D" w:rsidP="00001735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</w:t>
      </w:r>
      <w:r w:rsidR="00001735"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постановления возложить на заместителя </w:t>
      </w:r>
      <w:proofErr w:type="gramStart"/>
      <w:r w:rsidR="00001735"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 Октябрьского</w:t>
      </w:r>
      <w:proofErr w:type="gramEnd"/>
      <w:r w:rsidR="00001735"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001735" w:rsidRDefault="00001735" w:rsidP="00001735">
      <w:pPr>
        <w:tabs>
          <w:tab w:val="left" w:pos="1134"/>
        </w:tabs>
        <w:spacing w:after="0" w:line="240" w:lineRule="auto"/>
        <w:ind w:left="709" w:right="-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112D" w:rsidRPr="00001735" w:rsidRDefault="0028112D" w:rsidP="00001735">
      <w:pPr>
        <w:tabs>
          <w:tab w:val="left" w:pos="1134"/>
        </w:tabs>
        <w:spacing w:after="0" w:line="240" w:lineRule="auto"/>
        <w:ind w:left="709" w:right="-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0173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Исполняющий обязанности</w:t>
      </w:r>
    </w:p>
    <w:p w:rsidR="00001735" w:rsidRPr="00001735" w:rsidRDefault="00001735" w:rsidP="000017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0173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главы Октябрьского р</w:t>
      </w:r>
      <w:r w:rsidR="002811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айона</w:t>
      </w:r>
      <w:r w:rsidR="002811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2811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2811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2811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2811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2811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  <w:t xml:space="preserve">                Н.В. Хромов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112D" w:rsidRDefault="0028112D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112D" w:rsidRDefault="0028112D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112D" w:rsidRDefault="0028112D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112D" w:rsidRPr="00001735" w:rsidRDefault="0028112D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Исполнитель: 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председателя комитета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управлению муниципальными финансами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Степанович М.В., тел. 28-067</w:t>
      </w: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735" w:rsidRPr="00001735" w:rsidRDefault="00001735" w:rsidP="000017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6F2B" w:rsidRDefault="00756F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01735" w:rsidRPr="00001735" w:rsidRDefault="00001735" w:rsidP="00001735">
      <w:pPr>
        <w:spacing w:after="0" w:line="240" w:lineRule="auto"/>
        <w:ind w:firstLine="56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1735">
        <w:rPr>
          <w:rFonts w:ascii="Times New Roman" w:hAnsi="Times New Roman"/>
          <w:sz w:val="24"/>
          <w:szCs w:val="24"/>
        </w:rPr>
        <w:lastRenderedPageBreak/>
        <w:t xml:space="preserve">  Приложение</w:t>
      </w:r>
    </w:p>
    <w:p w:rsidR="00001735" w:rsidRPr="00001735" w:rsidRDefault="00001735" w:rsidP="00001735">
      <w:pPr>
        <w:spacing w:after="0" w:line="240" w:lineRule="auto"/>
        <w:ind w:left="5656"/>
        <w:rPr>
          <w:rFonts w:ascii="Times New Roman" w:hAnsi="Times New Roman"/>
          <w:sz w:val="24"/>
          <w:szCs w:val="24"/>
        </w:rPr>
      </w:pPr>
      <w:r w:rsidRPr="00001735">
        <w:rPr>
          <w:rFonts w:ascii="Times New Roman" w:hAnsi="Times New Roman"/>
          <w:sz w:val="24"/>
          <w:szCs w:val="24"/>
        </w:rPr>
        <w:t xml:space="preserve">  к постановлению администрации   </w:t>
      </w:r>
    </w:p>
    <w:p w:rsidR="00001735" w:rsidRPr="00001735" w:rsidRDefault="00001735" w:rsidP="00001735">
      <w:pPr>
        <w:spacing w:after="0" w:line="240" w:lineRule="auto"/>
        <w:ind w:left="5656"/>
        <w:rPr>
          <w:rFonts w:ascii="Times New Roman" w:hAnsi="Times New Roman"/>
          <w:sz w:val="24"/>
          <w:szCs w:val="24"/>
        </w:rPr>
      </w:pPr>
      <w:r w:rsidRPr="00001735">
        <w:rPr>
          <w:rFonts w:ascii="Times New Roman" w:hAnsi="Times New Roman"/>
          <w:sz w:val="24"/>
          <w:szCs w:val="24"/>
        </w:rPr>
        <w:t xml:space="preserve">  Октябрьского района</w:t>
      </w:r>
    </w:p>
    <w:p w:rsidR="00001735" w:rsidRPr="00001735" w:rsidRDefault="00580362" w:rsidP="00001735">
      <w:pPr>
        <w:spacing w:after="0" w:line="240" w:lineRule="auto"/>
        <w:ind w:firstLine="56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«____»_______ 2019</w:t>
      </w:r>
      <w:r w:rsidR="00001735" w:rsidRPr="00001735">
        <w:rPr>
          <w:rFonts w:ascii="Times New Roman" w:hAnsi="Times New Roman"/>
          <w:sz w:val="24"/>
          <w:szCs w:val="24"/>
        </w:rPr>
        <w:t xml:space="preserve"> №  _____</w:t>
      </w:r>
    </w:p>
    <w:p w:rsidR="00001735" w:rsidRPr="00001735" w:rsidRDefault="00001735" w:rsidP="0000173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80362" w:rsidRPr="00580362" w:rsidRDefault="00580362" w:rsidP="00580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580362" w:rsidRPr="00580362" w:rsidRDefault="00580362" w:rsidP="00580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</w:t>
      </w:r>
      <w:r w:rsidRPr="00580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580362" w:rsidRPr="00580362" w:rsidRDefault="00580362" w:rsidP="00580362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580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06.02.2018 № 231</w:t>
      </w:r>
    </w:p>
    <w:p w:rsidR="00580362" w:rsidRPr="00580362" w:rsidRDefault="00580362" w:rsidP="00580362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580362">
      <w:pPr>
        <w:tabs>
          <w:tab w:val="left" w:pos="5799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001735" w:rsidRPr="00001735" w:rsidRDefault="00001735" w:rsidP="0000173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иных межбюджетных трансфертов из бюджета Октябрьского района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инициативного бюджетирования</w:t>
      </w:r>
    </w:p>
    <w:p w:rsidR="00001735" w:rsidRPr="00001735" w:rsidRDefault="00001735" w:rsidP="0000173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</w:t>
      </w:r>
    </w:p>
    <w:p w:rsidR="00001735" w:rsidRPr="00001735" w:rsidRDefault="00001735" w:rsidP="0000173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устанавливает механизм предоставления из бюджета Октябрьского района иных межбюджетных трансфертов бюджетам городских и сельских поселений, входящих в состав Октябрьского района (далее - поселения)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инициативного бюджетирования (далее - проект).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Размеры иных межбюджетных трансфертов бюджетам поселений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(далее - иные межбюджетные трансферты) определяются по результатам конкурсного отбора проектов инициативного бюджетирования в Октябрьском районе (далее - конкурсный отбор), проводимого в порядке, установленном разделом 2 Положения.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Иные межбюджетные трансферты предоставляются в рамках муниципальной программы «Управление муниципальными финансами в </w:t>
      </w:r>
      <w:r w:rsidR="005803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Октябрьский район»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постановлением администрации Октя</w:t>
      </w:r>
      <w:r w:rsidR="0058036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брьского района от 19.11.2018 № 2591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Главным распорядителем средств бюджета Октябрьского района по предоставлению иных межбюджетных трансфертов является Комитет по управлению муниципальными финансами администрации Октябрьского района (далее - главный распорядитель бюджетных средств).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распорядитель бюджетных средств готовит проект постановления администрации Октябрьского района о распределении иных межбюджетных трансфертов на основании протокола заседания комиссии по итогам конкурсного отбора.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рабочих дней со дня принятия постановления администрации Октябрьского района о распределении иных межбюджетных трансфертов по итогам конкурсного отбора, главный распорядитель бюджетных средств заключает соглашения о предоставлении иных межбюджетных трансфертов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инициативного бюджетирования (далее - соглашение).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должно содержать следующую информацию: предмет соглашения, цели и (или) перечень мероприятий, объем иных межбюджетных трансфертов, порядок и сроки представления отчета об использовании иных межбюджетных трансфертов, ответственность сторон, срок действия соглашения.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Иные межбюджетные трансферты предоставляются бюджетам поселений при условии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проекта со стороны бюджета поселения и со стороны населения поселения.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межбюджетные трансферты предоставляются в пределах лимитов бюджетных обязательств, предусмотренных сводной бюджетной росписью бюджета Октябрьского района на текущий финансовый год, очередной финансовый год и плановый период.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межбюджетные трансферты носят целевой характер и не могут быть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использованы на иные цели.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Перечисление иных межбюджетных трансфертов поселениям осуществляется в течение 5 рабочих дней после заключения соглашений.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В случае образования экономии в результате осуществления закупок и (или) в результате выполненных работ стоимость объекта в рамках реализации проекта формируется пропорционально долям участников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экономия средств иных межбюджетных трансфертов подлежит возврату в бюджет Октябрьского района до 20 декабря текущего финансового года.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Контроль за целевым использованием иных межбюджетных трансфертов осуществляют органы муниципального финансового контроля Октябрьского района в пределах полномочий, предусмотренных действующим законодательством Российской Федерации, Ханты-Мансийского автономного округа - Югры, муниципальными правовыми актами.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фактов нецелевого использования иных межбюджетных трансфертов принимается решение и направляется требование о возврате иных межбюджетных трансфертов в бюджет Октябрьского района в срок не более 10 (десяти) рабочих дней, но не позднее 20 декабря текущего финансового года.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данного требования их возврат осуществляется в судебном порядке в соответствии с законодательством Российской Федерации.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Неиспользованный остаток иных межбюджетных трансфертов подлежит возврату в доход бюджета Октябрьского района не позднее 20 декабря текущего финансового года.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неиспользованный остаток иных межбюджетных трансфертов не перечислен в доход бюджета Октябрьского района, возврат осуществляется в судебном порядке в соответствии с законодательством Российской Федерации.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4"/>
      <w:bookmarkEnd w:id="1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проведения конкурсного отбора 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Конкурсный отбор проектов проводится ежегодно и направлен на поддержку поселений в осуществлении местного самоуправления посредством определения социально значимых проектов на территориях поселений с привлечением граждан и организаций.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 конкурсному отбору допускаются проекты, прошедшие конкурсный отбор проектов инициативного бюджетирования в поселении и направленные на решение вопросов местного значения поселения. Указанный конкурсный отбор проводится в поселениях самостоятельно. 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конкурсном отборе поселения имеют проекты, подготовленные жителями поселений, общественными организациями,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некоммерческими организациями,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предпринимателями, юридическими лицами, осуществляющими свою деятельность на территории Октябрьского района.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одного поселения на конкурсный отбор принимается не более одной заявки (одного проекта).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проекта не ограничена, сумма иных межбюджетных трансфертов бюджетам городских и сельских поселений Октябрьского района из бюджета Октябрьского района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инициативного бюджетирования не должна превышать размера, установленного на соответствующий финансовый год муниципальной программой «Управление муниципальными финансами в 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Октябрьский район»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постановлением админис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Октябрьского района от 19.11.2018 № 2591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жилищно-коммунального хозяйства и строительства администрации Октябрьского района оказывают содействие поселениям в подготовке и проверке сметной документации.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Организатором конкурсного отбора является отдел по работе с органами местного самоуправления поселений и общественностью администрации Октябрьского района (далее - организатор конкурсного отбора).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конкурсного отбора являются администрации городских и сельских поселений, входящих в состав Октябрьского района (далее - участники конкурсного отбора).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конкурсного отбора осуществляется комиссией по проведению конкурсного отбора проектов инициативного бюджетирования в Октябрьском районе (далее - комиссия).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Извещение о проведении конкурсного отбора размещается на официальном веб-сайте Октябрьского района не позднее 30 календарных дней до даты окончания срока подачи заявок.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организации и проведения конкурсного отбора организатор конкурсного отбора: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извещение о проведении конкурсного отбора, содержащее информацию о сроках начала и окончания предоставления заявок, адресах для приема заявок, сроках заседания комиссии, контактную информацию для получения консультаций по вопросам проведения конкурсного отбора; 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прием, учет и хранение поступивших проектов, а также документов и материалов к ним;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экспертизу поступивших проектов на соответствие требованиям, установленными пунктами 2.2, 2.10, 2.11 Положения;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организационно-техническое обеспечение деятельности комиссии;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сведения участников конкурсного отбора его результаты.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Победителями конкурсного отбора могут быть несколько проектов, набравших наибольшее количество баллов, но в пределах объема средств, предусмотренных в бюджете Октябрьского района на указанные цели. 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Критерии конкурсного отбора приведены в приложении № 3 к Положению.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конкурсного отбора становится проект, набравший наибольшее количество баллов. </w:t>
      </w:r>
      <w:bookmarkStart w:id="2" w:name="P90"/>
      <w:bookmarkEnd w:id="2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проекты набрали одинаковое наибольшее количество баллов, то победителем конкурсного отбора становится проект, поступивший организатору конкурсного отбора раньше в соответствии с регистрацией в журнале регистрации проектов.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участия в конкурсном отборе поступил один проект, то конкурсный отбор признается несостоявшимся, и победителем становится данный проект, при условии соответствия требованиям, установленными пунктами 2.2, 2.10, 2.11 Положения.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Высвободившиеся  иные межбюджетные трансферты, по результатам проведения закупок, могут быть направлены на проекты, набравшие максимальное количество баллов, после победителя конкурсного отбора в порядке убывания.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Для участия в конкурсном отборе участники конкурсного отбора направляют организатору конкурсного отбора в срок, указанный в извещении, следующие документы:</w:t>
      </w:r>
    </w:p>
    <w:p w:rsidR="00001735" w:rsidRPr="00001735" w:rsidRDefault="00756F2B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154" w:history="1">
        <w:r w:rsidR="00001735" w:rsidRPr="000017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заявку</w:t>
        </w:r>
      </w:hyperlink>
      <w:r w:rsidR="00001735"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конкурсном отборе проектов инициативного бюджетирования по форме согласно приложению № 1 к Положению;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</w:t>
      </w:r>
      <w:hyperlink w:anchor="P437" w:history="1">
        <w:r w:rsidRPr="000017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перечне</w:t>
        </w:r>
      </w:hyperlink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для участия в конкурсном отборе согласно приложению № 2 к Положению.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конкурсного отбора дополнительно может представить материалы, подтверждающие актуальность и остроту проблемы, на решение которой направлена реализация проекта (с включением их в </w:t>
      </w:r>
      <w:hyperlink w:anchor="P437" w:history="1">
        <w:r w:rsidRPr="000017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 форме согласно приложению № 2 к Положению).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Комплект документов (заявка) представляется организатору конкурсного отбора в установленные извещением сроки в прошнурованном и пронумерованном виде и в электронном формате.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Представленный организатору конкурсного отбора комплект документов (заявка) для участия в конкурсном отборе подлежит регистрации в журнале регистрации проектов под порядковым номером с указанием даты и точного времени его представления (часы и минуты). На копии представленного перечня документов делается отметка о дате и времени представления проекта для участия в конкурсном отборе с указанием номера такой заявки.</w:t>
      </w:r>
      <w:bookmarkStart w:id="3" w:name="P96"/>
      <w:bookmarkEnd w:id="3"/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Представленный на конкурсный отбор проект должен соответствовать следующим требованиям: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проект не должен получать средства из бюджетов бюджетной системы Российской Федерации, на основании иных нормативных правовых актов или муниципальных правовых актов на цели, заявленные в проекте;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ориентирован на решение конкретной проблемы в рамках вопросов местного значения поселения, входящего в состав Октябрьского района;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не содержит мероприятия, направленные на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проект, направленный на строительство, капитальный ремонт, реконструкцию объектов должен иметь заключение по определению достоверности сметной стоимости (ценовую экспертизу).</w:t>
      </w:r>
    </w:p>
    <w:p w:rsidR="00F0627B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Участники конкурсного отбора не менее чем за 5 дней до даты проведения конкурсного отбора имеют право отозвать свой проект и отказаться от участия в конкурсном отборе, сообщив об этом в письменном виде организатору конкурсного отбора.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В случае если проект представлен с нарушением требований, установленных пунктами 2.2, 2.10, 2.11 Положения, проект к участию в конкурсном отборе не допускается, при этом организатор конкурсного отбора направляет мотивированное уведомление в течение 15 рабочих дней после даты окончания приема проектов и возвращает поданные проекты и прилагаемые документы.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представленные после окончания даты их приема, указанной в извещении о проведении конкурсного отбора, не принимаются и возвращаются участникам конкурсного отбора.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и порядок ее работы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является коллегиальным органом, созданным для проведения конкурсного отбора проектов. Состав комиссии формируется из числа представителей администрации Октябрьского района, депутатов представительных органов местного самоуправления Октябрьского района</w:t>
      </w:r>
      <w:r w:rsidR="00ED2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жителей Октябрьского района, выбранных из числа подавших свои проекты к рассмотрению и представителей администраций городских и сельских поселений, входящих в состав Октябрьского района, участвующих в конкурсном отборе проектов. Состав комиссии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постановлением администрации Октябрьского района.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Основными задачами комиссии являются: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 на участие в конкурсном отборе;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проектов в соответствии с </w:t>
      </w:r>
      <w:hyperlink w:anchor="P479" w:history="1">
        <w:r w:rsidRPr="000017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критериями</w:t>
        </w:r>
      </w:hyperlink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проектов, установленными в соответствии с приложением № 3 к Положению;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рейтинга проектов и определение проектов, подлежащих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Октябрьского района;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высвободившегося объема иных межбюджетных трансфертов, по результатам проведения закупок, между другими участниками конкурсного отбора, предусмотренного пунктом 2.7 Положения.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В состав комиссии входят председатель комиссии, его заместитель, секретарь комиссии, члены комиссии. Для участия в муниципальной комиссии могут приглашаться независимые эксперты.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Заседание комиссии считается правомочным при условии присутствия на нем более половины от утвержденного состава ее членов. 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Председатель муниципальной комиссии: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общее руководство работой;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заседание правомочным или выносит решение о его переносе из-за отсутствия необходимого количества членов;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проект повестки очередного заседания комиссии;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выносит на обсуждение комиссии вопрос о привлечении к работе независимых экспертов.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временного отсутствия председателя комиссии его полномочия исполняет заместитель председателя комиссии.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Члены комиссии: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на заседаниях комиссии и принимают решения по вопросам, отнесенным к ее компетенции;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рассмотрение и оценку проектов;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участие в формировании рейтинга проектов и определении проектов, подлежащих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Октябрьского района;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Секретарь комиссии: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подготовку материалов к заседанию комиссии;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членов комиссии об очередных ее заседаниях и о повестке дня;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протоколы заседаний комиссии.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Решения комиссии принимается открытым голосованием простым большинством голосов. При равенстве голосов решающим является голос председателя комиссии.</w:t>
      </w:r>
      <w:bookmarkStart w:id="4" w:name="P138"/>
      <w:bookmarkEnd w:id="4"/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По результатам заседания комиссии в трехдневный срок составляется протокол, который подписывается всеми присутствовавшими на заседании членами, секретарем, заместителем председателя, председателем комиссии.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комиссии является основанием для принятия решения о выделении иных межбюджетных трансфертов из бюджета Октябрьского района.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Информационное сообщение о результатах конкурсного отбора на основании протокола заседания комиссии размещается на официальном веб-сайте Октябрьского района не позднее следующего рабочего дня после истечения срока, предусмотренного </w:t>
      </w:r>
      <w:hyperlink w:anchor="P138" w:history="1">
        <w:r w:rsidRPr="000017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3.9</w:t>
        </w:r>
      </w:hyperlink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0A" w:rsidRDefault="00F2470A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предоставлении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межбюджетных трансфертов из бюджета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инициативного бюджетирования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54"/>
      <w:bookmarkEnd w:id="5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конкурсном отборе проектов инициативного бюджетирования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участника конкурсного отбора)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проекта инициативного бюджетирования (далее проект):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проекта: 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(населенный пункт)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Численность населения муниципального образования: 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Наименование вопроса местного значения, в рамках которого реализуется проект: ______________________________________________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вопроса местного значения, в рамках которого реализуется проект в соответствии с Федеральным </w:t>
      </w:r>
      <w:hyperlink r:id="rId6" w:history="1">
        <w:r w:rsidRPr="00001735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lang w:eastAsia="ru-RU"/>
          </w:rPr>
          <w:t>законом</w:t>
        </w:r>
      </w:hyperlink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Основание для исполнения полномочия по решению вопроса местного значения, в рамках которого реализуется проект (отметить нужный вариант):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06.10.2003 № 131-ФЗ «Об   общих   принципах организации местного самоуправления в Российской Федерации»;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Соглашение о передаче осуществления части полномочий по решению вопросов местного значения (в случае наличия прикладывается к заявке).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Описание проекта: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задачи проекта: _______________________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Описание проблемы, на решение которой направлен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проект: 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(суть проблемы, ее негативные социально-экономические последствия, текущее состояние объекта, год постройки объекта общественной инфраструктуры, предусмотренного проектом, степень неотложности решения и т.д.)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6.3.Информация о собственнике объекта: 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Ожидаемые результаты: _______________________________________________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(указывается, как повлияет реализация проекта на ситуацию в муниципальном образовании, какой будет получен социально-экономический эффект)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Ожидаемый срок реализации проекта: 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Наличие технической документации/локальный сметный расчет ДА/НЕТ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A80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(описание существующей технической документации/сметы проекта)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8.  При условии отсутствия сметы, составленной по унифицированной форме, возможно использовать представленную форму: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1191"/>
        <w:gridCol w:w="737"/>
        <w:gridCol w:w="794"/>
        <w:gridCol w:w="794"/>
        <w:gridCol w:w="794"/>
        <w:gridCol w:w="1417"/>
      </w:tblGrid>
      <w:tr w:rsidR="00001735" w:rsidRPr="00001735" w:rsidTr="00001735">
        <w:tc>
          <w:tcPr>
            <w:tcW w:w="567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затрат</w:t>
            </w:r>
          </w:p>
        </w:tc>
        <w:tc>
          <w:tcPr>
            <w:tcW w:w="1191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стоимость (тыс. руб.)</w:t>
            </w:r>
          </w:p>
        </w:tc>
        <w:tc>
          <w:tcPr>
            <w:tcW w:w="3119" w:type="dxa"/>
            <w:gridSpan w:val="4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участников проекта (тыс. руб.), из них:</w:t>
            </w:r>
          </w:p>
        </w:tc>
        <w:tc>
          <w:tcPr>
            <w:tcW w:w="1417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средств бюджета Октябрьского района (тыс. руб.)</w:t>
            </w:r>
          </w:p>
        </w:tc>
      </w:tr>
      <w:tr w:rsidR="00001735" w:rsidRPr="00001735" w:rsidTr="00001735">
        <w:tc>
          <w:tcPr>
            <w:tcW w:w="567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ДС1</w:t>
            </w: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 2</w:t>
            </w: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ДС3</w:t>
            </w: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проверка технической документации</w:t>
            </w:r>
          </w:p>
        </w:tc>
        <w:tc>
          <w:tcPr>
            <w:tcW w:w="119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работ: (указать)</w:t>
            </w:r>
          </w:p>
        </w:tc>
        <w:tc>
          <w:tcPr>
            <w:tcW w:w="119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материалов: (указать)</w:t>
            </w:r>
          </w:p>
        </w:tc>
        <w:tc>
          <w:tcPr>
            <w:tcW w:w="119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оборудования: (указать)</w:t>
            </w:r>
          </w:p>
        </w:tc>
        <w:tc>
          <w:tcPr>
            <w:tcW w:w="119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расходы: (указать)</w:t>
            </w:r>
          </w:p>
        </w:tc>
        <w:tc>
          <w:tcPr>
            <w:tcW w:w="119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nil"/>
            </w:tcBorders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35">
        <w:rPr>
          <w:rFonts w:ascii="Times New Roman" w:hAnsi="Times New Roman" w:cs="Times New Roman"/>
          <w:sz w:val="24"/>
          <w:szCs w:val="24"/>
        </w:rPr>
        <w:t>где</w:t>
      </w: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35">
        <w:rPr>
          <w:rFonts w:ascii="Times New Roman" w:hAnsi="Times New Roman" w:cs="Times New Roman"/>
          <w:sz w:val="24"/>
          <w:szCs w:val="24"/>
        </w:rPr>
        <w:t>ДС1 - Денежные средства бюджета поселения;</w:t>
      </w: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35">
        <w:rPr>
          <w:rFonts w:ascii="Times New Roman" w:hAnsi="Times New Roman" w:cs="Times New Roman"/>
          <w:sz w:val="24"/>
          <w:szCs w:val="24"/>
        </w:rPr>
        <w:t>ДС2 - Денежные средства населения;</w:t>
      </w:r>
    </w:p>
    <w:p w:rsidR="00001735" w:rsidRPr="00001735" w:rsidRDefault="00001735" w:rsidP="00001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735">
        <w:rPr>
          <w:rFonts w:ascii="Times New Roman" w:hAnsi="Times New Roman" w:cs="Times New Roman"/>
          <w:sz w:val="24"/>
          <w:szCs w:val="24"/>
        </w:rPr>
        <w:t>ДС3 - Денежные средства юридических лиц, ИП, общественных организаций,</w:t>
      </w:r>
      <w:r w:rsidR="00E947E1">
        <w:rPr>
          <w:rFonts w:ascii="Times New Roman" w:hAnsi="Times New Roman" w:cs="Times New Roman"/>
          <w:sz w:val="24"/>
          <w:szCs w:val="24"/>
        </w:rPr>
        <w:t xml:space="preserve"> некоммерческих организаций,</w:t>
      </w:r>
      <w:r w:rsidRPr="00001735">
        <w:rPr>
          <w:rFonts w:ascii="Times New Roman" w:hAnsi="Times New Roman" w:cs="Times New Roman"/>
          <w:sz w:val="24"/>
          <w:szCs w:val="24"/>
        </w:rPr>
        <w:t xml:space="preserve"> за исключением предприятий и организаций муниципальной формы собственности.</w:t>
      </w: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35">
        <w:rPr>
          <w:rFonts w:ascii="Times New Roman" w:hAnsi="Times New Roman" w:cs="Times New Roman"/>
          <w:sz w:val="24"/>
          <w:szCs w:val="24"/>
        </w:rPr>
        <w:t>9. Информация для оценки заявки на участие в конкурсном отборе:</w:t>
      </w: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35">
        <w:rPr>
          <w:rFonts w:ascii="Times New Roman" w:hAnsi="Times New Roman" w:cs="Times New Roman"/>
          <w:sz w:val="24"/>
          <w:szCs w:val="24"/>
        </w:rPr>
        <w:t>9.1. Вклад участников реализации проекта в его финансирование:</w:t>
      </w: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35">
        <w:rPr>
          <w:rFonts w:ascii="Times New Roman" w:hAnsi="Times New Roman" w:cs="Times New Roman"/>
          <w:sz w:val="24"/>
          <w:szCs w:val="24"/>
        </w:rPr>
        <w:t>9.1.1. Планируемые источники финансирования мероприятий проекта:</w:t>
      </w:r>
    </w:p>
    <w:p w:rsidR="00001735" w:rsidRPr="00001735" w:rsidRDefault="00001735" w:rsidP="00001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257"/>
        <w:gridCol w:w="1247"/>
      </w:tblGrid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25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источников</w:t>
            </w:r>
          </w:p>
        </w:tc>
        <w:tc>
          <w:tcPr>
            <w:tcW w:w="124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поселения </w:t>
            </w:r>
          </w:p>
        </w:tc>
        <w:tc>
          <w:tcPr>
            <w:tcW w:w="124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от населения (денежные поступления от жителей) </w:t>
            </w:r>
            <w:hyperlink w:anchor="P297" w:history="1">
              <w:r w:rsidRPr="00001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24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5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спонсоров (денежные поступления от организаций и других внебюджетных источников) </w:t>
            </w:r>
            <w:hyperlink w:anchor="P297" w:history="1">
              <w:r w:rsidRPr="000017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 или вкладчика)</w:t>
            </w:r>
          </w:p>
        </w:tc>
        <w:tc>
          <w:tcPr>
            <w:tcW w:w="124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56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5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бюджета Октябрьского района</w:t>
            </w:r>
          </w:p>
        </w:tc>
        <w:tc>
          <w:tcPr>
            <w:tcW w:w="1247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--------------------------------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97"/>
      <w:bookmarkEnd w:id="6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прилагаются гарантийные письма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9.1.2.  Участие  населения  и  спонсоров  в реализации проекта в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неденежной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ДА/НЕТ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(описание </w:t>
      </w:r>
      <w:proofErr w:type="spellStart"/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неденежного</w:t>
      </w:r>
      <w:proofErr w:type="spellEnd"/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вклада: безвозмездные труд, строительные материалы,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неоплачиваемые работы и др.)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Социальная и экономическая эффективность от реализации проекта: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9.2.1. Прямые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проекта: 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(описание групп населения, которые будут регулярно пользоваться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результатами выполненного проекта)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9.2.2. Воздействие проекта на окружающую среду: 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(окажет ли проект существенное влияние на состояние окружающей среды,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описать, какое именно)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9.2.3. Эксплуатация и содержание объекта, предусмотренного проектом: _____ ДА/НЕТ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описание мероприятий, содержащее способы, которыми поселение и/или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специализированная организация будут содержать и эксплуатировать объект,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после завершения проекта, с указанием наличия (отсутствия) ресурсов для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функционирования объекта)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559"/>
        <w:gridCol w:w="1559"/>
        <w:gridCol w:w="1644"/>
      </w:tblGrid>
      <w:tr w:rsidR="00001735" w:rsidRPr="00001735" w:rsidTr="00001735">
        <w:tc>
          <w:tcPr>
            <w:tcW w:w="62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эксплуатации и содержанию объекта на первый год после завершения проекта</w:t>
            </w: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 (руб.)</w:t>
            </w: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спонсоров (руб.)</w:t>
            </w:r>
          </w:p>
        </w:tc>
        <w:tc>
          <w:tcPr>
            <w:tcW w:w="164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(руб.)</w:t>
            </w:r>
          </w:p>
        </w:tc>
      </w:tr>
      <w:tr w:rsidR="00001735" w:rsidRPr="00001735" w:rsidTr="00001735">
        <w:tc>
          <w:tcPr>
            <w:tcW w:w="62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62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62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62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35" w:rsidRPr="00001735" w:rsidTr="00001735">
        <w:tc>
          <w:tcPr>
            <w:tcW w:w="62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Участие населения и спонсоров в определении проекта и содействие в его реализации: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9.3.1. Число лиц, принявших участие в определении приоритетности проблемы в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предварительного рассмотрения: 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(согласно предварительному протоколу собрания, результатам анкетирования и т.д.)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9.3.2. Число лиц, принявших участие в собрании гражд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ан: 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(согласно протоколу собрания)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9.3.3.  Количество лиц (подписей) в поддержку проекта и принявших участие в определении     параметров     проекта     на    заключительном    собрании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(заполняется на основании заключительного протокола)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9.3.4.  Наличие видео и/или аудиозаписи с собрания граждан, на котором решался вопрос по участию в проекте: _______________________________ ДА/НЕТ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(прикладывается к заявке на магнитном или цифровом носителе)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9.4.  Использование средств массовой информации (далее -  СМИ) и иных способов информирования населения при реализации проекта: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9.4.1. Использовались ли СМИ для информирования населения в процессе отбора и подготовки проекта? ______________________________________________ ДА/НЕТ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(перечислить   и   приложить   к   заявке   публикации/ссылки, экземпляры полиграфической продукции, подтверждающие фактическое использование СМИ для информирования населения о проекте)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9.4.2. Проведение мероприятий, посвященных предварительному обсуждению проекта: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(перечисленные ниже мероприятия выбираются по усмотрению инициативной группы)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подписные листы в количестве _____________ штук;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анкеты в количестве ______________________ штук;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предварительные обсуждения в количестве _______ собраний;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подомовой обход населения в количестве ________ домохозяйств;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социальных сетях _______________________________________;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 (указать) ___________________________________________.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 заявке необходимо приложить документы (копии и своды подписных листов, анкет, фотографии и протоколы с предварительных обсуждений, фотографии и подписные листы с подомового обхода, ссылки на группу в соц. сетях и т.д.), подтверждающие фактическое проведение мероприятий, посвященных предварительному обсуждению проекта)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Сведения об инициативной группе: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инициативной группы 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</w:t>
      </w:r>
      <w:r w:rsidR="00E947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</w:t>
      </w: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Факс/e-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инициативной группы: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 ___________________________________________________________________________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17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полностью/контактный телефон)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Дополнительная информация и комментарии: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947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(сельского) поселения ____________________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(Ф.И.О. полностью)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предоставлении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межбюджетных трансфертов из бюджета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инициативного бюджетирования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437"/>
      <w:bookmarkEnd w:id="7"/>
      <w:r w:rsidRPr="0000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конкурсном отборе проектов инициативного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бюджетирования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(городского) поселения _____________ направляет следующие документы для участия в конкурсном отборе проектов инициативного бюджетирования: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для участия в конкурсном отборе проектов инициативного бюджетирования - на ______ л. в 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удостоверяющие право собственности на объект(ы), где будут проводиться работы в рамках проекта (за исключением многоквартирных жилых домов и вновь создаваемых объектов) на ______ л. в _________ экз.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проект направлен на обустройство источников нецентрализованного водоснабжения (родник, ключ, скважина, колодец), то дополнительно прилагается документ, подтверждающий качество воды;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стоимость проекта (техническая документация, локальный сметный расчет, прайс-лист на закупаемое оборудование или технику и т.д.) на _______ л. в _______экз.;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и своды опросные листов, анкет, фотографии и протоколы с предварительных обсуждений, фотографии и подписные листы с подомового обхода, ссылки на группу в соц. сетях и т.д.), подтверждающие фактическое проведение мероприятий, посвященных определению приоритетности проблемы в процессе ее предварительного рассмотрения и предварительному обсуждению проекта на ___________ л. в __________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информационных материалов, публикации, экземпляры полиграфической продукции, ссылки на Интернет- и ТВ-ресурсы, которые касаются информирования населения поселения в процессе отбора и реализации проекта, на ______ л. в 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протокол собрания жителей населенного пункта по определению приоритетности проблемы в процессе ее предварительного рассмотрения на ________ л. в _________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регистрации участников собраний жителей населенного пункта по определению параметров проекта на ____________ л. в ____________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фото- и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видеофиксацию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собраний жителей населенных пунктов на магнитном носителе;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заключительного собрания жителей населенного пункта в поддержку проекта и определению параметров проекта на ________________ л. в _________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выписку из решения о бюджете или сводной бюджетной росписи бюджета поселения о бюджетных ассигнованиях, предусмотренных на реализацию проекта в текущем году, заверенную главой администрации поселения (муниципального района) на ____________ </w:t>
      </w: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л. в _____________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гарантийные письма от организаций и других внебюджетных источников о готовности принять участие в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на _________ л. в 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вклад населения, организаций и других внебюджетных источников в реализацию проекта в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неденежной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на ________ л. в 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свидетельствующие о неудовлетворительном состоянии объекта, предлагаемого для реализации в рамках проекта, на _________ л. в ___________ экз.;</w:t>
      </w:r>
    </w:p>
    <w:p w:rsidR="00001735" w:rsidRPr="00001735" w:rsidRDefault="00001735" w:rsidP="000017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материалы, подтверждающие актуальность и остроту проблемы, на решение которой направлена реализация проекта, на _____________ л. в ________экз.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 и гарантирует, что вся информация, содержащаяся в заявке на участие в конкурсном отборе и настоящем перечне документов, является подлинной и достоверной.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(сельского) поселения _______________      Ф.И.О. 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подпись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предоставлении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межбюджетных трансфертов из бюджета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на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инициативного бюджетирования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479"/>
      <w:bookmarkEnd w:id="8"/>
      <w:r w:rsidRPr="0000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ПРОЕКТОВ ИНИЦИАТИВНОГО БЮДЖЕТИРОВАНИЯ</w:t>
      </w:r>
    </w:p>
    <w:p w:rsidR="00001735" w:rsidRPr="00001735" w:rsidRDefault="00001735" w:rsidP="000017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16"/>
        <w:gridCol w:w="2551"/>
        <w:gridCol w:w="1418"/>
      </w:tblGrid>
      <w:tr w:rsidR="00001735" w:rsidRPr="00001735" w:rsidTr="00001735">
        <w:tc>
          <w:tcPr>
            <w:tcW w:w="680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916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критериев оценки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001735" w:rsidRPr="00001735" w:rsidTr="00001735">
        <w:tc>
          <w:tcPr>
            <w:tcW w:w="680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6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1735" w:rsidRPr="00001735" w:rsidTr="00001735">
        <w:tc>
          <w:tcPr>
            <w:tcW w:w="680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6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участников реализации проекта в его финансирование: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со стороны бюджета поселения в границах Октябрьского района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40,01% до 49,99%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за счет средств населения в денежной форме (доля </w:t>
            </w:r>
            <w:proofErr w:type="spellStart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не менее 1% стоимости проекта)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1,01% до 19,99%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0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финансирования проекта за счет средств юридических лиц, индивидуальных предпринимателей,</w:t>
            </w:r>
            <w:r w:rsidR="0000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бщественных организаций</w:t>
            </w:r>
            <w:r w:rsidR="0000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некоммерческих организаций</w:t>
            </w: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денежной форме, за исключением денежных средств от предприятий и организаций муниципальной формы собственности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5,01% до 9,99%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0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населения в </w:t>
            </w:r>
            <w:proofErr w:type="spellStart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неденежной</w:t>
            </w:r>
            <w:proofErr w:type="spellEnd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(неоплачиваемый труд, материалы и др.)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предусматривается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предусматривается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юридических лиц, индивидуальных предпринимателей, общественных организаций</w:t>
            </w:r>
            <w:r w:rsidR="0000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некоммерческих организаций</w:t>
            </w: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неденежной</w:t>
            </w:r>
            <w:proofErr w:type="spellEnd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(неоплачиваемые работы, оборудование и др.)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предусматривается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предусматривается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6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экономическая эффективность реализации проекта: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населения, получающего выгоду от реализации проекта (прямых </w:t>
            </w:r>
            <w:proofErr w:type="spellStart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(процентов жителей муниципального образования) 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1,01% до 5%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5,01%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ли проект существенное положительное влияние на состояние окружающей среды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Проектом предусмотрено дальнейшее его содержание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6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участия населения сельского (городского) поселения в определении проекта и содействии в его реализации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участия населения в определении приоритетности проблемы в процессе предварительного рассмотрения (соотношение количества подписей в поддержку проекта к количеству жителей в поселении в процентах)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1,01 до 5%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5,01%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участия населения в определении параметров проекта на заключительном собрании (соотношение количества подписей в поддержку проекта к количеству жителей, принявших участие в собрании)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1,01 до 5%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5,01%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видео и/или аудиозаписи с собрания граждан, на котором решается вопрос по участию в проекте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1735" w:rsidRPr="00001735" w:rsidTr="00001735">
        <w:tc>
          <w:tcPr>
            <w:tcW w:w="680" w:type="dxa"/>
            <w:vAlign w:val="center"/>
          </w:tcPr>
          <w:p w:rsidR="00001735" w:rsidRPr="00001735" w:rsidRDefault="00024E73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01735"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6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критерии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массовой информации и других средств информирования населения в процессе отбора приоритетной проблемы и разработки проекта (баллы суммируются)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полиграфическая продукция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анкеты, подписные листы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"Срок жизни" результатов проекта (лет)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лет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лет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(острота) проблемы (своевременность, востребованность результатов проекта)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Оригинальность/необычность (использование инновационных подходов и новых технологий в проекте)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735" w:rsidRPr="00001735" w:rsidTr="00001735">
        <w:tc>
          <w:tcPr>
            <w:tcW w:w="680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916" w:type="dxa"/>
            <w:vMerge w:val="restart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Комплексность (например: при реализации проекта  предусмотрено асфальтирование, освещение, высадка деревьев, установка лавочек и зон отдыха и т.д.)</w:t>
            </w: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735" w:rsidRPr="00001735" w:rsidTr="00001735">
        <w:tc>
          <w:tcPr>
            <w:tcW w:w="680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Merge/>
          </w:tcPr>
          <w:p w:rsidR="00001735" w:rsidRPr="00001735" w:rsidRDefault="00001735" w:rsidP="0000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:rsidR="00001735" w:rsidRPr="00001735" w:rsidRDefault="00001735" w:rsidP="00001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1735" w:rsidRPr="00001735" w:rsidRDefault="00001735" w:rsidP="0000173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735" w:rsidRPr="00001735" w:rsidRDefault="00001735" w:rsidP="0000173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>&lt; *</w:t>
      </w:r>
      <w:proofErr w:type="gramEnd"/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Используется численность постоянного населения муниципального образования по состоянию на 01 января года,  предшествующего году подачи заявки/проекта на участие в </w:t>
      </w:r>
    </w:p>
    <w:p w:rsidR="00001735" w:rsidRPr="00001735" w:rsidRDefault="00001735" w:rsidP="00001735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конкурсном отборе проектов инициативного бюджетирования</w:t>
      </w:r>
      <w:r w:rsidR="008E35B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01735" w:rsidRPr="00001735" w:rsidRDefault="008E35B0" w:rsidP="0000173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001735" w:rsidRPr="00001735" w:rsidRDefault="00001735" w:rsidP="0000173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64507" w:rsidRDefault="00D64507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024E73" w:rsidRDefault="00024E73"/>
    <w:p w:rsidR="00F87B2D" w:rsidRDefault="00F87B2D" w:rsidP="00024E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</w:t>
      </w:r>
      <w:r w:rsidR="00024E73" w:rsidRPr="0002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Пояснительная записка </w:t>
      </w:r>
    </w:p>
    <w:p w:rsidR="00F87B2D" w:rsidRDefault="00F87B2D" w:rsidP="00024E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024E73" w:rsidRPr="0002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постановлению администрации Октябрьского района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F87B2D" w:rsidRDefault="00F87B2D" w:rsidP="00024E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024E73" w:rsidRPr="0002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24E73" w:rsidRPr="00024E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внесении изменения в постановление администрации Октябрьского </w:t>
      </w:r>
    </w:p>
    <w:p w:rsidR="00024E73" w:rsidRPr="00024E73" w:rsidRDefault="00F87B2D" w:rsidP="00024E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</w:t>
      </w:r>
      <w:r w:rsidR="00024E73" w:rsidRPr="00024E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24E73" w:rsidRPr="00024E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06.02.2018 № 231»</w:t>
      </w:r>
    </w:p>
    <w:p w:rsidR="00024E73" w:rsidRPr="00024E73" w:rsidRDefault="00024E73" w:rsidP="00024E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4E73" w:rsidRPr="00024E73" w:rsidRDefault="00024E73" w:rsidP="0002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24E73" w:rsidRPr="00024E73" w:rsidRDefault="00024E73" w:rsidP="00F87B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Поручением Губернатора Ханты-Мансийского автономного округа-Югры от 20.06.2019 «Перечень поручений по итогам встречи Губернатора ХМАО-Югры </w:t>
      </w:r>
      <w:r w:rsidR="00F87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Комаровой Н.В. с членами Совета Общественной палаты ХМАО-Югры </w:t>
      </w:r>
      <w:r w:rsidR="00F87B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="00F87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состава»</w:t>
      </w:r>
      <w:r w:rsidRPr="00024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87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внести </w:t>
      </w:r>
      <w:r w:rsidRPr="00024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87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нормативные правовые акты, регламентирующие проведение конкурсов с использованием механизмов инициативного бюджетирования изменения в части введения необходимости оценки уровня </w:t>
      </w:r>
      <w:proofErr w:type="spellStart"/>
      <w:r w:rsidR="00F87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софинансирования</w:t>
      </w:r>
      <w:proofErr w:type="spellEnd"/>
      <w:r w:rsidR="00F87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заявок с учетом возможности участия некоммерческих организаций.</w:t>
      </w:r>
      <w:r w:rsidR="00F87B2D" w:rsidRPr="0002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E73" w:rsidRDefault="00024E73"/>
    <w:p w:rsidR="00024E73" w:rsidRDefault="00A32FCB" w:rsidP="00A3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управлению</w:t>
      </w:r>
    </w:p>
    <w:p w:rsidR="00A32FCB" w:rsidRPr="00A32FCB" w:rsidRDefault="00A32FCB" w:rsidP="00A32FCB">
      <w:pPr>
        <w:tabs>
          <w:tab w:val="left" w:pos="7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финансами</w:t>
      </w:r>
      <w:r>
        <w:rPr>
          <w:rFonts w:ascii="Times New Roman" w:hAnsi="Times New Roman" w:cs="Times New Roman"/>
          <w:sz w:val="24"/>
          <w:szCs w:val="24"/>
        </w:rPr>
        <w:tab/>
        <w:t>Н.Г. Куклина</w:t>
      </w:r>
    </w:p>
    <w:p w:rsidR="00024E73" w:rsidRDefault="00024E73" w:rsidP="00A32FCB">
      <w:pPr>
        <w:spacing w:after="0" w:line="240" w:lineRule="auto"/>
      </w:pPr>
    </w:p>
    <w:p w:rsidR="00024E73" w:rsidRDefault="00024E73"/>
    <w:p w:rsidR="00024E73" w:rsidRDefault="00024E73"/>
    <w:p w:rsidR="00024E73" w:rsidRDefault="00024E73"/>
    <w:sectPr w:rsidR="0002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9357D"/>
    <w:multiLevelType w:val="hybridMultilevel"/>
    <w:tmpl w:val="7CC65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9F4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E226F7B"/>
    <w:multiLevelType w:val="hybridMultilevel"/>
    <w:tmpl w:val="44E8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00B9"/>
    <w:multiLevelType w:val="hybridMultilevel"/>
    <w:tmpl w:val="B106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2592F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EE865D6"/>
    <w:multiLevelType w:val="hybridMultilevel"/>
    <w:tmpl w:val="3E1A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D4920"/>
    <w:multiLevelType w:val="hybridMultilevel"/>
    <w:tmpl w:val="F4AC0876"/>
    <w:lvl w:ilvl="0" w:tplc="C5F0312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1E0C92"/>
    <w:multiLevelType w:val="hybridMultilevel"/>
    <w:tmpl w:val="98CA19C6"/>
    <w:lvl w:ilvl="0" w:tplc="B7083D22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80" w:hanging="10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Arial Unicode MS" w:hint="default"/>
        <w:color w:val="000000"/>
      </w:rPr>
    </w:lvl>
  </w:abstractNum>
  <w:abstractNum w:abstractNumId="10" w15:restartNumberingAfterBreak="0">
    <w:nsid w:val="39D9017D"/>
    <w:multiLevelType w:val="hybridMultilevel"/>
    <w:tmpl w:val="76F2AC86"/>
    <w:lvl w:ilvl="0" w:tplc="E620EEB6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23E35"/>
    <w:multiLevelType w:val="hybridMultilevel"/>
    <w:tmpl w:val="727A12AE"/>
    <w:lvl w:ilvl="0" w:tplc="9FBC77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9E159A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B0834D3"/>
    <w:multiLevelType w:val="hybridMultilevel"/>
    <w:tmpl w:val="A07C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67FDF"/>
    <w:multiLevelType w:val="multilevel"/>
    <w:tmpl w:val="A42A5440"/>
    <w:lvl w:ilvl="0">
      <w:start w:val="1"/>
      <w:numFmt w:val="decimal"/>
      <w:lvlText w:val="%1."/>
      <w:lvlJc w:val="left"/>
      <w:pPr>
        <w:ind w:left="38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580" w:hanging="360"/>
      </w:pPr>
    </w:lvl>
    <w:lvl w:ilvl="2" w:tentative="1">
      <w:start w:val="1"/>
      <w:numFmt w:val="lowerRoman"/>
      <w:lvlText w:val="%3."/>
      <w:lvlJc w:val="right"/>
      <w:pPr>
        <w:ind w:left="5300" w:hanging="180"/>
      </w:pPr>
    </w:lvl>
    <w:lvl w:ilvl="3" w:tentative="1">
      <w:start w:val="1"/>
      <w:numFmt w:val="decimal"/>
      <w:lvlText w:val="%4."/>
      <w:lvlJc w:val="left"/>
      <w:pPr>
        <w:ind w:left="6020" w:hanging="360"/>
      </w:pPr>
    </w:lvl>
    <w:lvl w:ilvl="4" w:tentative="1">
      <w:start w:val="1"/>
      <w:numFmt w:val="lowerLetter"/>
      <w:lvlText w:val="%5."/>
      <w:lvlJc w:val="left"/>
      <w:pPr>
        <w:ind w:left="6740" w:hanging="360"/>
      </w:pPr>
    </w:lvl>
    <w:lvl w:ilvl="5" w:tentative="1">
      <w:start w:val="1"/>
      <w:numFmt w:val="lowerRoman"/>
      <w:lvlText w:val="%6."/>
      <w:lvlJc w:val="right"/>
      <w:pPr>
        <w:ind w:left="7460" w:hanging="180"/>
      </w:pPr>
    </w:lvl>
    <w:lvl w:ilvl="6" w:tentative="1">
      <w:start w:val="1"/>
      <w:numFmt w:val="decimal"/>
      <w:lvlText w:val="%7."/>
      <w:lvlJc w:val="left"/>
      <w:pPr>
        <w:ind w:left="8180" w:hanging="360"/>
      </w:pPr>
    </w:lvl>
    <w:lvl w:ilvl="7" w:tentative="1">
      <w:start w:val="1"/>
      <w:numFmt w:val="lowerLetter"/>
      <w:lvlText w:val="%8."/>
      <w:lvlJc w:val="left"/>
      <w:pPr>
        <w:ind w:left="8900" w:hanging="360"/>
      </w:pPr>
    </w:lvl>
    <w:lvl w:ilvl="8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15" w15:restartNumberingAfterBreak="0">
    <w:nsid w:val="68485E71"/>
    <w:multiLevelType w:val="hybridMultilevel"/>
    <w:tmpl w:val="D5826144"/>
    <w:lvl w:ilvl="0" w:tplc="9FBC77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C310B3"/>
    <w:multiLevelType w:val="hybridMultilevel"/>
    <w:tmpl w:val="169A55B8"/>
    <w:lvl w:ilvl="0" w:tplc="099625A2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9E4503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90748FA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12"/>
  </w:num>
  <w:num w:numId="7">
    <w:abstractNumId w:val="16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7"/>
  </w:num>
  <w:num w:numId="13">
    <w:abstractNumId w:val="1"/>
  </w:num>
  <w:num w:numId="14">
    <w:abstractNumId w:val="10"/>
  </w:num>
  <w:num w:numId="15">
    <w:abstractNumId w:val="17"/>
  </w:num>
  <w:num w:numId="16">
    <w:abstractNumId w:val="0"/>
  </w:num>
  <w:num w:numId="17">
    <w:abstractNumId w:val="5"/>
  </w:num>
  <w:num w:numId="18">
    <w:abstractNumId w:val="2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35"/>
    <w:rsid w:val="000007DF"/>
    <w:rsid w:val="00001735"/>
    <w:rsid w:val="00024E73"/>
    <w:rsid w:val="000415C9"/>
    <w:rsid w:val="001F15EF"/>
    <w:rsid w:val="0028112D"/>
    <w:rsid w:val="0055550C"/>
    <w:rsid w:val="00580362"/>
    <w:rsid w:val="0059626B"/>
    <w:rsid w:val="00756F2B"/>
    <w:rsid w:val="008A77D5"/>
    <w:rsid w:val="008E35B0"/>
    <w:rsid w:val="00924623"/>
    <w:rsid w:val="00A32FCB"/>
    <w:rsid w:val="00A80ACE"/>
    <w:rsid w:val="00D64507"/>
    <w:rsid w:val="00DE6041"/>
    <w:rsid w:val="00E947E1"/>
    <w:rsid w:val="00ED2FBB"/>
    <w:rsid w:val="00F0627B"/>
    <w:rsid w:val="00F2470A"/>
    <w:rsid w:val="00F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1AF0-2F33-47EA-BB0C-B07DAD3D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01735"/>
    <w:pPr>
      <w:keepNext/>
      <w:widowControl w:val="0"/>
      <w:numPr>
        <w:ilvl w:val="1"/>
        <w:numId w:val="16"/>
      </w:numPr>
      <w:autoSpaceDE w:val="0"/>
      <w:spacing w:before="20" w:after="20" w:line="240" w:lineRule="auto"/>
      <w:outlineLvl w:val="1"/>
    </w:pPr>
    <w:rPr>
      <w:rFonts w:ascii="Georgia" w:eastAsia="Times New Roman" w:hAnsi="Georgia" w:cs="Times New Roman"/>
      <w:b/>
      <w:bCs/>
      <w:i/>
      <w:iCs/>
      <w:sz w:val="20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001735"/>
    <w:pPr>
      <w:keepNext/>
      <w:widowControl w:val="0"/>
      <w:numPr>
        <w:ilvl w:val="2"/>
        <w:numId w:val="16"/>
      </w:numPr>
      <w:autoSpaceDE w:val="0"/>
      <w:spacing w:before="20" w:after="20" w:line="240" w:lineRule="auto"/>
      <w:outlineLvl w:val="2"/>
    </w:pPr>
    <w:rPr>
      <w:rFonts w:ascii="Helios" w:eastAsia="Times New Roman" w:hAnsi="Helios" w:cs="Times New Roman"/>
      <w:b/>
      <w:bCs/>
      <w:color w:val="000000"/>
      <w:sz w:val="18"/>
      <w:szCs w:val="1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01735"/>
    <w:rPr>
      <w:rFonts w:ascii="Georgia" w:eastAsia="Times New Roman" w:hAnsi="Georgia" w:cs="Times New Roman"/>
      <w:b/>
      <w:bCs/>
      <w:i/>
      <w:iCs/>
      <w:sz w:val="20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uiPriority w:val="99"/>
    <w:rsid w:val="00001735"/>
    <w:rPr>
      <w:rFonts w:ascii="Helios" w:eastAsia="Times New Roman" w:hAnsi="Helios" w:cs="Times New Roman"/>
      <w:b/>
      <w:bCs/>
      <w:color w:val="000000"/>
      <w:sz w:val="18"/>
      <w:szCs w:val="18"/>
      <w:lang w:val="x-none" w:eastAsia="ar-SA"/>
    </w:rPr>
  </w:style>
  <w:style w:type="paragraph" w:styleId="a3">
    <w:name w:val="No Spacing"/>
    <w:uiPriority w:val="1"/>
    <w:qFormat/>
    <w:rsid w:val="000017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00173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1735"/>
  </w:style>
  <w:style w:type="table" w:styleId="a6">
    <w:name w:val="Table Grid"/>
    <w:basedOn w:val="a1"/>
    <w:uiPriority w:val="59"/>
    <w:rsid w:val="000017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0173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1735"/>
  </w:style>
  <w:style w:type="paragraph" w:styleId="aa">
    <w:name w:val="footer"/>
    <w:basedOn w:val="a"/>
    <w:link w:val="ab"/>
    <w:uiPriority w:val="99"/>
    <w:unhideWhenUsed/>
    <w:rsid w:val="0000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1735"/>
  </w:style>
  <w:style w:type="character" w:customStyle="1" w:styleId="ac">
    <w:name w:val="Текст примечания Знак"/>
    <w:basedOn w:val="a0"/>
    <w:link w:val="ad"/>
    <w:uiPriority w:val="99"/>
    <w:semiHidden/>
    <w:rsid w:val="00001735"/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001735"/>
    <w:pPr>
      <w:spacing w:line="240" w:lineRule="auto"/>
    </w:pPr>
    <w:rPr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001735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00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001735"/>
    <w:rPr>
      <w:b/>
      <w:bCs/>
      <w:sz w:val="20"/>
      <w:szCs w:val="20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001735"/>
    <w:rPr>
      <w:b/>
      <w:bCs/>
    </w:rPr>
  </w:style>
  <w:style w:type="paragraph" w:customStyle="1" w:styleId="ConsPlusNormal">
    <w:name w:val="ConsPlusNormal"/>
    <w:rsid w:val="00001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7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0173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017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49CA46FEDA28617FE494D5280CB77D82BF3AF26858610D7E00876126wCo8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17</Pages>
  <Words>5052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User</cp:lastModifiedBy>
  <cp:revision>11</cp:revision>
  <cp:lastPrinted>2019-07-25T10:31:00Z</cp:lastPrinted>
  <dcterms:created xsi:type="dcterms:W3CDTF">2019-07-25T04:31:00Z</dcterms:created>
  <dcterms:modified xsi:type="dcterms:W3CDTF">2019-07-25T12:14:00Z</dcterms:modified>
</cp:coreProperties>
</file>