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Normal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/>
        <w:drawing>
          <wp:inline distT="0" distB="0" distL="0" distR="0">
            <wp:extent cx="552450" cy="685800"/>
            <wp:effectExtent l="0" t="0" r="0" b="0"/>
            <wp:docPr id="1" name="Рисунок 3" descr="герб талинка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 талинка 2017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-540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СОВЕТ ДЕПУТАТОВ</w:t>
      </w:r>
    </w:p>
    <w:p>
      <w:pPr>
        <w:pStyle w:val="Normal"/>
        <w:spacing w:lineRule="auto" w:line="240" w:before="0" w:after="0"/>
        <w:ind w:left="-540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ГОРОДСКОГО ПОСЕЛЕНИЯ ТАЛИНКА</w:t>
      </w:r>
    </w:p>
    <w:p>
      <w:pPr>
        <w:pStyle w:val="Normal"/>
        <w:spacing w:lineRule="auto" w:line="240" w:before="0" w:after="0"/>
        <w:ind w:left="-540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Октябрьского района</w:t>
      </w:r>
    </w:p>
    <w:p>
      <w:pPr>
        <w:pStyle w:val="Normal"/>
        <w:spacing w:lineRule="auto" w:line="240" w:before="0" w:after="0"/>
        <w:ind w:left="-540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Ханты-Мансийского автономного округа - Югры</w:t>
      </w:r>
    </w:p>
    <w:p>
      <w:pPr>
        <w:pStyle w:val="Normal"/>
        <w:spacing w:lineRule="auto" w:line="240" w:before="0" w:after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РЕШЕНИЕ</w:t>
      </w:r>
    </w:p>
    <w:p>
      <w:pPr>
        <w:pStyle w:val="Normal"/>
        <w:spacing w:lineRule="auto" w:line="240" w:before="0"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mirrorIndents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</w:t>
      </w:r>
      <w:r>
        <w:rPr>
          <w:rFonts w:cs="Times New Roman" w:ascii="Times New Roman" w:hAnsi="Times New Roman"/>
          <w:sz w:val="26"/>
          <w:szCs w:val="26"/>
        </w:rPr>
        <w:t>03</w:t>
      </w:r>
      <w:r>
        <w:rPr>
          <w:rFonts w:cs="Times New Roman" w:ascii="Times New Roman" w:hAnsi="Times New Roman"/>
          <w:sz w:val="26"/>
          <w:szCs w:val="26"/>
        </w:rPr>
        <w:t xml:space="preserve">» </w:t>
      </w:r>
      <w:r>
        <w:rPr>
          <w:rFonts w:cs="Times New Roman" w:ascii="Times New Roman" w:hAnsi="Times New Roman"/>
          <w:sz w:val="26"/>
          <w:szCs w:val="26"/>
        </w:rPr>
        <w:t>июля</w:t>
      </w:r>
      <w:r>
        <w:rPr>
          <w:rFonts w:cs="Times New Roman" w:ascii="Times New Roman" w:hAnsi="Times New Roman"/>
          <w:sz w:val="26"/>
          <w:szCs w:val="26"/>
        </w:rPr>
        <w:t xml:space="preserve"> 2026 года                               </w:t>
        <w:tab/>
        <w:tab/>
        <w:t xml:space="preserve">                     </w:t>
        <w:tab/>
        <w:t xml:space="preserve">         № </w:t>
      </w:r>
      <w:r>
        <w:rPr>
          <w:rFonts w:cs="Times New Roman" w:ascii="Times New Roman" w:hAnsi="Times New Roman"/>
          <w:sz w:val="26"/>
          <w:szCs w:val="26"/>
        </w:rPr>
        <w:t>28</w:t>
      </w:r>
    </w:p>
    <w:p>
      <w:pPr>
        <w:pStyle w:val="Normal"/>
        <w:spacing w:lineRule="auto" w:line="240" w:before="0" w:after="0"/>
        <w:ind w:right="540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4479"/>
        <w:jc w:val="lef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Об утверждении Порядка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highlight w:val="white"/>
          <w:lang w:eastAsia="ru-RU"/>
        </w:rPr>
        <w:t>деятельности депутатских объединений (фракций) в Совете депутатов городского поселения Талинка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highlight w:val="white"/>
          <w:lang w:eastAsia="ru-RU"/>
        </w:rPr>
        <w:t>Руководствуясь статьей 18 Федерального закона от 20.03.2025 № 33-ФЗ «Об общих принципах организации местного самоуправления в единой системе пуб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>личной власти»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  <w:lang w:eastAsia="ru-RU"/>
        </w:rPr>
        <w:t xml:space="preserve">, </w:t>
      </w:r>
      <w:hyperlink r:id="rId3" w:tooltip="consultantplus://offline/ref=DEB9641E320E32B4CDA56E8AB6C164487682C47705AB687BE316E477B26E619F83AF6C8B16F6EF331D885DC4S5R1H">
        <w:r>
          <w:rPr>
            <w:rStyle w:val="Style9"/>
            <w:rFonts w:eastAsia="Times New Roman" w:cs="Times New Roman" w:ascii="Times New Roman" w:hAnsi="Times New Roman"/>
            <w:i w:val="false"/>
            <w:iCs w:val="false"/>
            <w:sz w:val="24"/>
            <w:szCs w:val="24"/>
            <w:highlight w:val="white"/>
            <w:lang w:eastAsia="ru-RU"/>
          </w:rPr>
          <w:t>Уставом</w:t>
        </w:r>
      </w:hyperlink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 xml:space="preserve"> городского поселения Талинка, регламентом Совета депутатов городского поселения Талинка </w:t>
      </w:r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  <w:lang w:eastAsia="ru-RU"/>
        </w:rPr>
        <w:t>Совет депутатов городского поселения Талинка  решил:</w:t>
      </w:r>
    </w:p>
    <w:p>
      <w:pPr>
        <w:pStyle w:val="Normal"/>
        <w:tabs>
          <w:tab w:val="clear" w:pos="708"/>
          <w:tab w:val="left" w:pos="450" w:leader="none"/>
          <w:tab w:val="left" w:pos="675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  <w:lang w:eastAsia="ru-RU"/>
        </w:rPr>
        <w:t xml:space="preserve">Утвердить Порядок деятельности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highlight w:val="white"/>
          <w:lang w:eastAsia="ru-RU"/>
        </w:rPr>
        <w:t>деятельности депутатских объединений (фракций) в Совете депутатов городского поселения Талинка</w:t>
      </w:r>
    </w:p>
    <w:p>
      <w:pPr>
        <w:pStyle w:val="Normal"/>
        <w:tabs>
          <w:tab w:val="clear" w:pos="708"/>
          <w:tab w:val="left" w:pos="675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Настоящее решение опубли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ковать в официальном сетевом издании «Официальный сайт Октябрьского района», а также на официальном сайте муниципального образования городского поселения Талинка в сети «Интернет». </w:t>
      </w:r>
    </w:p>
    <w:p>
      <w:pPr>
        <w:pStyle w:val="Normal"/>
        <w:widowControl w:val="false"/>
        <w:shd w:val="clear" w:color="auto" w:fill="FFFFFF"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 Настоящее решение вступает в силу с момента опубликования.</w:t>
      </w:r>
    </w:p>
    <w:p>
      <w:pPr>
        <w:pStyle w:val="Normal"/>
        <w:widowControl w:val="false"/>
        <w:shd w:val="clear" w:color="auto" w:fill="FFFFFF"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4. Контроль за исполнением настоящего решения возложить на постоянно действующую комиссию Совета депутатов городского поселения Талинка по социальной политике.</w:t>
      </w:r>
    </w:p>
    <w:p>
      <w:pPr>
        <w:pStyle w:val="ListParagraph"/>
        <w:spacing w:lineRule="auto" w:line="240" w:before="0" w:after="0"/>
        <w:ind w:left="1065"/>
        <w:contextualSpacing/>
        <w:jc w:val="both"/>
        <w:rPr>
          <w:rFonts w:ascii="Times New Roman" w:hAnsi="Times New Roman" w:eastAsia="Times New Roman" w:cs="Times New Roman"/>
          <w:bCs/>
          <w:color w:val="26282F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color w:val="26282F"/>
          <w:sz w:val="26"/>
          <w:szCs w:val="26"/>
          <w:lang w:eastAsia="ru-RU"/>
        </w:rPr>
      </w:r>
    </w:p>
    <w:tbl>
      <w:tblPr>
        <w:tblW w:w="9571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tabs>
                <w:tab w:val="clear" w:pos="708"/>
                <w:tab w:val="left" w:pos="1353" w:leader="none"/>
              </w:tabs>
              <w:spacing w:before="0" w:after="2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городского поселения Талинка</w:t>
            </w:r>
          </w:p>
          <w:p>
            <w:pPr>
              <w:pStyle w:val="Normal"/>
              <w:tabs>
                <w:tab w:val="clear" w:pos="708"/>
                <w:tab w:val="left" w:pos="1353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  <w:tab w:val="left" w:pos="1353" w:leader="none"/>
              </w:tabs>
              <w:spacing w:before="0" w:after="2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_____________А.В. Останин</w:t>
            </w:r>
          </w:p>
        </w:tc>
        <w:tc>
          <w:tcPr>
            <w:tcW w:w="4785" w:type="dxa"/>
            <w:tcBorders/>
          </w:tcPr>
          <w:p>
            <w:pPr>
              <w:pStyle w:val="Normal"/>
              <w:tabs>
                <w:tab w:val="clear" w:pos="708"/>
                <w:tab w:val="left" w:pos="1353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Совета депутатов городского поселения Талинка</w:t>
            </w:r>
          </w:p>
          <w:p>
            <w:pPr>
              <w:pStyle w:val="Normal"/>
              <w:tabs>
                <w:tab w:val="clear" w:pos="708"/>
                <w:tab w:val="left" w:pos="1353" w:leader="none"/>
              </w:tabs>
              <w:spacing w:before="0" w:after="2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 О.А. Гребенникова</w:t>
            </w:r>
          </w:p>
        </w:tc>
      </w:tr>
    </w:tbl>
    <w:p>
      <w:pPr>
        <w:pStyle w:val="Normal"/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sz w:val="20"/>
          <w:szCs w:val="20"/>
        </w:rPr>
        <w:t xml:space="preserve">Приложение к решению Совета депутатов городского поселения Талинка от </w:t>
      </w:r>
      <w:r>
        <w:rPr>
          <w:rFonts w:cs="Times New Roman" w:ascii="Times New Roman" w:hAnsi="Times New Roman"/>
          <w:sz w:val="20"/>
          <w:szCs w:val="20"/>
        </w:rPr>
        <w:t>03.07.2026</w:t>
      </w:r>
      <w:r>
        <w:rPr>
          <w:rFonts w:cs="Times New Roman" w:ascii="Times New Roman" w:hAnsi="Times New Roman"/>
          <w:sz w:val="20"/>
          <w:szCs w:val="20"/>
        </w:rPr>
        <w:t xml:space="preserve"> № </w:t>
      </w:r>
      <w:r>
        <w:rPr>
          <w:rFonts w:cs="Times New Roman" w:ascii="Times New Roman" w:hAnsi="Times New Roman"/>
          <w:sz w:val="20"/>
          <w:szCs w:val="20"/>
        </w:rPr>
        <w:t>28</w:t>
      </w:r>
      <w:r>
        <w:rPr>
          <w:rFonts w:cs="Times New Roman" w:ascii="Times New Roman" w:hAnsi="Times New Roman"/>
          <w:sz w:val="20"/>
          <w:szCs w:val="20"/>
        </w:rPr>
        <w:t xml:space="preserve">  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highlight w:val="white"/>
        </w:rPr>
        <w:t xml:space="preserve">ПОРЯДОК </w:t>
      </w:r>
    </w:p>
    <w:p>
      <w:pPr>
        <w:pStyle w:val="ConsPlusTitle"/>
        <w:jc w:val="center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highlight w:val="white"/>
        </w:rPr>
        <w:t>деятельности депутатских объединений (фракций) в Совете депутатов городского поселения Талинка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highlight w:val="whit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highlight w:val="white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Общие положения</w:t>
      </w:r>
    </w:p>
    <w:p>
      <w:pPr>
        <w:pStyle w:val="ListParagraph"/>
        <w:spacing w:lineRule="auto" w:line="240" w:before="0" w:after="0"/>
        <w:ind w:left="1068"/>
        <w:contextualSpacing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1. Настоящий Порядок разработан в соответствии со статьей 18 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ru-RU"/>
        </w:rPr>
        <w:t>Федерального закон</w:t>
      </w:r>
      <w:r>
        <w:rPr>
          <w:rFonts w:ascii="Times New Roman" w:hAnsi="Times New Roman"/>
          <w:sz w:val="24"/>
          <w:szCs w:val="24"/>
          <w:highlight w:val="white"/>
        </w:rPr>
        <w:t xml:space="preserve">а 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ru-RU"/>
        </w:rPr>
        <w:t xml:space="preserve">от 20.03.2025 </w:t>
      </w:r>
      <w:r>
        <w:rPr>
          <w:rFonts w:ascii="Times New Roman" w:hAnsi="Times New Roman"/>
          <w:sz w:val="24"/>
          <w:szCs w:val="24"/>
          <w:highlight w:val="white"/>
        </w:rPr>
        <w:t xml:space="preserve">№ 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ru-RU"/>
        </w:rPr>
        <w:t>33-ФЗ</w:t>
      </w:r>
      <w:r>
        <w:rPr>
          <w:rFonts w:ascii="Times New Roman" w:hAnsi="Times New Roman"/>
          <w:sz w:val="24"/>
          <w:szCs w:val="24"/>
          <w:highlight w:val="white"/>
        </w:rPr>
        <w:t xml:space="preserve"> «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4"/>
          <w:szCs w:val="24"/>
          <w:highlight w:val="white"/>
        </w:rPr>
        <w:t>»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ru-RU"/>
        </w:rPr>
        <w:t>, Уставом городского поселения Талинка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, </w:t>
      </w:r>
      <w:r>
        <w:rPr>
          <w:rFonts w:ascii="Times New Roman" w:hAnsi="Times New Roman"/>
          <w:i w:val="false"/>
          <w:iCs w:val="false"/>
          <w:sz w:val="24"/>
          <w:szCs w:val="24"/>
          <w:highlight w:val="white"/>
        </w:rPr>
        <w:t>р</w:t>
      </w:r>
      <w:r>
        <w:rPr>
          <w:rFonts w:ascii="Times New Roman" w:hAnsi="Times New Roman"/>
          <w:sz w:val="24"/>
          <w:szCs w:val="24"/>
          <w:highlight w:val="white"/>
        </w:rPr>
        <w:t xml:space="preserve">егламентом Совета депутатов 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eastAsia="Times New Roman" w:ascii="Times New Roman" w:hAnsi="Times New Roman"/>
          <w:i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(далее – Регламент) 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ru-RU"/>
        </w:rPr>
        <w:t xml:space="preserve">и </w:t>
      </w:r>
      <w:r>
        <w:rPr>
          <w:rFonts w:ascii="Times New Roman" w:hAnsi="Times New Roman"/>
          <w:sz w:val="24"/>
          <w:szCs w:val="24"/>
          <w:highlight w:val="white"/>
          <w:lang w:eastAsia="ru-RU"/>
        </w:rPr>
        <w:t xml:space="preserve">определяет порядок формирования, регистрации и деятельности депутатских объединений (фракций) в Совете депутатов </w:t>
      </w:r>
      <w:r>
        <w:rPr>
          <w:rFonts w:eastAsia="Times New Roman" w:ascii="Times New Roman" w:hAnsi="Times New Roman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ascii="Times New Roman" w:hAnsi="Times New Roman"/>
          <w:i/>
          <w:sz w:val="24"/>
          <w:szCs w:val="24"/>
          <w:highlight w:val="white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2. Депутатские объединения (фракции) осуществляют свою деятельность на основании Конституции Российской Федерации, федеральных законов, законов Ханты-Мансийского автономного округа</w:t>
      </w:r>
      <w:r>
        <w:rPr>
          <w:rFonts w:ascii="Times New Roman" w:hAnsi="Times New Roman"/>
          <w:i/>
          <w:sz w:val="24"/>
          <w:szCs w:val="24"/>
          <w:highlight w:val="white"/>
          <w:lang w:eastAsia="ar-SA"/>
        </w:rPr>
        <w:t xml:space="preserve"> – </w:t>
      </w:r>
      <w:r>
        <w:rPr>
          <w:rFonts w:ascii="Times New Roman" w:hAnsi="Times New Roman"/>
          <w:sz w:val="24"/>
          <w:szCs w:val="24"/>
          <w:highlight w:val="white"/>
        </w:rPr>
        <w:t>Югры, Регламента</w:t>
      </w:r>
      <w:r>
        <w:rPr>
          <w:rFonts w:ascii="Times New Roman" w:hAnsi="Times New Roman"/>
          <w:i/>
          <w:strike w:val="false"/>
          <w:dstrike w:val="false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и настоящего Порядка.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3. Депутатские объединения (фракции) организуют свою деятельность на основе свободного, конструктивного, коллективного обсуждения вопросов и обладают равными правами, определенными настоящим Порядком.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4. Депутатское объединение (фракцию) возглавляет руководитель депутатского объединения (фракции).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 решению депутатского объединения (фракции) могут избираться заместитель (заместители) руководителя депутатского объединения (фракции).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(заместители) руководителя депутатского объединения (фракции) исполняет (исполняют) полномочия руководителя депутатского объединения (фракции) в случае его временного отсутствия.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Депутатские объединения (фракции) самостоятельно определяют структуру, состав своих руководящих (координирующих) органов, основные направления деятельности.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Депутатское объединение (фракция) принимает Положение о депутат</w:t>
      </w:r>
      <w:r>
        <w:rPr>
          <w:rFonts w:ascii="Times New Roman" w:hAnsi="Times New Roman"/>
          <w:color w:themeColor="text1" w:val="000000"/>
          <w:sz w:val="24"/>
          <w:szCs w:val="24"/>
        </w:rPr>
        <w:t>ском объединении (фракции), которое устанавливает в том числе правила совместной деятельности депутатов, входящих в соответствующее депутатское объединение (фракцию).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eastAsia="Times New Roman" w:ascii="Times New Roman" w:hAnsi="Times New Roman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ind w:left="708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iCs/>
          <w:color w:themeColor="text1" w:val="000000"/>
          <w:sz w:val="24"/>
          <w:szCs w:val="24"/>
          <w:highlight w:val="white"/>
        </w:rPr>
        <w:t>2. Порядок формирования и регистрации депутатских объединений (фракций)</w:t>
      </w:r>
    </w:p>
    <w:p>
      <w:pPr>
        <w:pStyle w:val="Normal"/>
        <w:spacing w:lineRule="auto" w:line="240" w:before="0" w:after="0"/>
        <w:ind w:left="708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8. Для регистрации депутатского объединения (фракции) на имя председателя </w:t>
      </w:r>
      <w:r>
        <w:rPr>
          <w:rFonts w:ascii="Times New Roman" w:hAnsi="Times New Roman"/>
          <w:i w:val="false"/>
          <w:iCs w:val="false"/>
          <w:sz w:val="24"/>
          <w:szCs w:val="24"/>
          <w:highlight w:val="white"/>
        </w:rPr>
        <w:t xml:space="preserve">Совета депутатов </w:t>
      </w:r>
      <w:r>
        <w:rPr>
          <w:rFonts w:eastAsia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направляется письменное уведомление от руководителя депутатского объединения (</w:t>
      </w:r>
      <w:r>
        <w:rPr>
          <w:rFonts w:ascii="Times New Roman" w:hAnsi="Times New Roman"/>
          <w:sz w:val="24"/>
          <w:szCs w:val="24"/>
        </w:rPr>
        <w:t>фракции) о начале деятельности депутатского объединения (фракции).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/>
          <w:i/>
          <w:i/>
          <w:highlight w:val="white"/>
        </w:rPr>
      </w:pPr>
      <w:r>
        <w:rPr>
          <w:rFonts w:ascii="Times New Roman" w:hAnsi="Times New Roman"/>
          <w:sz w:val="24"/>
          <w:szCs w:val="24"/>
        </w:rPr>
        <w:t xml:space="preserve">9. Депутатские объединения (фракции) регистрируются администрацией </w:t>
      </w:r>
      <w:r>
        <w:rPr>
          <w:rFonts w:eastAsia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депутатские объединения (во фракции) входят депутаты 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Совета депутатов </w:t>
      </w:r>
      <w:r>
        <w:rPr>
          <w:rFonts w:eastAsia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избранные в составе списков кандидатов, выдвинутых политическими партиями (их региональными отделениями или иными структурными подразделениями)</w:t>
      </w:r>
      <w:r>
        <w:rPr>
          <w:rFonts w:ascii="Times New Roman" w:hAnsi="Times New Roman"/>
          <w:i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Депутатское объединение (фракция) включает в себя всех депутатов (депутата), избранных (избранного) в составе соответствующего списка кандидатов. Депутат, избранный в составе списка кандидатов, выдвинутого политической партией (ее региональным отделением или иным структурным подразделением), не вправе выйти из депутатского объединения (фракции), в которой он состоит. Указанный депутат может быть членом только той политической партии, в составе списка кандидатов к</w:t>
      </w:r>
      <w:r>
        <w:rPr>
          <w:rFonts w:ascii="Times New Roman" w:hAnsi="Times New Roman"/>
          <w:color w:themeColor="text1" w:val="000000"/>
          <w:sz w:val="24"/>
          <w:szCs w:val="24"/>
        </w:rPr>
        <w:t>оторой он был избран.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  <w:t>11. В депутатское объединение (фракцию) могут входит</w:t>
      </w:r>
      <w:r>
        <w:rPr>
          <w:rFonts w:ascii="Times New Roman" w:hAnsi="Times New Roman"/>
          <w:i w:val="false"/>
          <w:iCs w:val="false"/>
          <w:color w:themeColor="text1" w:val="000000"/>
          <w:sz w:val="24"/>
          <w:szCs w:val="24"/>
        </w:rPr>
        <w:t>ь также депутаты, избранные по одномандатным или многомандатным избирательным округам.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12. В случае досрочного сложения полномочий депутат </w:t>
      </w:r>
      <w:r>
        <w:rPr>
          <w:rFonts w:ascii="Times New Roman" w:hAnsi="Times New Roman"/>
          <w:i w:val="false"/>
          <w:iCs w:val="false"/>
          <w:sz w:val="24"/>
          <w:szCs w:val="24"/>
          <w:highlight w:val="white"/>
        </w:rPr>
        <w:t xml:space="preserve">Совета депутатов </w:t>
      </w:r>
      <w:r>
        <w:rPr>
          <w:rFonts w:eastAsia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обязан направить на имя руководителя депутатского объединения (фракции) письменное заявление о выходе из состава депутатского объединения (фракции).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В случае изменения состава депутатского объединения (фракции) руков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одитель депутатского объединения (фракции) обязан в течение пяти рабочих дней направить в </w:t>
      </w:r>
      <w:r>
        <w:rPr>
          <w:rFonts w:ascii="Times New Roman" w:hAnsi="Times New Roman"/>
          <w:i w:val="false"/>
          <w:iCs w:val="false"/>
          <w:sz w:val="24"/>
          <w:szCs w:val="24"/>
          <w:highlight w:val="white"/>
        </w:rPr>
        <w:t xml:space="preserve">Совет депутатов </w:t>
      </w:r>
      <w:r>
        <w:rPr>
          <w:rFonts w:eastAsia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письменное уведомление.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14. В случае прекращения деятельности политической партии в связи с ее ликвидацией или реорганизацией деятельность депутатского объединения (фракции) в </w:t>
      </w:r>
      <w:r>
        <w:rPr>
          <w:rFonts w:ascii="Times New Roman" w:hAnsi="Times New Roman"/>
          <w:i w:val="false"/>
          <w:iCs w:val="false"/>
          <w:sz w:val="24"/>
          <w:szCs w:val="24"/>
          <w:highlight w:val="white"/>
        </w:rPr>
        <w:t xml:space="preserve">Совет депутатов </w:t>
      </w:r>
      <w:r>
        <w:rPr>
          <w:rFonts w:eastAsia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ascii="Times New Roman" w:hAnsi="Times New Roman"/>
          <w:i w:val="false"/>
          <w:iCs w:val="false"/>
          <w:sz w:val="24"/>
          <w:szCs w:val="24"/>
        </w:rPr>
        <w:t>, а также чле</w:t>
      </w:r>
      <w:r>
        <w:rPr>
          <w:rFonts w:ascii="Times New Roman" w:hAnsi="Times New Roman"/>
          <w:sz w:val="24"/>
          <w:szCs w:val="24"/>
        </w:rPr>
        <w:t>нство депутатов в этом депутатском объединении (фракции) прекращается со дня внесения в единый государственный реестр юридических лиц соответствующей записи.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Информация о прекращении деятельности политической партии в связи с ее ликвидацией или реорганизацией, а также членства депутатов в этом депутатском объединении (фракции) доводится до сведения депутатов на заседании Совета депутатов </w:t>
      </w:r>
      <w:r>
        <w:rPr>
          <w:rFonts w:eastAsia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ascii="Times New Roman" w:hAnsi="Times New Roman"/>
          <w:i/>
          <w:sz w:val="24"/>
          <w:szCs w:val="24"/>
          <w:highlight w:val="white"/>
        </w:rPr>
        <w:t>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Информация о зарегистрир</w:t>
      </w:r>
      <w:r>
        <w:rPr>
          <w:rFonts w:ascii="Times New Roman" w:hAnsi="Times New Roman"/>
          <w:i w:val="false"/>
          <w:iCs w:val="false"/>
          <w:sz w:val="24"/>
          <w:szCs w:val="24"/>
        </w:rPr>
        <w:t>ованных депутатских объединениях (фракциях) размещается на официальном сайте</w:t>
      </w:r>
      <w:r>
        <w:rPr>
          <w:rFonts w:ascii="Times New Roman" w:hAnsi="Times New Roman"/>
          <w:i w:val="false"/>
          <w:iCs w:val="false"/>
          <w:sz w:val="24"/>
          <w:szCs w:val="24"/>
          <w:highlight w:val="white"/>
        </w:rPr>
        <w:t xml:space="preserve"> муниципального образования </w:t>
      </w:r>
      <w:r>
        <w:rPr>
          <w:rFonts w:eastAsia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 xml:space="preserve">городского поселения Талинка </w:t>
      </w:r>
      <w:r>
        <w:rPr>
          <w:rFonts w:ascii="Times New Roman" w:hAnsi="Times New Roman"/>
          <w:i w:val="false"/>
          <w:iCs w:val="false"/>
          <w:sz w:val="24"/>
          <w:szCs w:val="24"/>
          <w:highlight w:val="white"/>
        </w:rPr>
        <w:t>в информационно-телекоммуникац</w:t>
      </w:r>
      <w:r>
        <w:rPr>
          <w:rFonts w:ascii="Times New Roman" w:hAnsi="Times New Roman"/>
          <w:sz w:val="24"/>
          <w:szCs w:val="24"/>
          <w:highlight w:val="white"/>
        </w:rPr>
        <w:t>ионной сети «</w:t>
      </w:r>
      <w:r>
        <w:rPr>
          <w:rFonts w:ascii="Times New Roman" w:hAnsi="Times New Roman"/>
          <w:i w:val="false"/>
          <w:iCs w:val="false"/>
          <w:sz w:val="24"/>
          <w:szCs w:val="24"/>
          <w:highlight w:val="white"/>
        </w:rPr>
        <w:t>Интернет».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  <w:highlight w:val="white"/>
        </w:rPr>
        <w:t xml:space="preserve">17. Руководитель депутатского объединения (фракции) направляет в Совет депутатов </w:t>
      </w:r>
      <w:r>
        <w:rPr>
          <w:rFonts w:eastAsia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ascii="Times New Roman" w:hAnsi="Times New Roman"/>
          <w:i w:val="false"/>
          <w:iCs w:val="false"/>
          <w:sz w:val="24"/>
          <w:szCs w:val="24"/>
          <w:highlight w:val="white"/>
        </w:rPr>
        <w:t xml:space="preserve"> Положение о</w:t>
      </w:r>
      <w:r>
        <w:rPr>
          <w:rFonts w:ascii="Times New Roman" w:hAnsi="Times New Roman"/>
          <w:sz w:val="24"/>
          <w:szCs w:val="24"/>
          <w:highlight w:val="white"/>
        </w:rPr>
        <w:t xml:space="preserve"> депутатском объединении (фракции).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  <w:t>3. Права депутатских объединений (фракций)</w:t>
      </w:r>
    </w:p>
    <w:p>
      <w:pPr>
        <w:pStyle w:val="ListParagraph"/>
        <w:widowControl w:val="false"/>
        <w:spacing w:lineRule="auto" w:line="240" w:before="0" w:after="0"/>
        <w:ind w:left="1068"/>
        <w:contextualSpacing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highlight w:val="white"/>
          <w:lang w:eastAsia="ru-RU"/>
        </w:rPr>
        <w:t>18. Депутатские объединения (фракции) вправе: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самостоятельно организовывать свою внутреннюю деятельность</w:t>
      </w:r>
      <w:r>
        <w:rPr>
          <w:rFonts w:ascii="Times New Roman" w:hAnsi="Times New Roman"/>
          <w:i/>
          <w:iCs/>
          <w:sz w:val="24"/>
          <w:szCs w:val="24"/>
          <w:highlight w:val="white"/>
        </w:rPr>
        <w:t>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осуществлять подготовку и внесения проектов решений Совета депутатов </w:t>
      </w:r>
      <w:r>
        <w:rPr>
          <w:rFonts w:eastAsia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в соответствии с муниципальными правовыми актами  Совета депутатов </w:t>
      </w:r>
      <w:r>
        <w:rPr>
          <w:rFonts w:eastAsia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вносить предложения по проекту повестки заседания Совета депутатов </w:t>
      </w:r>
      <w:r>
        <w:rPr>
          <w:rFonts w:eastAsia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ascii="Times New Roman" w:hAnsi="Times New Roman"/>
          <w:sz w:val="24"/>
          <w:szCs w:val="24"/>
          <w:highlight w:val="white"/>
        </w:rPr>
        <w:t>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выдвигать кандидатов на должность председателя 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Совета депутатов </w:t>
      </w:r>
      <w:r>
        <w:rPr>
          <w:rFonts w:eastAsia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highlight w:val="white"/>
        </w:rPr>
        <w:t>заместителей</w:t>
      </w:r>
      <w:r>
        <w:rPr>
          <w:rFonts w:ascii="Times New Roman" w:hAnsi="Times New Roman"/>
          <w:sz w:val="24"/>
          <w:szCs w:val="24"/>
        </w:rPr>
        <w:t xml:space="preserve"> председателя 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Совета депутатов </w:t>
      </w:r>
      <w:r>
        <w:rPr>
          <w:rFonts w:eastAsia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ascii="Times New Roman" w:hAnsi="Times New Roman"/>
          <w:sz w:val="24"/>
          <w:szCs w:val="24"/>
        </w:rPr>
        <w:t xml:space="preserve">, председателей постоянных комиссий (комитетов) Совета депутатов </w:t>
      </w:r>
      <w:r>
        <w:rPr>
          <w:rFonts w:eastAsia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предварительное обсуждение проектов ре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шений </w:t>
      </w:r>
      <w:r>
        <w:rPr>
          <w:rFonts w:ascii="Times New Roman" w:hAnsi="Times New Roman"/>
          <w:i w:val="false"/>
          <w:iCs w:val="false"/>
          <w:sz w:val="24"/>
          <w:szCs w:val="24"/>
          <w:highlight w:val="white"/>
        </w:rPr>
        <w:t xml:space="preserve">Совета депутатов </w:t>
      </w:r>
      <w:r>
        <w:rPr>
          <w:rFonts w:eastAsia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, внесенных на рассмотрение </w:t>
      </w:r>
      <w:r>
        <w:rPr>
          <w:rFonts w:ascii="Times New Roman" w:hAnsi="Times New Roman"/>
          <w:i w:val="false"/>
          <w:iCs w:val="false"/>
          <w:sz w:val="24"/>
          <w:szCs w:val="24"/>
          <w:highlight w:val="white"/>
        </w:rPr>
        <w:t xml:space="preserve">Совета депутатов </w:t>
      </w:r>
      <w:r>
        <w:rPr>
          <w:rFonts w:eastAsia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ascii="Times New Roman" w:hAnsi="Times New Roman"/>
          <w:i w:val="false"/>
          <w:iCs w:val="false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приглашать на свои заседания представителей органов государственной власти Ханты-Мансийского автономного округа </w:t>
      </w:r>
      <w:r>
        <w:rPr>
          <w:rFonts w:ascii="Times New Roman" w:hAnsi="Times New Roman"/>
          <w:sz w:val="24"/>
          <w:szCs w:val="24"/>
          <w:highlight w:val="white"/>
          <w:lang w:eastAsia="ar-SA"/>
        </w:rPr>
        <w:t>– Югры</w:t>
      </w:r>
      <w:r>
        <w:rPr>
          <w:rFonts w:ascii="Times New Roman" w:hAnsi="Times New Roman"/>
          <w:sz w:val="24"/>
          <w:szCs w:val="24"/>
          <w:highlight w:val="white"/>
        </w:rPr>
        <w:t xml:space="preserve">, органов местного самоуправления </w:t>
      </w:r>
      <w:r>
        <w:rPr>
          <w:rFonts w:eastAsia="Times New Roman" w:ascii="Times New Roman" w:hAnsi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ascii="Times New Roman" w:hAnsi="Times New Roman"/>
          <w:sz w:val="24"/>
          <w:szCs w:val="24"/>
          <w:highlight w:val="white"/>
        </w:rPr>
        <w:t>, общественных организаций, а также специалистов, экспертов и иных лиц;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обращаться с запросами в государственные органы, органы местного самоуправления, к должностным лицам, организациям и гражданам в порядке, установленном законодательством Российской Федерации;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рассматривать обращения и предложения граждан, юридических лиц, поступившие в депутатские объединения (фракции).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>
        <w:rPr>
          <w:rFonts w:ascii="Times New Roman" w:hAnsi="Times New Roman"/>
          <w:sz w:val="24"/>
          <w:szCs w:val="24"/>
          <w:highlight w:val="white"/>
        </w:rPr>
        <w:t>При необходимости для выработки совместных решений представителями различных депутатских объединений (фракций) могут проводиться совместные заседания.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ind w:firstLine="708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  <w:t>4. Обеспечение деятельности депутатских объединений (фракций)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ind w:firstLine="708"/>
        <w:jc w:val="both"/>
        <w:rPr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 xml:space="preserve">20. Организационное, документационное, информационное обеспечение деятельности депутатских объединений (фракций) осуществляет 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highlight w:val="white"/>
        </w:rPr>
        <w:t>администрация городского поселения Талинка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>.</w:t>
      </w:r>
    </w:p>
    <w:sectPr>
      <w:type w:val="nextPage"/>
      <w:pgSz w:w="11906" w:h="16838"/>
      <w:pgMar w:left="1701" w:right="965" w:gutter="0" w:header="0" w:top="56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suff w:val="space"/>
      <w:lvlText w:val="РАЗДЕЛ %1."/>
      <w:lvlJc w:val="center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Глава %2."/>
      <w:lvlJc w:val="left"/>
      <w:pPr>
        <w:tabs>
          <w:tab w:val="num" w:pos="2410"/>
        </w:tabs>
        <w:ind w:left="0" w:firstLine="709"/>
      </w:pPr>
      <w:rPr>
        <w:b w:val="false"/>
      </w:rPr>
    </w:lvl>
    <w:lvl w:ilvl="2">
      <w:start w:val="1"/>
      <w:numFmt w:val="decimal"/>
      <w:lvlText w:val="Статья %3."/>
      <w:lvlJc w:val="left"/>
      <w:pPr>
        <w:tabs>
          <w:tab w:val="num" w:pos="2410"/>
        </w:tabs>
        <w:ind w:left="0" w:firstLine="709"/>
      </w:pPr>
      <w:rPr>
        <w:b w:val="false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4395" w:firstLine="709"/>
      </w:pPr>
      <w:rPr>
        <w:sz w:val="28"/>
        <w:i w:val="false"/>
        <w:b w:val="false"/>
        <w:rFonts w:ascii="Times New Roman" w:hAnsi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709"/>
      </w:pPr>
      <w:rPr>
        <w:sz w:val="28"/>
        <w:b w:val="false"/>
        <w:rFonts w:ascii="Times New Roman" w:hAnsi="Times New Roman" w:eastAsia="Times New Roman" w:cs="Times New Roman"/>
      </w:rPr>
    </w:lvl>
    <w:lvl w:ilvl="6">
      <w:start w:val="1"/>
      <w:numFmt w:val="russianLower"/>
      <w:suff w:val="space"/>
      <w:lvlText w:val="%7)"/>
      <w:lvlJc w:val="left"/>
      <w:pPr>
        <w:tabs>
          <w:tab w:val="num" w:pos="0"/>
        </w:tabs>
        <w:ind w:left="0" w:firstLine="709"/>
      </w:pPr>
      <w:rPr>
        <w:sz w:val="28"/>
      </w:rPr>
    </w:lvl>
    <w:lvl w:ilvl="7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851"/>
      </w:pPr>
      <w:rPr>
        <w:rFonts w:ascii="Symbol" w:hAnsi="Symbol" w:cs="Symbol" w:hint="default"/>
        <w:color w:val="auto"/>
      </w:rPr>
    </w:lvl>
    <w:lvl w:ilvl="8">
      <w:start w:val="1"/>
      <w:numFmt w:val="decimal"/>
      <w:lvlText w:val="%1.%2.%3.%4.%5%6.%7.%8.%9."/>
      <w:lvlJc w:val="left"/>
      <w:pPr>
        <w:tabs>
          <w:tab w:val="num" w:pos="2160"/>
        </w:tabs>
        <w:ind w:left="2160" w:hanging="216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">
    <w:lvl w:ilvl="0">
      <w:start w:val="1"/>
      <w:isLgl/>
      <w:numFmt w:val="decimal"/>
      <w:lvlText w:val="%1)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f1c90"/>
    <w:rPr>
      <w:rFonts w:ascii="Tahoma" w:hAnsi="Tahoma" w:cs="Tahoma"/>
      <w:sz w:val="16"/>
      <w:szCs w:val="16"/>
    </w:rPr>
  </w:style>
  <w:style w:type="character" w:styleId="Style15" w:customStyle="1">
    <w:name w:val="Абзац списка Знак"/>
    <w:link w:val="ListParagraph"/>
    <w:uiPriority w:val="34"/>
    <w:qFormat/>
    <w:locked/>
    <w:rsid w:val="00176ccd"/>
    <w:rPr/>
  </w:style>
  <w:style w:type="character" w:styleId="Style16" w:customStyle="1">
    <w:name w:val="Текст сноски Знак"/>
    <w:basedOn w:val="DefaultParagraphFont"/>
    <w:semiHidden/>
    <w:qFormat/>
    <w:rsid w:val="00176cc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Основной текст с отступом 3 Знак"/>
    <w:basedOn w:val="DefaultParagraphFont"/>
    <w:link w:val="BodyTextIndent3"/>
    <w:semiHidden/>
    <w:qFormat/>
    <w:rsid w:val="00e96bf3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7" w:customStyle="1">
    <w:name w:val="Цветовое выделение"/>
    <w:uiPriority w:val="99"/>
    <w:qFormat/>
    <w:rsid w:val="00e96bf3"/>
    <w:rPr>
      <w:b/>
      <w:bCs w:val="false"/>
      <w:color w:val="26282F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user">
    <w:name w:val="Символ сноски (user)"/>
    <w:qFormat/>
    <w:rPr>
      <w:vertAlign w:val="superscript"/>
    </w:rPr>
  </w:style>
  <w:style w:type="character" w:styleId="Style1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9">
    <w:name w:val="Символ концевой сноски"/>
    <w:qFormat/>
    <w:rPr>
      <w:vertAlign w:val="superscript"/>
    </w:rPr>
  </w:style>
  <w:style w:type="character" w:styleId="user1">
    <w:name w:val="Символ концевой сноски (user)"/>
    <w:qFormat/>
    <w:rPr/>
  </w:style>
  <w:style w:type="character" w:styleId="EndnoteReference">
    <w:name w:val="endnote reference"/>
    <w:rPr>
      <w:vertAlign w:val="superscript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f1c9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5"/>
    <w:uiPriority w:val="34"/>
    <w:qFormat/>
    <w:rsid w:val="00197fe5"/>
    <w:pPr>
      <w:spacing w:before="0" w:after="200"/>
      <w:ind w:left="720"/>
      <w:contextualSpacing/>
    </w:pPr>
    <w:rPr/>
  </w:style>
  <w:style w:type="paragraph" w:styleId="ConsPlusNormal" w:customStyle="1">
    <w:name w:val="ConsPlusNormal"/>
    <w:qFormat/>
    <w:rsid w:val="00371211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8a42ae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FootnoteText">
    <w:name w:val="footnote text"/>
    <w:basedOn w:val="Normal"/>
    <w:link w:val="Style16"/>
    <w:semiHidden/>
    <w:rsid w:val="00176ccd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2" w:customStyle="1">
    <w:name w:val="Осн_СПД"/>
    <w:basedOn w:val="Normal"/>
    <w:qFormat/>
    <w:rsid w:val="00176ccd"/>
    <w:pPr>
      <w:numPr>
        <w:ilvl w:val="3"/>
        <w:numId w:val="1"/>
      </w:numPr>
      <w:spacing w:lineRule="auto" w:line="240" w:before="0" w:after="0"/>
      <w:ind w:left="0"/>
      <w:contextualSpacing/>
      <w:jc w:val="both"/>
    </w:pPr>
    <w:rPr>
      <w:rFonts w:ascii="Times New Roman" w:hAnsi="Times New Roman" w:eastAsia="Times New Roman" w:cs="Times New Roman"/>
      <w:sz w:val="28"/>
      <w:szCs w:val="26"/>
      <w:lang w:eastAsia="ru-RU"/>
    </w:rPr>
  </w:style>
  <w:style w:type="paragraph" w:styleId="Style23" w:customStyle="1">
    <w:name w:val="Статья_СПД"/>
    <w:basedOn w:val="Normal"/>
    <w:next w:val="Style22"/>
    <w:autoRedefine/>
    <w:qFormat/>
    <w:rsid w:val="00176ccd"/>
    <w:pPr>
      <w:keepNext w:val="true"/>
      <w:spacing w:lineRule="auto" w:line="240" w:before="240" w:after="240"/>
      <w:ind w:left="709"/>
      <w:jc w:val="center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qFormat/>
    <w:rsid w:val="00e96bf3"/>
    <w:pPr>
      <w:spacing w:lineRule="auto" w:line="240" w:before="0" w:after="120"/>
      <w:ind w:left="283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user6" w:default="1">
    <w:name w:val="Без списка (user)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DEB9641E320E32B4CDA56E8AB6C164487682C47705AB687BE316E477B26E619F83AF6C8B16F6EF331D885DC4S5R1H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6E32-15E6-4643-90F8-B8E0767C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Application>LibreOffice/25.2.3.2$Linux_X86_64 LibreOffice_project/520$Build-2</Application>
  <AppVersion>15.0000</AppVersion>
  <Pages>4</Pages>
  <Words>872</Words>
  <Characters>6957</Characters>
  <CharactersWithSpaces>7849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2021-01-21T13:58:00Z</dcterms:created>
  <dc:creator>Журба, Елена Алекмандровна</dc:creator>
  <dc:description/>
  <dc:language>ru-RU</dc:language>
  <cp:lastModifiedBy/>
  <cp:lastPrinted>2026-04-23T10:20:25Z</cp:lastPrinted>
  <dcterms:modified xsi:type="dcterms:W3CDTF">2026-07-03T10:58:55Z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