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_rels/document.xml.rels" ContentType="application/vnd.openxmlformats-package.relationships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/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margin">
              <wp:align>center</wp:align>
            </wp:positionH>
            <wp:positionV relativeFrom="paragraph">
              <wp:posOffset>-466725</wp:posOffset>
            </wp:positionV>
            <wp:extent cx="495300" cy="619125"/>
            <wp:effectExtent l="0" t="0" r="0" b="0"/>
            <wp:wrapNone/>
            <wp:docPr id="1" name="Рисунок 1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6"/>
          <w:szCs w:val="26"/>
        </w:rPr>
        <w:t>П</w:t>
      </w:r>
      <w:r>
        <w:rPr>
          <w:b/>
          <w:sz w:val="26"/>
          <w:szCs w:val="26"/>
        </w:rPr>
        <w:t>РОЕКТ</w:t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213"/>
        <w:gridCol w:w="574"/>
        <w:gridCol w:w="223"/>
        <w:gridCol w:w="1504"/>
        <w:gridCol w:w="362"/>
        <w:gridCol w:w="344"/>
        <w:gridCol w:w="226"/>
        <w:gridCol w:w="3845"/>
        <w:gridCol w:w="445"/>
        <w:gridCol w:w="1761"/>
      </w:tblGrid>
      <w:tr>
        <w:trPr>
          <w:trHeight w:val="80" w:hRule="exact"/>
        </w:trPr>
        <w:tc>
          <w:tcPr>
            <w:tcW w:w="9497" w:type="dxa"/>
            <w:gridSpan w:val="10"/>
            <w:tcBorders/>
          </w:tcPr>
          <w:p>
            <w:pPr>
              <w:pStyle w:val="Normal"/>
              <w:ind w:firstLine="7560"/>
              <w:rPr>
                <w:rFonts w:ascii="Georgia" w:hAnsi="Georgia"/>
                <w:b/>
                <w:b/>
              </w:rPr>
            </w:pPr>
            <w:r>
              <w:rPr>
                <w:rFonts w:ascii="Georgia" w:hAnsi="Georgia"/>
                <w:b/>
              </w:rPr>
            </w:r>
          </w:p>
        </w:tc>
      </w:tr>
      <w:tr>
        <w:trPr>
          <w:trHeight w:val="1361" w:hRule="exact"/>
        </w:trPr>
        <w:tc>
          <w:tcPr>
            <w:tcW w:w="9497" w:type="dxa"/>
            <w:gridSpan w:val="10"/>
            <w:tcBorders/>
          </w:tcPr>
          <w:p>
            <w:pPr>
              <w:pStyle w:val="Normal"/>
              <w:jc w:val="center"/>
              <w:rPr>
                <w:rFonts w:ascii="Georgia" w:hAnsi="Georgia"/>
                <w:b/>
                <w:b/>
              </w:rPr>
            </w:pPr>
            <w:r>
              <w:rPr>
                <w:rFonts w:ascii="Georgia" w:hAnsi="Georgia"/>
                <w:b/>
              </w:rPr>
              <w:t>Муниципальное образование</w:t>
            </w:r>
          </w:p>
          <w:p>
            <w:pPr>
              <w:pStyle w:val="Normal"/>
              <w:jc w:val="center"/>
              <w:rPr>
                <w:rFonts w:ascii="Georgia" w:hAnsi="Georgia"/>
                <w:b/>
                <w:b/>
              </w:rPr>
            </w:pPr>
            <w:r>
              <w:rPr>
                <w:rFonts w:ascii="Georgia" w:hAnsi="Georgia"/>
                <w:b/>
              </w:rPr>
              <w:t>Октябрьский район</w:t>
            </w:r>
          </w:p>
          <w:p>
            <w:pPr>
              <w:pStyle w:val="Normal"/>
              <w:jc w:val="center"/>
              <w:rPr>
                <w:rFonts w:ascii="Georgia" w:hAnsi="Georgia"/>
                <w:sz w:val="8"/>
                <w:szCs w:val="8"/>
              </w:rPr>
            </w:pPr>
            <w:r>
              <w:rPr>
                <w:rFonts w:ascii="Georgia" w:hAnsi="Georgia"/>
                <w:sz w:val="8"/>
                <w:szCs w:val="8"/>
              </w:rPr>
            </w:r>
          </w:p>
          <w:p>
            <w:pPr>
              <w:pStyle w:val="Normal"/>
              <w:jc w:val="center"/>
              <w:rPr>
                <w:b/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ДУМА</w:t>
            </w:r>
          </w:p>
          <w:p>
            <w:pPr>
              <w:pStyle w:val="Normal"/>
              <w:jc w:val="center"/>
              <w:rPr>
                <w:b/>
                <w:b/>
                <w:spacing w:val="40"/>
                <w:sz w:val="12"/>
                <w:szCs w:val="12"/>
              </w:rPr>
            </w:pPr>
            <w:r>
              <w:rPr>
                <w:b/>
                <w:spacing w:val="40"/>
                <w:sz w:val="12"/>
                <w:szCs w:val="12"/>
              </w:rPr>
            </w:r>
          </w:p>
          <w:p>
            <w:pPr>
              <w:pStyle w:val="Normal"/>
              <w:jc w:val="center"/>
              <w:rPr>
                <w:b/>
                <w:b/>
                <w:spacing w:val="40"/>
                <w:sz w:val="26"/>
                <w:szCs w:val="26"/>
              </w:rPr>
            </w:pPr>
            <w:r>
              <w:rPr>
                <w:b/>
                <w:spacing w:val="40"/>
                <w:sz w:val="26"/>
                <w:szCs w:val="26"/>
              </w:rPr>
              <w:t>РЕШЕНИЕ</w:t>
            </w:r>
          </w:p>
        </w:tc>
      </w:tr>
      <w:tr>
        <w:trPr>
          <w:trHeight w:val="454" w:hRule="exact"/>
        </w:trPr>
        <w:tc>
          <w:tcPr>
            <w:tcW w:w="213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jc w:val="right"/>
              <w:rPr/>
            </w:pPr>
            <w:r>
              <w:rPr/>
              <w:t>«</w:t>
            </w:r>
          </w:p>
        </w:tc>
        <w:tc>
          <w:tcPr>
            <w:tcW w:w="574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223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rPr/>
            </w:pPr>
            <w:r>
              <w:rPr/>
              <w:t>»</w:t>
            </w:r>
          </w:p>
        </w:tc>
        <w:tc>
          <w:tcPr>
            <w:tcW w:w="1504" w:type="dxa"/>
            <w:tcBorders>
              <w:bottom w:val="single" w:sz="4" w:space="0" w:color="000000"/>
            </w:tcBorders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362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ind w:right="-108" w:hanging="0"/>
              <w:jc w:val="right"/>
              <w:rPr/>
            </w:pPr>
            <w:r>
              <w:rPr/>
              <w:t>200</w:t>
            </w:r>
          </w:p>
        </w:tc>
        <w:tc>
          <w:tcPr>
            <w:tcW w:w="344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rPr/>
            </w:pPr>
            <w:r>
              <w:rPr/>
              <w:t>2</w:t>
            </w:r>
            <w:r>
              <w:rPr>
                <w:lang w:val="en-US"/>
              </w:rPr>
              <w:t>1</w:t>
            </w:r>
            <w:r>
              <w:rPr/>
              <w:t xml:space="preserve"> </w:t>
            </w:r>
          </w:p>
        </w:tc>
        <w:tc>
          <w:tcPr>
            <w:tcW w:w="226" w:type="dxa"/>
            <w:tcBorders/>
            <w:tcMar>
              <w:left w:w="0" w:type="dxa"/>
              <w:right w:w="0" w:type="dxa"/>
            </w:tcMar>
            <w:vAlign w:val="bottom"/>
          </w:tcPr>
          <w:p>
            <w:pPr>
              <w:pStyle w:val="Normal"/>
              <w:rPr/>
            </w:pPr>
            <w:r>
              <w:rPr/>
              <w:t>г.</w:t>
            </w:r>
          </w:p>
        </w:tc>
        <w:tc>
          <w:tcPr>
            <w:tcW w:w="3845" w:type="dxa"/>
            <w:tcBorders/>
            <w:vAlign w:val="bottom"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5" w:type="dxa"/>
            <w:tcBorders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№</w:t>
            </w:r>
          </w:p>
        </w:tc>
        <w:tc>
          <w:tcPr>
            <w:tcW w:w="1761" w:type="dxa"/>
            <w:tcBorders>
              <w:bottom w:val="single" w:sz="4" w:space="0" w:color="000000"/>
            </w:tcBorders>
            <w:vAlign w:val="bottom"/>
          </w:tcPr>
          <w:p>
            <w:pPr>
              <w:pStyle w:val="Normal"/>
              <w:jc w:val="center"/>
              <w:rPr/>
            </w:pPr>
            <w:r>
              <w:rPr/>
            </w:r>
          </w:p>
        </w:tc>
      </w:tr>
      <w:tr>
        <w:trPr>
          <w:trHeight w:val="567" w:hRule="exact"/>
        </w:trPr>
        <w:tc>
          <w:tcPr>
            <w:tcW w:w="9497" w:type="dxa"/>
            <w:gridSpan w:val="10"/>
            <w:tcBorders/>
          </w:tcPr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/>
            </w:pPr>
            <w:r>
              <w:rPr/>
              <w:t>пгт. Октябрьское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jc w:val="both"/>
        <w:rPr/>
      </w:pPr>
      <w:r>
        <w:rPr/>
        <w:t>О заключении Соглашений</w:t>
      </w:r>
    </w:p>
    <w:p>
      <w:pPr>
        <w:pStyle w:val="Normal"/>
        <w:jc w:val="both"/>
        <w:rPr/>
      </w:pPr>
      <w:r>
        <w:rPr/>
        <w:t xml:space="preserve">о принятии полномочий по осуществлению </w:t>
      </w:r>
    </w:p>
    <w:p>
      <w:pPr>
        <w:pStyle w:val="Normal"/>
        <w:jc w:val="both"/>
        <w:rPr/>
      </w:pPr>
      <w:r>
        <w:rPr/>
        <w:t>внешнего муниципального финансового контроля</w:t>
      </w:r>
    </w:p>
    <w:p>
      <w:pPr>
        <w:pStyle w:val="Normal"/>
        <w:jc w:val="both"/>
        <w:rPr>
          <w:lang w:val="en-US"/>
        </w:rPr>
      </w:pPr>
      <w:r>
        <w:rPr/>
        <w:t>на 2022-2024 год</w:t>
      </w:r>
      <w:r>
        <w:rPr>
          <w:lang w:val="en-US"/>
        </w:rPr>
        <w:t>ы</w:t>
      </w:r>
    </w:p>
    <w:p>
      <w:pPr>
        <w:pStyle w:val="Normal"/>
        <w:numPr>
          <w:ilvl w:val="0"/>
          <w:numId w:val="0"/>
        </w:numPr>
        <w:ind w:firstLine="540"/>
        <w:jc w:val="both"/>
        <w:outlineLvl w:val="0"/>
        <w:rPr>
          <w:bCs/>
        </w:rPr>
      </w:pPr>
      <w:r>
        <w:rPr>
          <w:bCs/>
        </w:rPr>
      </w:r>
    </w:p>
    <w:p>
      <w:pPr>
        <w:pStyle w:val="Normal"/>
        <w:numPr>
          <w:ilvl w:val="0"/>
          <w:numId w:val="0"/>
        </w:numPr>
        <w:ind w:firstLine="540"/>
        <w:jc w:val="both"/>
        <w:outlineLvl w:val="0"/>
        <w:rPr>
          <w:bCs/>
        </w:rPr>
      </w:pPr>
      <w:r>
        <w:rPr>
          <w:bCs/>
        </w:rPr>
      </w:r>
    </w:p>
    <w:p>
      <w:pPr>
        <w:pStyle w:val="Normal"/>
        <w:ind w:firstLine="708"/>
        <w:jc w:val="both"/>
        <w:rPr>
          <w:bCs/>
        </w:rPr>
      </w:pPr>
      <w:r>
        <w:rPr>
          <w:bCs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07.12.2011 № 6-ФЗ         «Об общих принципах  организации и деятельности контрольно-счетных органов субъектов Российской Федерации и муниципальных образований», </w:t>
      </w:r>
      <w:r>
        <w:rPr/>
        <w:t xml:space="preserve">Положением о Контрольно-счетной палате Октябрьского района, утвержденным решением Думы Октябрьского района                             от 23.09.2011 № 186, </w:t>
      </w:r>
      <w:r>
        <w:rPr>
          <w:bCs/>
        </w:rPr>
        <w:t>Дума Октябрьского района РЕШИЛА:</w:t>
      </w:r>
    </w:p>
    <w:p>
      <w:pPr>
        <w:pStyle w:val="Normal"/>
        <w:ind w:firstLine="708"/>
        <w:jc w:val="both"/>
        <w:rPr/>
      </w:pPr>
      <w:r>
        <w:rPr>
          <w:bCs/>
        </w:rPr>
        <w:t xml:space="preserve">1. Контрольно-счетной палате Октябрьского района принять на период с 01.01.2022 по 31.12.2024 полномочия по осуществлению </w:t>
      </w:r>
      <w:r>
        <w:rPr/>
        <w:t xml:space="preserve">внешнего муниципального финансового контроля от городских и сельских поселений, входящих в состав Октябрьского района: </w:t>
      </w:r>
    </w:p>
    <w:p>
      <w:pPr>
        <w:pStyle w:val="Normal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1.1. </w:t>
      </w:r>
      <w:r>
        <w:rPr/>
        <w:t>организация и осуществление контроля за законностью и эффективностью использования средств местного бюджета, а также иных средств в случаях, предусмотренных законодательством Российской Федерации</w:t>
      </w:r>
      <w:r>
        <w:rPr>
          <w:rFonts w:eastAsia="Calibri" w:eastAsiaTheme="minorHAnsi"/>
          <w:lang w:eastAsia="en-US"/>
        </w:rPr>
        <w:t>;</w:t>
      </w:r>
    </w:p>
    <w:p>
      <w:pPr>
        <w:pStyle w:val="Normal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1.2. экспертиза проектов местного бюджета,</w:t>
      </w:r>
      <w:r>
        <w:rPr>
          <w:rFonts w:cs="Arial" w:ascii="Arial" w:hAnsi="Arial"/>
          <w:sz w:val="20"/>
          <w:szCs w:val="20"/>
        </w:rPr>
        <w:t xml:space="preserve"> </w:t>
      </w:r>
      <w:r>
        <w:rPr/>
        <w:t>проверка и анализ обоснованности его показателей</w:t>
      </w:r>
      <w:r>
        <w:rPr>
          <w:rFonts w:eastAsia="Calibri" w:eastAsiaTheme="minorHAnsi"/>
          <w:lang w:eastAsia="en-US"/>
        </w:rPr>
        <w:t>;</w:t>
      </w:r>
    </w:p>
    <w:p>
      <w:pPr>
        <w:pStyle w:val="Normal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1.3.  внешняя проверка годового отчета об исполнении местного бюджета;</w:t>
      </w:r>
    </w:p>
    <w:p>
      <w:pPr>
        <w:pStyle w:val="Normal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1.4. </w:t>
      </w:r>
      <w:r>
        <w:rPr/>
        <w:t>проведение аудита в сфере закупок товаров, работ и услуг в соответствии с Федеральным законом</w:t>
      </w:r>
      <w:hyperlink r:id="rId3">
        <w:r>
          <w:rPr/>
          <w:t xml:space="preserve"> от 05.04.2013 года № 44-ФЗ «О контрактной системе в сфере закупок товаров, работ, услуг для обеспечения государственных и муниципальных нужд»;</w:t>
        </w:r>
      </w:hyperlink>
    </w:p>
    <w:p>
      <w:pPr>
        <w:pStyle w:val="Normal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1.5. </w:t>
      </w:r>
      <w:r>
        <w:rPr/>
        <w:t>оценка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>
      <w:pPr>
        <w:pStyle w:val="Normal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1.6.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</w:p>
    <w:p>
      <w:pPr>
        <w:pStyle w:val="Normal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 </w:t>
      </w:r>
      <w:r>
        <w:rPr>
          <w:rFonts w:eastAsia="Calibri" w:eastAsiaTheme="minorHAnsi"/>
          <w:lang w:eastAsia="en-US"/>
        </w:rPr>
        <w:t>1.7. экспертиза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>
      <w:pPr>
        <w:pStyle w:val="Normal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</w:r>
    </w:p>
    <w:p>
      <w:pPr>
        <w:pStyle w:val="Normal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1.8. анализ и мониторинг бюджетного процесса в муниципальном образовании,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>
      <w:pPr>
        <w:pStyle w:val="Normal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1.9. проведение оперативного анализа исполнения и контроля за организацией исполнения местного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представительный орган муниципального образования и главе муниципального образования;</w:t>
      </w:r>
    </w:p>
    <w:p>
      <w:pPr>
        <w:pStyle w:val="Normal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 </w:t>
      </w:r>
      <w:r>
        <w:rPr>
          <w:rFonts w:eastAsia="Calibri" w:eastAsiaTheme="minorHAnsi"/>
          <w:lang w:eastAsia="en-US"/>
        </w:rPr>
        <w:t>1.10. осуществление контроля за состоянием муниципального внутреннего и внешнего долга;</w:t>
      </w:r>
    </w:p>
    <w:p>
      <w:pPr>
        <w:pStyle w:val="Normal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 </w:t>
      </w:r>
      <w:r>
        <w:rPr>
          <w:rFonts w:eastAsia="Calibri" w:eastAsiaTheme="minorHAnsi"/>
          <w:lang w:eastAsia="en-US"/>
        </w:rPr>
        <w:t>1.11. оценка реализуемости, рисков и результатов достижения целей социально-экономического развития муниципального образования, предусмотренных документами стратегического планирования муниципального образования, в пределах компетенции контрольно-счетного органа муниципального образования;</w:t>
      </w:r>
    </w:p>
    <w:p>
      <w:pPr>
        <w:pStyle w:val="Normal"/>
        <w:ind w:firstLine="540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 xml:space="preserve">   </w:t>
      </w:r>
      <w:r>
        <w:rPr>
          <w:rFonts w:eastAsia="Calibri" w:eastAsiaTheme="minorHAnsi"/>
          <w:lang w:eastAsia="en-US"/>
        </w:rPr>
        <w:t>1.12. участие в пределах полномочий в мероприятиях, направленных на противодействие коррупции;</w:t>
      </w:r>
    </w:p>
    <w:p>
      <w:pPr>
        <w:pStyle w:val="Normal"/>
        <w:ind w:firstLine="709"/>
        <w:jc w:val="both"/>
        <w:rPr>
          <w:rFonts w:eastAsia="Calibri" w:eastAsiaTheme="minorHAnsi"/>
          <w:lang w:eastAsia="en-US"/>
        </w:rPr>
      </w:pPr>
      <w:r>
        <w:rPr>
          <w:rFonts w:eastAsia="Calibri" w:eastAsiaTheme="minorHAnsi"/>
          <w:lang w:eastAsia="en-US"/>
        </w:rPr>
        <w:t>1.11. иные полномочия в сфере внешнего муниципального финансового контроля, установленные федеральными законами, законами субъекта Российской Федерации, уставом и нормативными правовыми актами представительного органа муниципального образования.</w:t>
      </w:r>
    </w:p>
    <w:p>
      <w:pPr>
        <w:pStyle w:val="Normal"/>
        <w:ind w:firstLine="708"/>
        <w:jc w:val="both"/>
        <w:rPr>
          <w:bCs/>
        </w:rPr>
      </w:pPr>
      <w:r>
        <w:rPr>
          <w:color w:val="000000"/>
        </w:rPr>
        <w:t xml:space="preserve">2. Думе Октябрьского района </w:t>
      </w:r>
      <w:r>
        <w:rPr>
          <w:bCs/>
        </w:rPr>
        <w:t xml:space="preserve">заключить </w:t>
      </w:r>
      <w:r>
        <w:rPr/>
        <w:t xml:space="preserve">Соглашения о передаче </w:t>
      </w:r>
      <w:r>
        <w:rPr>
          <w:bCs/>
        </w:rPr>
        <w:t xml:space="preserve">полномочий по осуществлению </w:t>
      </w:r>
      <w:r>
        <w:rPr/>
        <w:t>внешнего муниципального финансового контроля с Советами депутатов городских и сельских поселений, входящих в состав Октябрьского района.</w:t>
      </w:r>
      <w:r>
        <w:rPr>
          <w:bCs/>
        </w:rPr>
        <w:t xml:space="preserve"> </w:t>
      </w:r>
    </w:p>
    <w:p>
      <w:pPr>
        <w:pStyle w:val="Normal"/>
        <w:ind w:firstLine="708"/>
        <w:jc w:val="both"/>
        <w:rPr>
          <w:bCs/>
        </w:rPr>
      </w:pPr>
      <w:r>
        <w:rPr>
          <w:bCs/>
        </w:rPr>
        <w:t>3. Решение вступает в силу после официального опубликования.</w:t>
      </w:r>
    </w:p>
    <w:p>
      <w:pPr>
        <w:pStyle w:val="Normal"/>
        <w:ind w:firstLine="708"/>
        <w:jc w:val="both"/>
        <w:rPr>
          <w:bCs/>
        </w:rPr>
      </w:pPr>
      <w:r>
        <w:rPr>
          <w:bCs/>
        </w:rPr>
        <w:t>4. Настоящее решение опубликовать в сетевом издании «октвести.ру».</w:t>
      </w:r>
    </w:p>
    <w:p>
      <w:pPr>
        <w:pStyle w:val="Normal"/>
        <w:ind w:firstLine="708"/>
        <w:jc w:val="both"/>
        <w:rPr>
          <w:bCs/>
        </w:rPr>
      </w:pPr>
      <w:r>
        <w:rPr>
          <w:bCs/>
        </w:rPr>
        <w:t>5. Контроль за выполнением решения возложить на постоянную комиссию Думы Октябрьского района по бюджету, налогам и финансам.</w:t>
      </w:r>
    </w:p>
    <w:p>
      <w:pPr>
        <w:pStyle w:val="Normal"/>
        <w:tabs>
          <w:tab w:val="clear" w:pos="708"/>
          <w:tab w:val="left" w:pos="0" w:leader="none"/>
        </w:tabs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tbl>
      <w:tblPr>
        <w:tblW w:w="945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107"/>
        <w:gridCol w:w="1419"/>
        <w:gridCol w:w="444"/>
        <w:gridCol w:w="576"/>
        <w:gridCol w:w="944"/>
        <w:gridCol w:w="1298"/>
        <w:gridCol w:w="2519"/>
        <w:gridCol w:w="2148"/>
      </w:tblGrid>
      <w:tr>
        <w:trPr/>
        <w:tc>
          <w:tcPr>
            <w:tcW w:w="4788" w:type="dxa"/>
            <w:gridSpan w:val="6"/>
            <w:tcBorders/>
          </w:tcPr>
          <w:p>
            <w:pPr>
              <w:pStyle w:val="Normal"/>
              <w:rPr/>
            </w:pPr>
            <w:r>
              <w:rPr/>
              <w:t>Председатель Думы Октябрьского района</w:t>
            </w:r>
          </w:p>
        </w:tc>
        <w:tc>
          <w:tcPr>
            <w:tcW w:w="251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48" w:type="dxa"/>
            <w:tcBorders/>
          </w:tcPr>
          <w:p>
            <w:pPr>
              <w:pStyle w:val="Normal"/>
              <w:jc w:val="right"/>
              <w:rPr/>
            </w:pPr>
            <w:r>
              <w:rPr/>
              <w:t>Е.И. Соломаха</w:t>
            </w:r>
          </w:p>
        </w:tc>
      </w:tr>
      <w:tr>
        <w:trPr/>
        <w:tc>
          <w:tcPr>
            <w:tcW w:w="4788" w:type="dxa"/>
            <w:gridSpan w:val="6"/>
            <w:tcBorders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Исполняющий обязанности</w:t>
            </w:r>
          </w:p>
          <w:p>
            <w:pPr>
              <w:pStyle w:val="Normal"/>
              <w:rPr/>
            </w:pPr>
            <w:r>
              <w:rPr/>
              <w:t>главы Октябрьского района</w:t>
            </w:r>
          </w:p>
        </w:tc>
        <w:tc>
          <w:tcPr>
            <w:tcW w:w="251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48" w:type="dxa"/>
            <w:tcBorders/>
          </w:tcPr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/>
            </w:r>
          </w:p>
          <w:p>
            <w:pPr>
              <w:pStyle w:val="Normal"/>
              <w:jc w:val="right"/>
              <w:rPr/>
            </w:pPr>
            <w:r>
              <w:rPr/>
              <w:t>Н.В. Хромов</w:t>
            </w:r>
          </w:p>
        </w:tc>
      </w:tr>
      <w:tr>
        <w:trPr/>
        <w:tc>
          <w:tcPr>
            <w:tcW w:w="10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419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44" w:type="dxa"/>
            <w:tcBorders/>
          </w:tcPr>
          <w:p>
            <w:pPr>
              <w:pStyle w:val="Normal"/>
              <w:rPr/>
            </w:pPr>
            <w:r>
              <w:rPr/>
              <w:t>№</w:t>
            </w:r>
          </w:p>
        </w:tc>
        <w:tc>
          <w:tcPr>
            <w:tcW w:w="576" w:type="dxa"/>
            <w:tcBorders>
              <w:bottom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/>
            </w:r>
          </w:p>
        </w:tc>
        <w:tc>
          <w:tcPr>
            <w:tcW w:w="944" w:type="dxa"/>
            <w:tcBorders/>
          </w:tcPr>
          <w:p>
            <w:pPr>
              <w:pStyle w:val="Normal"/>
              <w:rPr/>
            </w:pPr>
            <w:r>
              <w:rPr/>
              <w:t>«Д-5 »</w:t>
            </w:r>
          </w:p>
        </w:tc>
        <w:tc>
          <w:tcPr>
            <w:tcW w:w="129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51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148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701" w:right="707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Georgia">
    <w:charset w:val="01"/>
    <w:family w:val="roman"/>
    <w:pitch w:val="default"/>
  </w:font>
  <w:font w:name="Arial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semiHidden="1" w:unhideWhenUsed="1" w:qFormat="1"/>
    <w:lsdException w:name="heading 3" w:locked="1" w:uiPriority="0" w:semiHidden="1" w:unhideWhenUsed="1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f5996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Привязка сноски"/>
    <w:rPr>
      <w:rFonts w:cs="Times New Roman"/>
      <w:vertAlign w:val="superscript"/>
    </w:rPr>
  </w:style>
  <w:style w:type="character" w:styleId="FootnoteCharacters">
    <w:name w:val="Footnote Characters"/>
    <w:basedOn w:val="DefaultParagraphFont"/>
    <w:uiPriority w:val="99"/>
    <w:semiHidden/>
    <w:qFormat/>
    <w:rsid w:val="00644600"/>
    <w:rPr>
      <w:rFonts w:cs="Times New Roman"/>
      <w:vertAlign w:val="superscript"/>
    </w:rPr>
  </w:style>
  <w:style w:type="character" w:styleId="Style15" w:customStyle="1">
    <w:name w:val="Текст выноски Знак"/>
    <w:basedOn w:val="DefaultParagraphFont"/>
    <w:link w:val="a5"/>
    <w:uiPriority w:val="99"/>
    <w:semiHidden/>
    <w:qFormat/>
    <w:rsid w:val="001e6ff0"/>
    <w:rPr>
      <w:rFonts w:ascii="Segoe UI" w:hAnsi="Segoe UI" w:cs="Segoe UI"/>
      <w:sz w:val="18"/>
      <w:szCs w:val="18"/>
    </w:rPr>
  </w:style>
  <w:style w:type="character" w:styleId="Style16">
    <w:name w:val="Интернет-ссылка"/>
    <w:rPr>
      <w:color w:val="000080"/>
      <w:u w:val="single"/>
      <w:lang w:val="zxx" w:eastAsia="zxx" w:bidi="zxx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d02fa6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a6"/>
    <w:uiPriority w:val="99"/>
    <w:semiHidden/>
    <w:unhideWhenUsed/>
    <w:qFormat/>
    <w:rsid w:val="001e6ff0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consultantplus://offline/ref=73D2803795463B56012A8475FD32C71E231C0E00A63011E43031F196362EA6830813714B8E9C0677E69A4167C6C3P6L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LibreOffice/6.4.7.2$Linux_X86_64 LibreOffice_project/40$Build-2</Application>
  <Pages>2</Pages>
  <Words>526</Words>
  <Characters>4042</Characters>
  <CharactersWithSpaces>4575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2021-11-17T03:54:00Z</dcterms:created>
  <dc:creator>Shabolina</dc:creator>
  <dc:description/>
  <dc:language>ru-RU</dc:language>
  <cp:lastModifiedBy>PalyLV</cp:lastModifiedBy>
  <cp:lastPrinted>2018-11-28T06:43:00Z</cp:lastPrinted>
  <dcterms:modified xsi:type="dcterms:W3CDTF">2021-11-17T03:54:00Z</dcterms:modified>
  <cp:revision>2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