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90" w:rsidRPr="00102482" w:rsidRDefault="00790F90" w:rsidP="002E53E4">
      <w:pPr>
        <w:tabs>
          <w:tab w:val="left" w:pos="720"/>
        </w:tabs>
        <w:ind w:right="38"/>
        <w:jc w:val="right"/>
      </w:pPr>
      <w:r w:rsidRPr="00102482"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3E4">
        <w:t>ПРОЕКТ</w:t>
      </w:r>
    </w:p>
    <w:p w:rsidR="00790F90" w:rsidRPr="00102482" w:rsidRDefault="00790F90" w:rsidP="00790F90">
      <w:pPr>
        <w:tabs>
          <w:tab w:val="left" w:pos="7125"/>
        </w:tabs>
        <w:ind w:right="38"/>
        <w:rPr>
          <w:b/>
          <w:sz w:val="28"/>
          <w:szCs w:val="28"/>
        </w:rPr>
      </w:pPr>
      <w:r w:rsidRPr="00102482">
        <w:tab/>
      </w:r>
      <w:r w:rsidRPr="00102482">
        <w:tab/>
      </w:r>
    </w:p>
    <w:p w:rsidR="00790F90" w:rsidRPr="00102482" w:rsidRDefault="00790F90" w:rsidP="00790F90">
      <w:pPr>
        <w:tabs>
          <w:tab w:val="left" w:pos="7125"/>
        </w:tabs>
        <w:ind w:right="38"/>
        <w:rPr>
          <w:b/>
          <w:sz w:val="28"/>
          <w:szCs w:val="28"/>
        </w:rPr>
      </w:pPr>
    </w:p>
    <w:p w:rsidR="00790F90" w:rsidRPr="00102482" w:rsidRDefault="00790F90" w:rsidP="00790F90">
      <w:pPr>
        <w:ind w:right="38"/>
        <w:jc w:val="right"/>
      </w:pPr>
    </w:p>
    <w:tbl>
      <w:tblPr>
        <w:tblW w:w="10432" w:type="dxa"/>
        <w:tblInd w:w="-70" w:type="dxa"/>
        <w:tblLayout w:type="fixed"/>
        <w:tblLook w:val="01E0" w:firstRow="1" w:lastRow="1" w:firstColumn="1" w:lastColumn="1" w:noHBand="0" w:noVBand="0"/>
      </w:tblPr>
      <w:tblGrid>
        <w:gridCol w:w="236"/>
        <w:gridCol w:w="543"/>
        <w:gridCol w:w="284"/>
        <w:gridCol w:w="1457"/>
        <w:gridCol w:w="864"/>
        <w:gridCol w:w="3864"/>
        <w:gridCol w:w="441"/>
        <w:gridCol w:w="2035"/>
        <w:gridCol w:w="708"/>
      </w:tblGrid>
      <w:tr w:rsidR="00790F90" w:rsidRPr="00102482" w:rsidTr="004D79BE">
        <w:trPr>
          <w:trHeight w:hRule="exact" w:val="1154"/>
        </w:trPr>
        <w:tc>
          <w:tcPr>
            <w:tcW w:w="10432" w:type="dxa"/>
            <w:gridSpan w:val="9"/>
          </w:tcPr>
          <w:p w:rsidR="00790F90" w:rsidRPr="00102482" w:rsidRDefault="00790F90" w:rsidP="00577E25">
            <w:pPr>
              <w:ind w:right="-82"/>
              <w:jc w:val="center"/>
              <w:rPr>
                <w:rFonts w:ascii="Georgia" w:hAnsi="Georgia"/>
                <w:b/>
              </w:rPr>
            </w:pPr>
            <w:r w:rsidRPr="00102482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790F90" w:rsidRPr="00102482" w:rsidRDefault="00790F90" w:rsidP="00577E25">
            <w:pPr>
              <w:ind w:right="-82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790F90" w:rsidRPr="00102482" w:rsidRDefault="00790F90" w:rsidP="00577E25">
            <w:pPr>
              <w:ind w:right="-82"/>
              <w:jc w:val="center"/>
              <w:rPr>
                <w:b/>
                <w:sz w:val="26"/>
                <w:szCs w:val="26"/>
              </w:rPr>
            </w:pPr>
            <w:r w:rsidRPr="00102482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790F90" w:rsidRPr="00102482" w:rsidRDefault="00790F90" w:rsidP="00577E25">
            <w:pPr>
              <w:ind w:right="-82"/>
              <w:jc w:val="center"/>
              <w:rPr>
                <w:sz w:val="12"/>
                <w:szCs w:val="12"/>
              </w:rPr>
            </w:pPr>
          </w:p>
          <w:p w:rsidR="00790F90" w:rsidRPr="00102482" w:rsidRDefault="00790F90" w:rsidP="00577E25">
            <w:pPr>
              <w:ind w:right="-82"/>
              <w:jc w:val="center"/>
              <w:rPr>
                <w:b/>
                <w:sz w:val="26"/>
                <w:szCs w:val="26"/>
              </w:rPr>
            </w:pPr>
            <w:r w:rsidRPr="00102482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790F90" w:rsidRPr="00102482" w:rsidTr="004D79BE">
        <w:trPr>
          <w:gridAfter w:val="1"/>
          <w:wAfter w:w="708" w:type="dxa"/>
          <w:trHeight w:val="462"/>
        </w:trPr>
        <w:tc>
          <w:tcPr>
            <w:tcW w:w="236" w:type="dxa"/>
            <w:vAlign w:val="bottom"/>
          </w:tcPr>
          <w:p w:rsidR="00790F90" w:rsidRPr="00102482" w:rsidRDefault="005E039B" w:rsidP="00577E25">
            <w:pPr>
              <w:ind w:right="-82"/>
              <w:jc w:val="right"/>
            </w:pPr>
            <w:r>
              <w:t>«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bottom"/>
          </w:tcPr>
          <w:p w:rsidR="00790F90" w:rsidRPr="00102482" w:rsidRDefault="00790F90" w:rsidP="00577E25">
            <w:pPr>
              <w:ind w:right="-82"/>
              <w:jc w:val="center"/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790F90" w:rsidRPr="00102482" w:rsidRDefault="004D79BE" w:rsidP="004D79BE">
            <w:pPr>
              <w:ind w:left="4" w:right="135"/>
            </w:pPr>
            <w:r>
              <w:t>»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bottom"/>
          </w:tcPr>
          <w:p w:rsidR="00790F90" w:rsidRPr="00102482" w:rsidRDefault="00790F90" w:rsidP="00577E25">
            <w:pPr>
              <w:ind w:right="-82"/>
              <w:jc w:val="center"/>
            </w:pPr>
          </w:p>
        </w:tc>
        <w:tc>
          <w:tcPr>
            <w:tcW w:w="864" w:type="dxa"/>
            <w:vAlign w:val="bottom"/>
          </w:tcPr>
          <w:p w:rsidR="00790F90" w:rsidRPr="00102482" w:rsidRDefault="00790F90" w:rsidP="00577E25">
            <w:pPr>
              <w:ind w:right="-82"/>
            </w:pPr>
            <w:r w:rsidRPr="00102482">
              <w:t>20</w:t>
            </w:r>
            <w:r>
              <w:rPr>
                <w:lang w:val="en-US"/>
              </w:rPr>
              <w:t xml:space="preserve">20 </w:t>
            </w:r>
            <w:r w:rsidRPr="00102482">
              <w:t>г.</w:t>
            </w:r>
          </w:p>
        </w:tc>
        <w:tc>
          <w:tcPr>
            <w:tcW w:w="3864" w:type="dxa"/>
            <w:vAlign w:val="bottom"/>
          </w:tcPr>
          <w:p w:rsidR="00790F90" w:rsidRPr="00102482" w:rsidRDefault="00790F90" w:rsidP="00577E25">
            <w:pPr>
              <w:ind w:right="-82"/>
            </w:pPr>
          </w:p>
        </w:tc>
        <w:tc>
          <w:tcPr>
            <w:tcW w:w="441" w:type="dxa"/>
            <w:vAlign w:val="bottom"/>
          </w:tcPr>
          <w:p w:rsidR="00790F90" w:rsidRPr="00102482" w:rsidRDefault="00790F90" w:rsidP="00577E25">
            <w:pPr>
              <w:ind w:right="-82"/>
              <w:jc w:val="center"/>
            </w:pPr>
            <w:r w:rsidRPr="00102482">
              <w:t>№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bottom"/>
          </w:tcPr>
          <w:p w:rsidR="00790F90" w:rsidRPr="00102482" w:rsidRDefault="00790F90" w:rsidP="00577E25">
            <w:pPr>
              <w:ind w:right="-82"/>
              <w:jc w:val="center"/>
            </w:pPr>
          </w:p>
        </w:tc>
      </w:tr>
      <w:tr w:rsidR="00790F90" w:rsidRPr="00102482" w:rsidTr="004D79BE">
        <w:trPr>
          <w:trHeight w:hRule="exact" w:val="577"/>
        </w:trPr>
        <w:tc>
          <w:tcPr>
            <w:tcW w:w="10432" w:type="dxa"/>
            <w:gridSpan w:val="9"/>
            <w:tcMar>
              <w:top w:w="227" w:type="dxa"/>
            </w:tcMar>
          </w:tcPr>
          <w:p w:rsidR="00790F90" w:rsidRPr="00102482" w:rsidRDefault="00790F90" w:rsidP="00194D3F">
            <w:pPr>
              <w:ind w:right="-82"/>
            </w:pPr>
            <w:proofErr w:type="spellStart"/>
            <w:r w:rsidRPr="00102482">
              <w:t>пгт</w:t>
            </w:r>
            <w:proofErr w:type="spellEnd"/>
            <w:r w:rsidRPr="00102482">
              <w:t>. Октябрьское</w:t>
            </w:r>
          </w:p>
        </w:tc>
      </w:tr>
    </w:tbl>
    <w:p w:rsidR="00790F90" w:rsidRPr="00194D3F" w:rsidRDefault="00790F90" w:rsidP="00194D3F">
      <w:pPr>
        <w:ind w:right="5102"/>
        <w:rPr>
          <w:sz w:val="16"/>
          <w:szCs w:val="16"/>
        </w:rPr>
      </w:pPr>
    </w:p>
    <w:p w:rsidR="00194D3F" w:rsidRPr="00102482" w:rsidRDefault="00194D3F" w:rsidP="00194D3F">
      <w:pPr>
        <w:ind w:right="5102"/>
      </w:pPr>
    </w:p>
    <w:p w:rsidR="00790F90" w:rsidRPr="00102482" w:rsidRDefault="00CA7744" w:rsidP="00194D3F">
      <w:pPr>
        <w:pStyle w:val="a9"/>
        <w:spacing w:after="0"/>
        <w:ind w:right="4108"/>
      </w:pPr>
      <w:r w:rsidRPr="00CA7744">
        <w:t xml:space="preserve">О </w:t>
      </w:r>
      <w:r w:rsidR="00194D3F">
        <w:t>П</w:t>
      </w:r>
      <w:r w:rsidRPr="00CA7744">
        <w:t xml:space="preserve">орядке оценки надежности банковской гарантии, поручительства, предоставляемых в обеспечение исполнения обязательств юридического лица, муниципального образования по возврату бюджетного кредита, уплате процентных и иных платежей </w:t>
      </w:r>
      <w:r>
        <w:t>в бюджет Октябрьского района</w:t>
      </w:r>
    </w:p>
    <w:p w:rsidR="00790F90" w:rsidRDefault="00790F90" w:rsidP="00194D3F">
      <w:pPr>
        <w:pStyle w:val="a9"/>
        <w:spacing w:after="0"/>
      </w:pPr>
    </w:p>
    <w:p w:rsidR="00194D3F" w:rsidRPr="00102482" w:rsidRDefault="00194D3F" w:rsidP="00194D3F">
      <w:pPr>
        <w:pStyle w:val="a9"/>
        <w:spacing w:after="0"/>
      </w:pPr>
    </w:p>
    <w:p w:rsidR="00790F90" w:rsidRPr="00102482" w:rsidRDefault="00A13FF6" w:rsidP="00555375">
      <w:pPr>
        <w:ind w:right="-2" w:firstLine="567"/>
        <w:jc w:val="both"/>
      </w:pPr>
      <w:r>
        <w:t xml:space="preserve">В соответствии </w:t>
      </w:r>
      <w:r w:rsidRPr="001D76D3">
        <w:t>со статьей 93.2</w:t>
      </w:r>
      <w:r>
        <w:t xml:space="preserve"> </w:t>
      </w:r>
      <w:r w:rsidRPr="001D76D3">
        <w:t>Бюджетного кодекса Российской Федерации</w:t>
      </w:r>
      <w:r w:rsidR="00790F90" w:rsidRPr="00102482">
        <w:t>:</w:t>
      </w:r>
    </w:p>
    <w:p w:rsidR="00790F90" w:rsidRDefault="00790F90" w:rsidP="00555375">
      <w:pPr>
        <w:ind w:right="-2" w:firstLine="567"/>
        <w:jc w:val="both"/>
      </w:pPr>
      <w:r>
        <w:t xml:space="preserve">1. Утвердить </w:t>
      </w:r>
      <w:r w:rsidR="00CA7744">
        <w:t>П</w:t>
      </w:r>
      <w:r w:rsidR="00CA7744" w:rsidRPr="00CA7744">
        <w:t xml:space="preserve">орядок оценки надежности банковской гарантии, поручительства, предоставляемых в обеспечение исполнения обязательств юридического лица, муниципального образования по возврату бюджетного кредита, уплате процентных и иных платежей в бюджет </w:t>
      </w:r>
      <w:r w:rsidR="00CA7744">
        <w:t>Октябрьского района</w:t>
      </w:r>
      <w:r>
        <w:t xml:space="preserve"> согласно приложению.</w:t>
      </w:r>
    </w:p>
    <w:p w:rsidR="00790F90" w:rsidRPr="00194D3F" w:rsidRDefault="00193A83" w:rsidP="00555375">
      <w:pPr>
        <w:ind w:right="-2" w:firstLine="567"/>
        <w:jc w:val="both"/>
      </w:pPr>
      <w:r w:rsidRPr="00194D3F">
        <w:rPr>
          <w:rStyle w:val="FontStyle15"/>
          <w:sz w:val="24"/>
          <w:szCs w:val="24"/>
        </w:rPr>
        <w:t>2</w:t>
      </w:r>
      <w:r w:rsidR="00790F90" w:rsidRPr="00194D3F">
        <w:rPr>
          <w:rStyle w:val="FontStyle15"/>
          <w:sz w:val="24"/>
          <w:szCs w:val="24"/>
        </w:rPr>
        <w:t xml:space="preserve">. </w:t>
      </w:r>
      <w:r w:rsidR="00790F90" w:rsidRPr="00194D3F">
        <w:t xml:space="preserve">Опубликовать постановление в официальном сетевом издании </w:t>
      </w:r>
      <w:r w:rsidR="005E039B">
        <w:t>«</w:t>
      </w:r>
      <w:proofErr w:type="spellStart"/>
      <w:proofErr w:type="gramStart"/>
      <w:r w:rsidR="00790F90" w:rsidRPr="00194D3F">
        <w:t>октвести.ру</w:t>
      </w:r>
      <w:proofErr w:type="spellEnd"/>
      <w:proofErr w:type="gramEnd"/>
      <w:r w:rsidR="005E039B">
        <w:t>»</w:t>
      </w:r>
      <w:r w:rsidR="00790F90" w:rsidRPr="00194D3F">
        <w:t>.</w:t>
      </w:r>
    </w:p>
    <w:p w:rsidR="00790F90" w:rsidRPr="00102482" w:rsidRDefault="00193A83" w:rsidP="00555375">
      <w:pPr>
        <w:tabs>
          <w:tab w:val="left" w:pos="993"/>
        </w:tabs>
        <w:ind w:right="-2" w:firstLine="567"/>
        <w:jc w:val="both"/>
      </w:pPr>
      <w:r w:rsidRPr="00193A83">
        <w:t>3</w:t>
      </w:r>
      <w:r w:rsidR="00790F90">
        <w:t>.</w:t>
      </w:r>
      <w:r w:rsidR="00790F90">
        <w:tab/>
        <w:t xml:space="preserve">Контроль за выполнением </w:t>
      </w:r>
      <w:r w:rsidR="00790F90" w:rsidRPr="00102482">
        <w:t>по</w:t>
      </w:r>
      <w:r w:rsidR="00790F90">
        <w:t>становления возложить на</w:t>
      </w:r>
      <w:r w:rsidR="00790F90" w:rsidRPr="00102482">
        <w:t xml:space="preserve"> </w:t>
      </w:r>
      <w:r w:rsidR="00790F90">
        <w:t xml:space="preserve">заместителя главы </w:t>
      </w:r>
      <w:r w:rsidR="00790F90" w:rsidRPr="00102482">
        <w:t xml:space="preserve">Октябрьского района по экономике, финансам, председателя Комитета по управлению муниципальными финансами </w:t>
      </w:r>
      <w:r w:rsidR="00790F90">
        <w:t xml:space="preserve">администрации Октябрьского района </w:t>
      </w:r>
      <w:r w:rsidR="00790F90" w:rsidRPr="00102482">
        <w:t>Куклину Н.Г.</w:t>
      </w:r>
    </w:p>
    <w:p w:rsidR="00790F90" w:rsidRPr="00102482" w:rsidRDefault="00790F90" w:rsidP="00194D3F">
      <w:pPr>
        <w:ind w:firstLine="567"/>
        <w:jc w:val="both"/>
      </w:pPr>
    </w:p>
    <w:p w:rsidR="00790F90" w:rsidRPr="00102482" w:rsidRDefault="00790F90" w:rsidP="00790F90">
      <w:pPr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308"/>
        <w:gridCol w:w="1095"/>
        <w:gridCol w:w="2486"/>
      </w:tblGrid>
      <w:tr w:rsidR="00790F90" w:rsidRPr="00102482" w:rsidTr="00555375">
        <w:trPr>
          <w:trHeight w:val="398"/>
        </w:trPr>
        <w:tc>
          <w:tcPr>
            <w:tcW w:w="6308" w:type="dxa"/>
          </w:tcPr>
          <w:p w:rsidR="00790F90" w:rsidRPr="00102482" w:rsidRDefault="00790F90" w:rsidP="00193A83">
            <w:pPr>
              <w:ind w:hanging="105"/>
            </w:pPr>
            <w:r w:rsidRPr="00102482">
              <w:t xml:space="preserve">Глава Октябрьского района                                                      </w:t>
            </w:r>
          </w:p>
        </w:tc>
        <w:tc>
          <w:tcPr>
            <w:tcW w:w="1095" w:type="dxa"/>
          </w:tcPr>
          <w:p w:rsidR="00790F90" w:rsidRPr="00102482" w:rsidRDefault="00790F90" w:rsidP="00577E25"/>
        </w:tc>
        <w:tc>
          <w:tcPr>
            <w:tcW w:w="2486" w:type="dxa"/>
          </w:tcPr>
          <w:p w:rsidR="00790F90" w:rsidRPr="00102482" w:rsidRDefault="00555375" w:rsidP="00555375">
            <w:pPr>
              <w:jc w:val="center"/>
            </w:pPr>
            <w:r>
              <w:rPr>
                <w:lang w:val="en-US"/>
              </w:rPr>
              <w:t xml:space="preserve">       </w:t>
            </w:r>
            <w:r w:rsidR="00790F90" w:rsidRPr="00102482">
              <w:t xml:space="preserve">А.П. </w:t>
            </w:r>
            <w:proofErr w:type="spellStart"/>
            <w:r w:rsidR="00790F90" w:rsidRPr="00102482">
              <w:t>Куташова</w:t>
            </w:r>
            <w:proofErr w:type="spellEnd"/>
            <w:r w:rsidR="00790F90" w:rsidRPr="00102482">
              <w:t xml:space="preserve"> </w:t>
            </w:r>
          </w:p>
        </w:tc>
      </w:tr>
    </w:tbl>
    <w:p w:rsidR="00790F90" w:rsidRPr="00102482" w:rsidRDefault="00790F90" w:rsidP="00790F90"/>
    <w:p w:rsidR="00790F90" w:rsidRPr="00102482" w:rsidRDefault="00790F90" w:rsidP="00790F90"/>
    <w:p w:rsidR="00790F90" w:rsidRPr="00102482" w:rsidRDefault="00790F90" w:rsidP="00790F90"/>
    <w:p w:rsidR="00790F90" w:rsidRPr="00102482" w:rsidRDefault="00790F90" w:rsidP="00790F90"/>
    <w:p w:rsidR="00790F90" w:rsidRPr="00102482" w:rsidRDefault="00790F90" w:rsidP="00790F90"/>
    <w:p w:rsidR="00790F90" w:rsidRPr="00102482" w:rsidRDefault="00790F90" w:rsidP="00790F90"/>
    <w:p w:rsidR="00790F90" w:rsidRPr="00102482" w:rsidRDefault="00790F90" w:rsidP="00790F90"/>
    <w:p w:rsidR="00790F90" w:rsidRPr="00102482" w:rsidRDefault="00790F90" w:rsidP="00790F90"/>
    <w:p w:rsidR="00790F90" w:rsidRPr="00102482" w:rsidRDefault="00790F90" w:rsidP="00790F90"/>
    <w:p w:rsidR="00790F90" w:rsidRPr="00102482" w:rsidRDefault="00790F90" w:rsidP="00790F90"/>
    <w:p w:rsidR="00790F90" w:rsidRPr="00102482" w:rsidRDefault="00790F90" w:rsidP="00790F90"/>
    <w:p w:rsidR="00790F90" w:rsidRPr="00102482" w:rsidRDefault="00790F90" w:rsidP="00790F90"/>
    <w:p w:rsidR="00790F90" w:rsidRPr="00102482" w:rsidRDefault="00790F90" w:rsidP="00790F90"/>
    <w:p w:rsidR="00790F90" w:rsidRPr="00102482" w:rsidRDefault="00790F90" w:rsidP="00790F90"/>
    <w:p w:rsidR="00B41EFA" w:rsidRDefault="00B41EFA" w:rsidP="00790F90">
      <w:pPr>
        <w:jc w:val="right"/>
      </w:pPr>
    </w:p>
    <w:p w:rsidR="00B41EFA" w:rsidRDefault="00B41EFA" w:rsidP="00790F90">
      <w:pPr>
        <w:jc w:val="right"/>
      </w:pPr>
    </w:p>
    <w:p w:rsidR="00B41EFA" w:rsidRDefault="00B41EFA" w:rsidP="00790F90">
      <w:pPr>
        <w:jc w:val="right"/>
      </w:pPr>
    </w:p>
    <w:p w:rsidR="00B41EFA" w:rsidRDefault="00B41EFA" w:rsidP="00790F90">
      <w:pPr>
        <w:jc w:val="right"/>
      </w:pPr>
    </w:p>
    <w:p w:rsidR="00790F90" w:rsidRPr="00102482" w:rsidRDefault="00790F90" w:rsidP="00790F90">
      <w:pPr>
        <w:jc w:val="right"/>
      </w:pPr>
      <w:bookmarkStart w:id="0" w:name="_GoBack"/>
      <w:bookmarkEnd w:id="0"/>
      <w:r w:rsidRPr="00102482">
        <w:lastRenderedPageBreak/>
        <w:t>Приложение</w:t>
      </w:r>
      <w:r w:rsidR="00F9509F">
        <w:t xml:space="preserve"> </w:t>
      </w:r>
    </w:p>
    <w:p w:rsidR="00790F90" w:rsidRPr="00102482" w:rsidRDefault="00790F90" w:rsidP="00790F90">
      <w:pPr>
        <w:jc w:val="right"/>
      </w:pPr>
      <w:r w:rsidRPr="00102482">
        <w:t xml:space="preserve">к постановлению администрации Октябрьского района </w:t>
      </w:r>
    </w:p>
    <w:p w:rsidR="00790F90" w:rsidRDefault="00790F90" w:rsidP="00790F90">
      <w:pPr>
        <w:tabs>
          <w:tab w:val="left" w:pos="7230"/>
        </w:tabs>
        <w:jc w:val="right"/>
      </w:pPr>
      <w:r w:rsidRPr="00102482">
        <w:t xml:space="preserve">от </w:t>
      </w:r>
      <w:r w:rsidR="005E039B">
        <w:t>«</w:t>
      </w:r>
      <w:r w:rsidRPr="00102482">
        <w:t>___</w:t>
      </w:r>
      <w:r w:rsidR="005E039B">
        <w:t>»</w:t>
      </w:r>
      <w:r w:rsidRPr="00102482">
        <w:t xml:space="preserve"> _________ 20</w:t>
      </w:r>
      <w:r>
        <w:t>20</w:t>
      </w:r>
      <w:r w:rsidRPr="005734EB">
        <w:t xml:space="preserve"> </w:t>
      </w:r>
      <w:r w:rsidRPr="00102482">
        <w:t>г.</w:t>
      </w:r>
      <w:r w:rsidRPr="005734EB">
        <w:t xml:space="preserve"> </w:t>
      </w:r>
      <w:r w:rsidRPr="00102482">
        <w:t>№ ______</w:t>
      </w:r>
    </w:p>
    <w:p w:rsidR="002F2934" w:rsidRDefault="002F2934" w:rsidP="003D3187">
      <w:pPr>
        <w:jc w:val="center"/>
        <w:rPr>
          <w:b/>
        </w:rPr>
      </w:pPr>
    </w:p>
    <w:p w:rsidR="002F2934" w:rsidRDefault="002F2934" w:rsidP="003D3187">
      <w:pPr>
        <w:jc w:val="center"/>
        <w:rPr>
          <w:b/>
        </w:rPr>
      </w:pPr>
    </w:p>
    <w:p w:rsidR="00663DA4" w:rsidRDefault="00CA7744" w:rsidP="003D3187">
      <w:pPr>
        <w:jc w:val="center"/>
        <w:rPr>
          <w:b/>
        </w:rPr>
      </w:pPr>
      <w:r w:rsidRPr="00CA7744">
        <w:rPr>
          <w:b/>
        </w:rPr>
        <w:t>Порядок оценки надежности банковской гарантии, поручительства, предоставляемых в обеспечение исполнения обязательств юридического лица, муниципального образования по возврату бюджетного кредита, уплате процентных и иных платежей в бюджет Октябрьского района</w:t>
      </w:r>
    </w:p>
    <w:p w:rsidR="00555050" w:rsidRPr="00555050" w:rsidRDefault="00555050" w:rsidP="003D3187">
      <w:pPr>
        <w:jc w:val="center"/>
        <w:rPr>
          <w:b/>
        </w:rPr>
      </w:pPr>
      <w:r>
        <w:rPr>
          <w:b/>
        </w:rPr>
        <w:t>(далее – Порядок)</w:t>
      </w:r>
    </w:p>
    <w:p w:rsidR="003D3187" w:rsidRPr="00555050" w:rsidRDefault="003D3187" w:rsidP="003D3187">
      <w:pPr>
        <w:jc w:val="center"/>
      </w:pPr>
    </w:p>
    <w:p w:rsidR="003D3187" w:rsidRPr="00555050" w:rsidRDefault="003D3187" w:rsidP="003D3187">
      <w:pPr>
        <w:jc w:val="center"/>
        <w:rPr>
          <w:b/>
        </w:rPr>
      </w:pPr>
      <w:r w:rsidRPr="00555050">
        <w:rPr>
          <w:b/>
        </w:rPr>
        <w:t>1. Общие положения</w:t>
      </w:r>
    </w:p>
    <w:p w:rsidR="003D3187" w:rsidRDefault="003D3187" w:rsidP="00E00C7A">
      <w:pPr>
        <w:ind w:firstLine="567"/>
        <w:jc w:val="both"/>
      </w:pPr>
    </w:p>
    <w:p w:rsidR="00CA7744" w:rsidRDefault="00CA7744" w:rsidP="00CA7744">
      <w:pPr>
        <w:ind w:firstLine="567"/>
        <w:jc w:val="both"/>
      </w:pPr>
      <w:r>
        <w:t>1.1. Порядок разработан в соответствии с пунктом 3 статьи 93.2 Бюджетного кодекса Российской Федерации и определяет процедуру проведения оценки надежности банковской гарантии и поручительства, предоставляемых в обеспечение исполнения обязательств юридического лица, муниципального образования по возврату бюджетного кредита, уплате процентных и иных платежей в бюджет Октябрьского района.</w:t>
      </w:r>
    </w:p>
    <w:p w:rsidR="00CA7744" w:rsidRDefault="00CA7744" w:rsidP="00CA7744">
      <w:pPr>
        <w:ind w:firstLine="567"/>
        <w:jc w:val="both"/>
      </w:pPr>
      <w:r>
        <w:t>1.2. Надежность банковской гарантии и поручительства определяется финансовой устойчивостью банка или иной кредитной организации (далее - гарант) и поручителей.</w:t>
      </w:r>
    </w:p>
    <w:p w:rsidR="00CA7744" w:rsidRDefault="00CA7744" w:rsidP="00CA7744">
      <w:pPr>
        <w:ind w:firstLine="567"/>
        <w:jc w:val="both"/>
      </w:pPr>
      <w:r>
        <w:t>1.3. Под надежностью банковской гарантии и поручительства в целях Порядка понимается способность гаранта и поручителя своевременно и в полном объеме исполнить обязательства юридического лица, муниципального образования (далее - получатель) по возврату бюджетного кредита.</w:t>
      </w:r>
    </w:p>
    <w:p w:rsidR="00CA7744" w:rsidRDefault="00CA7744" w:rsidP="00CA7744">
      <w:pPr>
        <w:ind w:firstLine="567"/>
        <w:jc w:val="both"/>
      </w:pPr>
      <w:r>
        <w:t>1.4. Размер обеспечения должен покрывать размер предоставляемого бюджетного кредита, процентов по нему и иных платежей, предусмотренных соответствующим договором.</w:t>
      </w:r>
    </w:p>
    <w:p w:rsidR="00AA082A" w:rsidRDefault="00CA7744" w:rsidP="00CA7744">
      <w:pPr>
        <w:ind w:firstLine="567"/>
        <w:jc w:val="both"/>
      </w:pPr>
      <w:r>
        <w:t xml:space="preserve">1.5. Оценку банковской гарантии, поручительства, предоставляемых в обеспечение бюджетных кредитов, выдаваемых из бюджета </w:t>
      </w:r>
      <w:r w:rsidR="00194D3F">
        <w:t>Октябрьского района,</w:t>
      </w:r>
      <w:r>
        <w:t xml:space="preserve"> осуществляет Комитет по управлению муниципальными финансами администрации Октябрьского района</w:t>
      </w:r>
      <w:r w:rsidR="009E19D7">
        <w:t xml:space="preserve"> (далее – Комитет по финансам)</w:t>
      </w:r>
      <w:r>
        <w:t>.</w:t>
      </w:r>
    </w:p>
    <w:p w:rsidR="00CA7744" w:rsidRDefault="00CA7744" w:rsidP="00CA7744">
      <w:pPr>
        <w:ind w:firstLine="567"/>
        <w:jc w:val="both"/>
      </w:pPr>
    </w:p>
    <w:p w:rsidR="00CA7744" w:rsidRPr="00CA7744" w:rsidRDefault="00CA7744" w:rsidP="00CA7744">
      <w:pPr>
        <w:ind w:firstLine="567"/>
        <w:jc w:val="center"/>
        <w:rPr>
          <w:b/>
        </w:rPr>
      </w:pPr>
      <w:r w:rsidRPr="00CA7744">
        <w:rPr>
          <w:b/>
        </w:rPr>
        <w:t>2. Оценка надежности банковской гарантии</w:t>
      </w:r>
    </w:p>
    <w:p w:rsidR="00CA7744" w:rsidRDefault="00CA7744" w:rsidP="00CA7744">
      <w:pPr>
        <w:ind w:firstLine="567"/>
        <w:jc w:val="both"/>
      </w:pPr>
    </w:p>
    <w:p w:rsidR="00CA7744" w:rsidRDefault="00CA7744" w:rsidP="00CA7744">
      <w:pPr>
        <w:ind w:firstLine="567"/>
        <w:jc w:val="both"/>
      </w:pPr>
      <w:r>
        <w:t>2.1. В целях Порядка гарант должен отвечать следующим требованиям:</w:t>
      </w:r>
    </w:p>
    <w:p w:rsidR="00CA7744" w:rsidRDefault="00CA7744" w:rsidP="00CA7744">
      <w:pPr>
        <w:ind w:firstLine="567"/>
        <w:jc w:val="both"/>
      </w:pPr>
      <w:r>
        <w:t>не находится в процессе ликвидации, реорганизации, банкротства;</w:t>
      </w:r>
    </w:p>
    <w:p w:rsidR="00CA7744" w:rsidRDefault="00CA7744" w:rsidP="00CA7744">
      <w:pPr>
        <w:ind w:firstLine="567"/>
        <w:jc w:val="both"/>
      </w:pPr>
      <w:r>
        <w:t>не приостановлена деятельность в порядке, предусмотренном Кодексом Российской Федерации об административных правонарушениях;</w:t>
      </w:r>
    </w:p>
    <w:p w:rsidR="00CA7744" w:rsidRDefault="00CA7744" w:rsidP="00CA7744">
      <w:pPr>
        <w:ind w:firstLine="567"/>
        <w:jc w:val="both"/>
      </w:pPr>
      <w:r>
        <w:t>отсутствуют просроченная (неурегулированная) задолженность по денежным обязательствам перед муниципальным образованием Октябрьский район,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неурегулированные обязательства по муниципальным гарантиям, ранее предоставленным муниципальным образованием Октябрьский район;</w:t>
      </w:r>
    </w:p>
    <w:p w:rsidR="00CA7744" w:rsidRDefault="00CA7744" w:rsidP="00CA7744">
      <w:pPr>
        <w:ind w:firstLine="567"/>
        <w:jc w:val="both"/>
      </w:pPr>
      <w:r>
        <w:t>имеется универсальная лицензия Центрального банка Российской Федерации на осуществление банковских операций;</w:t>
      </w:r>
    </w:p>
    <w:p w:rsidR="00CA7744" w:rsidRDefault="00CA7744" w:rsidP="00CA7744">
      <w:pPr>
        <w:ind w:firstLine="567"/>
        <w:jc w:val="both"/>
      </w:pPr>
      <w:r>
        <w:t>участвует в системе обязательного страхования вкладов физических лиц в банках Российской Федерации в соответствии с Федеральным законом от 23</w:t>
      </w:r>
      <w:r w:rsidR="006C1C0E">
        <w:t>.12.</w:t>
      </w:r>
      <w:r>
        <w:t xml:space="preserve">2003 </w:t>
      </w:r>
      <w:r w:rsidR="00A55539">
        <w:t>№</w:t>
      </w:r>
      <w:r>
        <w:t xml:space="preserve"> 177-ФЗ </w:t>
      </w:r>
      <w:r w:rsidR="006B0488">
        <w:t xml:space="preserve">        </w:t>
      </w:r>
      <w:proofErr w:type="gramStart"/>
      <w:r w:rsidR="006B0488">
        <w:t xml:space="preserve">   </w:t>
      </w:r>
      <w:r w:rsidR="005E039B">
        <w:t>«</w:t>
      </w:r>
      <w:proofErr w:type="gramEnd"/>
      <w:r>
        <w:t>О страховании вкладов в банках Российской Федерации</w:t>
      </w:r>
      <w:r w:rsidR="005E039B">
        <w:t>»</w:t>
      </w:r>
      <w:r>
        <w:t xml:space="preserve"> (официальные данные, размещенные на официальном сайте Центрального банка Российской Федерации в информационно-телекоммуникационной сети Интернет на последнюю отчетную дату);</w:t>
      </w:r>
    </w:p>
    <w:p w:rsidR="00CA7744" w:rsidRDefault="00CA7744" w:rsidP="00CA7744">
      <w:pPr>
        <w:ind w:firstLine="567"/>
        <w:jc w:val="both"/>
      </w:pPr>
      <w:r>
        <w:lastRenderedPageBreak/>
        <w:t>Центральным банком Российской Федерации не применялись меры за нарушение обязательных нормативов, установленных в соответствии с Федеральным законом от 10</w:t>
      </w:r>
      <w:r w:rsidR="006C1C0E">
        <w:t>.07.2002</w:t>
      </w:r>
      <w:r>
        <w:t xml:space="preserve"> </w:t>
      </w:r>
      <w:r w:rsidR="00A55539">
        <w:t>№</w:t>
      </w:r>
      <w:r>
        <w:t xml:space="preserve"> 86-ФЗ </w:t>
      </w:r>
      <w:r w:rsidR="005E039B">
        <w:t>«</w:t>
      </w:r>
      <w:r>
        <w:t>О Центральном банке Российской Федерации (Банке России)</w:t>
      </w:r>
      <w:r w:rsidR="005E039B">
        <w:t>»</w:t>
      </w:r>
      <w:r>
        <w:t xml:space="preserve"> (официальные данные, размещенные на официальном сайте Центрального банка Российской Федерации в информационно-телекоммуникационной сети Интернет на последнюю отчетную дату);</w:t>
      </w:r>
    </w:p>
    <w:p w:rsidR="00CA7744" w:rsidRDefault="00CA7744" w:rsidP="00CA7744">
      <w:pPr>
        <w:ind w:firstLine="567"/>
        <w:jc w:val="both"/>
      </w:pPr>
      <w:r>
        <w:t xml:space="preserve">наличие кредитного рейтинга не ниже рейтинговой категории </w:t>
      </w:r>
      <w:r w:rsidR="005E039B">
        <w:t>«</w:t>
      </w:r>
      <w:r>
        <w:t>А</w:t>
      </w:r>
      <w:r w:rsidR="005E039B">
        <w:t>»</w:t>
      </w:r>
      <w:r>
        <w:t xml:space="preserve"> по национальной рейтинговой шкале для Российской Федерации, присвоенного гаранту одним или несколькими кредитными рейтинговыми агентствами, сведения о которых внесены Центральным банком Российской Федерации в реестр кредитных рейтинговых агентств, по национальной рейтинговой шкале для Российской Федерации согласно методологии, соответствие которой требованиям статьи 12 Федерального закона от 13</w:t>
      </w:r>
      <w:r w:rsidR="006C1C0E">
        <w:t>.07.2015</w:t>
      </w:r>
      <w:r>
        <w:t xml:space="preserve"> </w:t>
      </w:r>
      <w:r w:rsidR="006C1C0E">
        <w:t xml:space="preserve"> </w:t>
      </w:r>
      <w:r w:rsidR="00A55539">
        <w:t>№</w:t>
      </w:r>
      <w:r>
        <w:t xml:space="preserve"> 222-ФЗ </w:t>
      </w:r>
      <w:r w:rsidR="005E039B">
        <w:t>«</w:t>
      </w:r>
      <w:r>
        <w:t xml:space="preserve">О деятельности кредитных рейтинговых агентств в Российской Федерации, о внесении изменения в статью 76.1 Федерального закона </w:t>
      </w:r>
      <w:r w:rsidR="005E039B">
        <w:t>«</w:t>
      </w:r>
      <w:r>
        <w:t>О Центральном банке Российской Федерации (Банке России)</w:t>
      </w:r>
      <w:r w:rsidR="005E039B">
        <w:t>»</w:t>
      </w:r>
      <w:r>
        <w:t xml:space="preserve"> и признании утратившими силу отдельных положений законодательных актов Российской Федерации</w:t>
      </w:r>
      <w:r w:rsidR="005E039B">
        <w:t>»</w:t>
      </w:r>
      <w:r>
        <w:t xml:space="preserve"> подтверждено Центральным банком Российской Федерации.</w:t>
      </w:r>
    </w:p>
    <w:p w:rsidR="00CA7744" w:rsidRDefault="00CA7744" w:rsidP="00CA7744">
      <w:pPr>
        <w:ind w:firstLine="567"/>
        <w:jc w:val="both"/>
      </w:pPr>
      <w:r>
        <w:t xml:space="preserve">2.2. Гарант, соответствующий требованиям, установленным пунктом 2.1 Порядка, представляет в Комитет </w:t>
      </w:r>
      <w:r w:rsidR="00194D3F">
        <w:t xml:space="preserve">по </w:t>
      </w:r>
      <w:r>
        <w:t>финансам следующие документы:</w:t>
      </w:r>
    </w:p>
    <w:p w:rsidR="00CA7744" w:rsidRDefault="00CA7744" w:rsidP="00CA7744">
      <w:pPr>
        <w:ind w:firstLine="567"/>
        <w:jc w:val="both"/>
      </w:pPr>
      <w:r>
        <w:t>а) письмо о согласии выступить гарантом по обязательствам получателя;</w:t>
      </w:r>
    </w:p>
    <w:p w:rsidR="00CA7744" w:rsidRDefault="00CA7744" w:rsidP="00CA7744">
      <w:pPr>
        <w:ind w:firstLine="567"/>
        <w:jc w:val="both"/>
      </w:pPr>
      <w:r>
        <w:t>б) заверенные им копии учредительных документов;</w:t>
      </w:r>
    </w:p>
    <w:p w:rsidR="00CA7744" w:rsidRDefault="00CA7744" w:rsidP="00CA7744">
      <w:pPr>
        <w:ind w:firstLine="567"/>
        <w:jc w:val="both"/>
      </w:pPr>
      <w:r>
        <w:t>в) заверенные им копии свидетельства о постановке на учет в налоговом органе, свидетельства о государственной регистрации или листа записи Единого государственного реестра юридических лиц;</w:t>
      </w:r>
    </w:p>
    <w:p w:rsidR="00CA7744" w:rsidRDefault="00CA7744" w:rsidP="00CA7744">
      <w:pPr>
        <w:ind w:firstLine="567"/>
        <w:jc w:val="both"/>
      </w:pPr>
      <w:r>
        <w:t>г) документы, подтверждающие, что гарант не находится в процессе ликвидации, реорганизации, банкротства;</w:t>
      </w:r>
    </w:p>
    <w:p w:rsidR="00CA7744" w:rsidRDefault="00CA7744" w:rsidP="00CA7744">
      <w:pPr>
        <w:ind w:firstLine="567"/>
        <w:jc w:val="both"/>
      </w:pPr>
      <w:r>
        <w:t>д) документы, подтверждающие полномочия единоличного исполнительного органа гаранта, иного уполномоченного лица на совершение сделок от имени гаранта и главного бухгалтера гаранта (решение об избрании, приказ о назначении, приказ о вступлении в должность, копия контракта, доверенность), заверенные гарантом, а также нотариально заверенные образцы подписей указанных лиц и оттиска печати гаранта;</w:t>
      </w:r>
    </w:p>
    <w:p w:rsidR="00CA7744" w:rsidRDefault="00CA7744" w:rsidP="00CA7744">
      <w:pPr>
        <w:ind w:firstLine="567"/>
        <w:jc w:val="both"/>
      </w:pPr>
      <w:r>
        <w:t>е) нотариально заверенную копию документа, подтверждающую согласие (одобрение) уполномоченного органа управления гаранта на совершение сделки по предоставлению банковской гарантии (в обеспечение исполнения обязательств получателя);</w:t>
      </w:r>
    </w:p>
    <w:p w:rsidR="00CA7744" w:rsidRDefault="00CA7744" w:rsidP="00CA7744">
      <w:pPr>
        <w:ind w:firstLine="567"/>
        <w:jc w:val="both"/>
      </w:pPr>
      <w:r>
        <w:t>ж) нотариально заверенную копию универсальной лицензии Центрального банка Российской Федерации на осуществление банковских операций;</w:t>
      </w:r>
    </w:p>
    <w:p w:rsidR="00CA7744" w:rsidRDefault="00CA7744" w:rsidP="00CA7744">
      <w:pPr>
        <w:ind w:firstLine="567"/>
        <w:jc w:val="both"/>
      </w:pPr>
      <w:r>
        <w:t>з) справку налогового органа, подтверждающую отсутствие задолженности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сборах, на последнюю отчетную дату;</w:t>
      </w:r>
    </w:p>
    <w:p w:rsidR="00CA7744" w:rsidRDefault="00CA7744" w:rsidP="00CA7744">
      <w:pPr>
        <w:ind w:firstLine="567"/>
        <w:jc w:val="both"/>
      </w:pPr>
      <w:r>
        <w:t>и) бухгалтерский баланс и отчет о финансовых результатах за отчетный финансовый год и на последнюю отчетную дату, заверенные гарантом;</w:t>
      </w:r>
    </w:p>
    <w:p w:rsidR="00CA7744" w:rsidRDefault="00CA7744" w:rsidP="00CA7744">
      <w:pPr>
        <w:ind w:firstLine="567"/>
        <w:jc w:val="both"/>
      </w:pPr>
      <w:r>
        <w:t xml:space="preserve">к) копию аудиторского заключения о достоверности бухгалтерской отчетности гаранта за год, предшествующий году обращения в соответствии с подпунктом </w:t>
      </w:r>
      <w:r w:rsidR="005E039B">
        <w:t>«</w:t>
      </w:r>
      <w:r>
        <w:t>а</w:t>
      </w:r>
      <w:r w:rsidR="005E039B">
        <w:t>»</w:t>
      </w:r>
      <w:r>
        <w:t xml:space="preserve"> настоящего пункта, заверенную гарантом;</w:t>
      </w:r>
    </w:p>
    <w:p w:rsidR="00CA7744" w:rsidRDefault="00CA7744" w:rsidP="00CA7744">
      <w:pPr>
        <w:ind w:firstLine="567"/>
        <w:jc w:val="both"/>
      </w:pPr>
      <w:r>
        <w:t>л) расчет собственных средств (капитала) по форме, утвержденной Центральным банком Российской Федерации, и показатели обязательных нормативов на последнюю отчетную дату с приведением диапазона допустимых значений;</w:t>
      </w:r>
    </w:p>
    <w:p w:rsidR="00CA7744" w:rsidRDefault="00CA7744" w:rsidP="00CA7744">
      <w:pPr>
        <w:ind w:firstLine="567"/>
        <w:jc w:val="both"/>
      </w:pPr>
      <w:r>
        <w:t>м) информацию об обязательных нормативах и о других показателях деятельности кредитной организации по форме, утвержденной Центральным банком Российской Федерации;</w:t>
      </w:r>
    </w:p>
    <w:p w:rsidR="00CA7744" w:rsidRDefault="00CA7744" w:rsidP="00CA7744">
      <w:pPr>
        <w:ind w:firstLine="567"/>
        <w:jc w:val="both"/>
      </w:pPr>
      <w:r>
        <w:t>н) информацию о качестве активов по форме, устанавливаемой Центральным банком Российской Федерации;</w:t>
      </w:r>
    </w:p>
    <w:p w:rsidR="00CA7744" w:rsidRDefault="00CA7744" w:rsidP="00CA7744">
      <w:pPr>
        <w:ind w:firstLine="567"/>
        <w:jc w:val="both"/>
      </w:pPr>
      <w:r>
        <w:t>о) расчет чистых активов, подписанный руководителем и заверенный печатью гаранта;</w:t>
      </w:r>
    </w:p>
    <w:p w:rsidR="00CA7744" w:rsidRDefault="00CA7744" w:rsidP="00CA7744">
      <w:pPr>
        <w:ind w:firstLine="567"/>
        <w:jc w:val="both"/>
      </w:pPr>
      <w:r>
        <w:lastRenderedPageBreak/>
        <w:t>п) справку Центрального банка Российской Федерации о выполнении гарантом в течение последнего полугодия обязательных резервных требований Центрального банка Российской Федерации, об отсутствии фактов несвоевременной оплаты расчетных документов клиентов, об отсутствии принудительных мер воздействия со стороны Центрального банка Российской Федерации;</w:t>
      </w:r>
    </w:p>
    <w:p w:rsidR="00CA7744" w:rsidRDefault="00CA7744" w:rsidP="00CA7744">
      <w:pPr>
        <w:ind w:firstLine="567"/>
        <w:jc w:val="both"/>
      </w:pPr>
      <w:r>
        <w:t>р) документы, подтверждающие согласование Центральным банком Российской Федерации кандидатур уполномоченных должностных лиц на выдачу банковской гарантии.</w:t>
      </w:r>
    </w:p>
    <w:p w:rsidR="00CA7744" w:rsidRDefault="00CA7744" w:rsidP="00CA7744">
      <w:pPr>
        <w:ind w:firstLine="567"/>
        <w:jc w:val="both"/>
      </w:pPr>
      <w:r>
        <w:t>2.3. Финансовое состояние гаранта определяется с помощью следующих показателей:</w:t>
      </w:r>
    </w:p>
    <w:p w:rsidR="00CA7744" w:rsidRDefault="00CA7744" w:rsidP="00CA7744">
      <w:pPr>
        <w:ind w:firstLine="567"/>
        <w:jc w:val="both"/>
      </w:pPr>
      <w:r>
        <w:t>отсутствие убытков за последний финансовый год и за истекший период текущего года;</w:t>
      </w:r>
    </w:p>
    <w:p w:rsidR="00CA7744" w:rsidRDefault="00CA7744" w:rsidP="00CA7744">
      <w:pPr>
        <w:ind w:firstLine="567"/>
        <w:jc w:val="both"/>
      </w:pPr>
      <w:r>
        <w:t>активы гаранта I и II категорий качества должны составлять не менее 50 процентов общего объема активов;</w:t>
      </w:r>
    </w:p>
    <w:p w:rsidR="00CA7744" w:rsidRDefault="00CA7744" w:rsidP="00CA7744">
      <w:pPr>
        <w:ind w:firstLine="567"/>
        <w:jc w:val="both"/>
      </w:pPr>
      <w:r>
        <w:t>соответствие гаранта обязательным нормативам, установленным Центральным банком Российской Федерации;</w:t>
      </w:r>
    </w:p>
    <w:p w:rsidR="00CA7744" w:rsidRDefault="00CA7744" w:rsidP="00CA7744">
      <w:pPr>
        <w:ind w:firstLine="567"/>
        <w:jc w:val="both"/>
      </w:pPr>
      <w:r>
        <w:t>величина чистых активов гаранта, которая не должна быть меньше величины, равной трехкратной сумме предоставляемого бюджетного кредита.</w:t>
      </w:r>
    </w:p>
    <w:p w:rsidR="00CA7744" w:rsidRDefault="00CA7744" w:rsidP="00CA7744">
      <w:pPr>
        <w:ind w:firstLine="567"/>
        <w:jc w:val="both"/>
      </w:pPr>
      <w:r>
        <w:t>2.4. Документы, представленные гарантом, регистриру</w:t>
      </w:r>
      <w:r w:rsidR="006C1C0E">
        <w:t>ются Комитетом по финансам</w:t>
      </w:r>
      <w:r>
        <w:t xml:space="preserve"> в день их поступления.</w:t>
      </w:r>
    </w:p>
    <w:p w:rsidR="00CA7744" w:rsidRDefault="00CA7744" w:rsidP="00CA7744">
      <w:pPr>
        <w:ind w:firstLine="567"/>
        <w:jc w:val="both"/>
      </w:pPr>
      <w:r>
        <w:t xml:space="preserve">2.5. В случае несоответствия представленных гарантом документов перечню, установленному пунктом 2.2 Порядка, </w:t>
      </w:r>
      <w:r w:rsidR="009E19D7">
        <w:t xml:space="preserve">Комитет </w:t>
      </w:r>
      <w:r w:rsidR="005F1FB2">
        <w:t xml:space="preserve">по </w:t>
      </w:r>
      <w:r w:rsidR="009E19D7">
        <w:t xml:space="preserve">финансам </w:t>
      </w:r>
      <w:r>
        <w:t>не позднее пяти рабочих дней с даты регистрации документов возвращает их гаранту с указанием причин возврата.</w:t>
      </w:r>
    </w:p>
    <w:p w:rsidR="00CA7744" w:rsidRDefault="00CA7744" w:rsidP="00CA7744">
      <w:pPr>
        <w:ind w:firstLine="567"/>
        <w:jc w:val="both"/>
      </w:pPr>
      <w:r>
        <w:t xml:space="preserve">2.6. В случае соответствия представленных гарантом документов перечню, установленному пунктом 2.2 Порядка, </w:t>
      </w:r>
      <w:r w:rsidR="005F1FB2">
        <w:t>Комитет по финансам</w:t>
      </w:r>
      <w:r>
        <w:t xml:space="preserve"> в течение пятнадцати рабочих дней с даты регистрации документов проводит оценку надежности банковской гарантии: рассматривает представленные документы на предмет соответствия гаранта требованиям, предусмотренным пунктом 2.1 Порядка, и определяет его финансовое состояние с учетом показателей, указанных в пункте 2.3 Порядка.</w:t>
      </w:r>
    </w:p>
    <w:p w:rsidR="00CA7744" w:rsidRDefault="00CA7744" w:rsidP="00CA7744">
      <w:pPr>
        <w:ind w:firstLine="567"/>
        <w:jc w:val="both"/>
      </w:pPr>
      <w:r>
        <w:t xml:space="preserve">По результатам оценки надежности банковской гарантии </w:t>
      </w:r>
      <w:r w:rsidR="005F1FB2">
        <w:t>Комитет по финансам</w:t>
      </w:r>
      <w:r>
        <w:t xml:space="preserve"> готовит заключение о финансовой устойчивости гаранта и его способности своевременно и в полном объеме исполнить обязательства получателя по возврату бюджетного кредита, о чем письменно уведомляет гаранта не позднее трех рабочих дней с даты подготовки указанного заключения.</w:t>
      </w:r>
    </w:p>
    <w:p w:rsidR="009E19D7" w:rsidRPr="009E19D7" w:rsidRDefault="009E19D7" w:rsidP="009E19D7">
      <w:pPr>
        <w:ind w:firstLine="567"/>
        <w:jc w:val="both"/>
      </w:pPr>
    </w:p>
    <w:p w:rsidR="009E19D7" w:rsidRPr="005F1FB2" w:rsidRDefault="005F1FB2" w:rsidP="005F1FB2">
      <w:pPr>
        <w:ind w:firstLine="567"/>
        <w:jc w:val="center"/>
        <w:rPr>
          <w:b/>
        </w:rPr>
      </w:pPr>
      <w:r w:rsidRPr="005F1FB2">
        <w:rPr>
          <w:b/>
        </w:rPr>
        <w:t>3</w:t>
      </w:r>
      <w:r w:rsidR="009E19D7" w:rsidRPr="005F1FB2">
        <w:rPr>
          <w:b/>
        </w:rPr>
        <w:t>. Оценка надежности поручительства</w:t>
      </w:r>
    </w:p>
    <w:p w:rsidR="009E19D7" w:rsidRDefault="009E19D7" w:rsidP="009E19D7">
      <w:pPr>
        <w:ind w:firstLine="567"/>
        <w:jc w:val="both"/>
      </w:pPr>
    </w:p>
    <w:p w:rsidR="009E19D7" w:rsidRDefault="009E19D7" w:rsidP="009E19D7">
      <w:pPr>
        <w:ind w:firstLine="567"/>
        <w:jc w:val="both"/>
      </w:pPr>
      <w:r>
        <w:t>3.1. В целях Порядка поручитель должен быть юридическим лицом и отвечать следующим требованиям:</w:t>
      </w:r>
    </w:p>
    <w:p w:rsidR="009E19D7" w:rsidRDefault="009E19D7" w:rsidP="009E19D7">
      <w:pPr>
        <w:ind w:firstLine="567"/>
        <w:jc w:val="both"/>
      </w:pPr>
      <w:r>
        <w:t>не находится в процессе ликвидации, реорганизации, банкротства;</w:t>
      </w:r>
    </w:p>
    <w:p w:rsidR="009E19D7" w:rsidRDefault="009E19D7" w:rsidP="009E19D7">
      <w:pPr>
        <w:ind w:firstLine="567"/>
        <w:jc w:val="both"/>
      </w:pPr>
      <w:r>
        <w:t>не приостановлена деятельность в порядке, предусмотренном Кодексом Российской Федерации об административных правонарушениях;</w:t>
      </w:r>
    </w:p>
    <w:p w:rsidR="009E19D7" w:rsidRPr="005E039B" w:rsidRDefault="009E19D7" w:rsidP="009E19D7">
      <w:pPr>
        <w:ind w:firstLine="567"/>
        <w:jc w:val="both"/>
      </w:pPr>
      <w:r>
        <w:t>отсутствуют просроченная (неурегулированная) задолженность по денежным обязательствам перед Октябрьским районом,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неурегулированные обязательства по государственным гарантиям, ранее предоставленным Октябрьским районом</w:t>
      </w:r>
      <w:r w:rsidR="005E039B">
        <w:t>.</w:t>
      </w:r>
    </w:p>
    <w:p w:rsidR="009E19D7" w:rsidRDefault="009E19D7" w:rsidP="009E19D7">
      <w:pPr>
        <w:ind w:firstLine="567"/>
        <w:jc w:val="both"/>
      </w:pPr>
      <w:r>
        <w:t xml:space="preserve">3.2. Поручитель, соответствующий требованиям, установленным пунктом 3.1 Порядка, представляет в </w:t>
      </w:r>
      <w:r w:rsidR="005F1FB2">
        <w:t>Комитет по финансам</w:t>
      </w:r>
      <w:r>
        <w:t xml:space="preserve"> следующие документы:</w:t>
      </w:r>
    </w:p>
    <w:p w:rsidR="009E19D7" w:rsidRDefault="009E19D7" w:rsidP="009E19D7">
      <w:pPr>
        <w:ind w:firstLine="567"/>
        <w:jc w:val="both"/>
      </w:pPr>
      <w:r>
        <w:t>а) письмо о согласии выступить поручителем по обязательствам получателя;</w:t>
      </w:r>
    </w:p>
    <w:p w:rsidR="009E19D7" w:rsidRDefault="009E19D7" w:rsidP="009E19D7">
      <w:pPr>
        <w:ind w:firstLine="567"/>
        <w:jc w:val="both"/>
      </w:pPr>
      <w:r>
        <w:t>б) заверенные им копии учредительных документов;</w:t>
      </w:r>
    </w:p>
    <w:p w:rsidR="009E19D7" w:rsidRDefault="009E19D7" w:rsidP="009E19D7">
      <w:pPr>
        <w:ind w:firstLine="567"/>
        <w:jc w:val="both"/>
      </w:pPr>
      <w:r>
        <w:t>в) заверенные им копии свидетельства о постановке на учет в налоговом органе, свидетельства о государственной регистрации или листа записи Единого государственного реестра юридических лиц;</w:t>
      </w:r>
    </w:p>
    <w:p w:rsidR="009E19D7" w:rsidRDefault="009E19D7" w:rsidP="009E19D7">
      <w:pPr>
        <w:ind w:firstLine="567"/>
        <w:jc w:val="both"/>
      </w:pPr>
      <w:r>
        <w:lastRenderedPageBreak/>
        <w:t>г) документы, подтверждающие полномочия единоличного исполнительного органа поручителя, иного уполномоченного лица на совершение сделок от имени поручителя и главного бухгалтера поручителя (решение об избрании, приказ о назначении, приказ о вступлении в должность, копия контракта, доверенность), заверенные поручителем;</w:t>
      </w:r>
    </w:p>
    <w:p w:rsidR="009E19D7" w:rsidRDefault="009E19D7" w:rsidP="009E19D7">
      <w:pPr>
        <w:ind w:firstLine="567"/>
        <w:jc w:val="both"/>
      </w:pPr>
      <w:r>
        <w:t>д) документы, подтверждающие, что поручитель не находится в процессе ликвидации, реорганизации, банкротства;</w:t>
      </w:r>
    </w:p>
    <w:p w:rsidR="009E19D7" w:rsidRDefault="009E19D7" w:rsidP="009E19D7">
      <w:pPr>
        <w:ind w:firstLine="567"/>
        <w:jc w:val="both"/>
      </w:pPr>
      <w:r>
        <w:t xml:space="preserve">е) заверенную </w:t>
      </w:r>
      <w:r w:rsidR="00EE0E41">
        <w:t xml:space="preserve">им </w:t>
      </w:r>
      <w:r>
        <w:t>копию лицензии на осуществление хозяйственной деятельности (в случае если законодательством Российской Федерации установлено, что осуществляемая поручителем деятельность выполняется на основании лицензии);</w:t>
      </w:r>
    </w:p>
    <w:p w:rsidR="009E19D7" w:rsidRDefault="009E19D7" w:rsidP="009E19D7">
      <w:pPr>
        <w:ind w:firstLine="567"/>
        <w:jc w:val="both"/>
      </w:pPr>
      <w:r>
        <w:t xml:space="preserve">ж) </w:t>
      </w:r>
      <w:r w:rsidRPr="00E73CCD">
        <w:t xml:space="preserve">годовая бухгалтерская (финансовая) отчетность по формам бухгалтерского баланса и отчета о финансовых результатах, утвержденных приложением № 1 к приказу Министерства финансов Российской Федерации от 02.07.2010 № 66н </w:t>
      </w:r>
      <w:r w:rsidR="005E039B">
        <w:t>«</w:t>
      </w:r>
      <w:r w:rsidRPr="00E73CCD">
        <w:t>О формах бухгалтерской отчетности организаций</w:t>
      </w:r>
      <w:r w:rsidR="005E039B">
        <w:t>»</w:t>
      </w:r>
      <w:r w:rsidRPr="00E73CCD">
        <w:t>, за последний отчетный год с отметкой о принятии налоговым органом по месту постановки на налоговый учет должника, а также информацию о дебиторской и кредиторской задолженности;</w:t>
      </w:r>
    </w:p>
    <w:p w:rsidR="009E19D7" w:rsidRDefault="009E19D7" w:rsidP="009E19D7">
      <w:pPr>
        <w:ind w:firstLine="567"/>
        <w:jc w:val="both"/>
      </w:pPr>
      <w:r>
        <w:t>з) справку налогового органа, подтверждающую отсутствие задолженности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сборах, на последнюю отчетную дату</w:t>
      </w:r>
      <w:r w:rsidR="005E039B">
        <w:t>.</w:t>
      </w:r>
    </w:p>
    <w:p w:rsidR="009E19D7" w:rsidRDefault="009E19D7" w:rsidP="009E19D7">
      <w:pPr>
        <w:ind w:firstLine="567"/>
        <w:jc w:val="both"/>
      </w:pPr>
      <w:r>
        <w:t>3.3. Документы, представленные поручителем, Комитет по финансам регистрирует в день их поступления.</w:t>
      </w:r>
    </w:p>
    <w:p w:rsidR="009E19D7" w:rsidRDefault="009E19D7" w:rsidP="009E19D7">
      <w:pPr>
        <w:ind w:firstLine="567"/>
        <w:jc w:val="both"/>
      </w:pPr>
      <w:r>
        <w:t>3.4. В случае несоответствия представленных поручителем документов перечню, установленному пунктом 3.2 Порядка, Комитет по финансам не позднее пяти рабочих дней с даты регистрации документов возвращает их поручителю с указанием причин возврата.</w:t>
      </w:r>
    </w:p>
    <w:p w:rsidR="009E19D7" w:rsidRDefault="009E19D7" w:rsidP="009E19D7">
      <w:pPr>
        <w:ind w:firstLine="567"/>
        <w:jc w:val="both"/>
      </w:pPr>
      <w:r>
        <w:t xml:space="preserve">3.5. В случае соответствия представленных поручителем документов перечню, установленному пунктом 3.2 Порядка, </w:t>
      </w:r>
      <w:r w:rsidR="005F1FB2">
        <w:t>Комитет по финансам</w:t>
      </w:r>
      <w:r>
        <w:t xml:space="preserve"> в течение пятнадцати рабочих дней с даты регистрации документов проводит оценку надежности поручительства: рассматривает представленные документы на предмет соответствия поручителя требованиям, предусмотренным пунктом 3.1 Порядка, и оценивает его финансовое состояние в соответствии с методикой</w:t>
      </w:r>
      <w:r w:rsidR="005E039B">
        <w:t>, установленной разделом 4 Порядка</w:t>
      </w:r>
      <w:r>
        <w:t>.</w:t>
      </w:r>
    </w:p>
    <w:p w:rsidR="009E19D7" w:rsidRPr="009E19D7" w:rsidRDefault="009E19D7" w:rsidP="009E19D7">
      <w:pPr>
        <w:ind w:firstLine="567"/>
        <w:jc w:val="both"/>
      </w:pPr>
      <w:r>
        <w:t xml:space="preserve">По результатам оценки надежности поручительства </w:t>
      </w:r>
      <w:r w:rsidR="005F1FB2">
        <w:t>Комитет по финансам</w:t>
      </w:r>
      <w:r>
        <w:t xml:space="preserve"> готовит заключение о финансовой устойчивости поручителя и его способности своевременно и в полном объеме исполнить обязательства получателя по возврату бюджетного кредита.</w:t>
      </w:r>
    </w:p>
    <w:p w:rsidR="009E19D7" w:rsidRPr="009E19D7" w:rsidRDefault="009E19D7" w:rsidP="009E19D7">
      <w:pPr>
        <w:ind w:firstLine="567"/>
        <w:jc w:val="both"/>
      </w:pPr>
    </w:p>
    <w:p w:rsidR="009E19D7" w:rsidRPr="005F1FB2" w:rsidRDefault="005F1FB2" w:rsidP="005F1FB2">
      <w:pPr>
        <w:ind w:firstLine="567"/>
        <w:jc w:val="center"/>
        <w:rPr>
          <w:b/>
        </w:rPr>
      </w:pPr>
      <w:r w:rsidRPr="005F1FB2">
        <w:rPr>
          <w:b/>
        </w:rPr>
        <w:t>4. Методика оценки финансового состояния поручителя</w:t>
      </w:r>
    </w:p>
    <w:p w:rsidR="000A0485" w:rsidRPr="00555050" w:rsidRDefault="000A0485" w:rsidP="00E00C7A">
      <w:pPr>
        <w:ind w:firstLine="567"/>
        <w:jc w:val="both"/>
        <w:rPr>
          <w:b/>
        </w:rPr>
      </w:pPr>
    </w:p>
    <w:p w:rsidR="00E00C7A" w:rsidRPr="00555050" w:rsidRDefault="005F1FB2" w:rsidP="00E00C7A">
      <w:pPr>
        <w:ind w:firstLine="567"/>
        <w:jc w:val="center"/>
        <w:rPr>
          <w:b/>
        </w:rPr>
      </w:pPr>
      <w:r>
        <w:rPr>
          <w:b/>
        </w:rPr>
        <w:t>4</w:t>
      </w:r>
      <w:r w:rsidR="00E00C7A" w:rsidRPr="00555050">
        <w:rPr>
          <w:b/>
        </w:rPr>
        <w:t xml:space="preserve">.1. Расчет коэффициентов для </w:t>
      </w:r>
      <w:r w:rsidR="005E039B">
        <w:rPr>
          <w:b/>
        </w:rPr>
        <w:t>оценки</w:t>
      </w:r>
      <w:r w:rsidR="00E00C7A" w:rsidRPr="00555050">
        <w:rPr>
          <w:b/>
        </w:rPr>
        <w:t xml:space="preserve"> финансового состояния поручителя</w:t>
      </w:r>
    </w:p>
    <w:p w:rsidR="00AA082A" w:rsidRDefault="00AA082A" w:rsidP="00A064BA">
      <w:pPr>
        <w:ind w:firstLine="567"/>
        <w:jc w:val="both"/>
      </w:pPr>
    </w:p>
    <w:p w:rsidR="00A064BA" w:rsidRDefault="00E00C7A" w:rsidP="00A064BA">
      <w:pPr>
        <w:ind w:firstLine="567"/>
        <w:jc w:val="both"/>
      </w:pPr>
      <w:r>
        <w:t xml:space="preserve">Для проведения </w:t>
      </w:r>
      <w:r w:rsidR="00F9509F">
        <w:t>проверки</w:t>
      </w:r>
      <w:r>
        <w:t xml:space="preserve"> финансового состояния поручителя</w:t>
      </w:r>
      <w:r w:rsidR="005E039B">
        <w:t xml:space="preserve"> </w:t>
      </w:r>
      <w:r w:rsidR="00A13FF6">
        <w:t xml:space="preserve">используется </w:t>
      </w:r>
      <w:r w:rsidR="00A13FF6" w:rsidRPr="00A13FF6">
        <w:t xml:space="preserve">годовая бухгалтерская (финансовая) отчетность по формам бухгалтерского баланса и отчета о финансовых результатах, утвержденных приложением № 1 к приказу Министерства финансов Российской Федерации от 02.07.2010 № 66н </w:t>
      </w:r>
      <w:r w:rsidR="005E039B">
        <w:t>«</w:t>
      </w:r>
      <w:r w:rsidR="00A13FF6" w:rsidRPr="00A13FF6">
        <w:t>О формах бухгалтерской отчетности организаций</w:t>
      </w:r>
      <w:r w:rsidR="005E039B">
        <w:t>»</w:t>
      </w:r>
      <w:r w:rsidR="00A064BA">
        <w:t>.</w:t>
      </w:r>
    </w:p>
    <w:p w:rsidR="00A13FF6" w:rsidRDefault="00A13FF6" w:rsidP="00A13FF6">
      <w:pPr>
        <w:ind w:firstLine="567"/>
        <w:jc w:val="both"/>
      </w:pPr>
      <w:r>
        <w:t xml:space="preserve">Для </w:t>
      </w:r>
      <w:r w:rsidR="00F9509F">
        <w:t>проверки</w:t>
      </w:r>
      <w:r>
        <w:t xml:space="preserve"> финансового состояния используются три группы базовых финансовых индикаторов:</w:t>
      </w:r>
    </w:p>
    <w:p w:rsidR="00A13FF6" w:rsidRDefault="00A13FF6" w:rsidP="00A13FF6">
      <w:pPr>
        <w:ind w:firstLine="567"/>
        <w:jc w:val="both"/>
      </w:pPr>
      <w:r>
        <w:t>коэффициенты ликвидности;</w:t>
      </w:r>
    </w:p>
    <w:p w:rsidR="00A13FF6" w:rsidRDefault="00A13FF6" w:rsidP="00A13FF6">
      <w:pPr>
        <w:ind w:firstLine="567"/>
        <w:jc w:val="both"/>
      </w:pPr>
      <w:r>
        <w:t>коэффициент соотношения собственных и заемных средств;</w:t>
      </w:r>
    </w:p>
    <w:p w:rsidR="00A13FF6" w:rsidRDefault="00A13FF6" w:rsidP="00A13FF6">
      <w:pPr>
        <w:ind w:firstLine="567"/>
        <w:jc w:val="both"/>
      </w:pPr>
      <w:r>
        <w:t>показатель рентабельности.</w:t>
      </w:r>
    </w:p>
    <w:p w:rsidR="00A13FF6" w:rsidRDefault="00A13FF6" w:rsidP="00A13FF6">
      <w:pPr>
        <w:ind w:firstLine="567"/>
        <w:jc w:val="both"/>
      </w:pPr>
      <w:r>
        <w:t>Группа коэффициентов ликвидности содержит 3 показателя:</w:t>
      </w:r>
    </w:p>
    <w:p w:rsidR="00A13FF6" w:rsidRDefault="00A13FF6" w:rsidP="00A13FF6">
      <w:pPr>
        <w:ind w:firstLine="567"/>
        <w:jc w:val="both"/>
      </w:pPr>
      <w:r>
        <w:t>коэффициент абсолютной ликвидности,</w:t>
      </w:r>
    </w:p>
    <w:p w:rsidR="00A13FF6" w:rsidRDefault="00D030A5" w:rsidP="00A13FF6">
      <w:pPr>
        <w:ind w:firstLine="567"/>
        <w:jc w:val="both"/>
      </w:pPr>
      <w:r w:rsidRPr="00D030A5">
        <w:t>коэффициент быстрой ликвидности</w:t>
      </w:r>
      <w:r w:rsidR="00A13FF6">
        <w:t>,</w:t>
      </w:r>
    </w:p>
    <w:p w:rsidR="00A13FF6" w:rsidRDefault="00D030A5" w:rsidP="00A13FF6">
      <w:pPr>
        <w:ind w:firstLine="567"/>
        <w:jc w:val="both"/>
      </w:pPr>
      <w:r>
        <w:t>коэффициент текущей ликвидности.</w:t>
      </w:r>
    </w:p>
    <w:p w:rsidR="00A064BA" w:rsidRDefault="00F9509F" w:rsidP="00F9509F">
      <w:pPr>
        <w:ind w:firstLine="567"/>
        <w:jc w:val="both"/>
      </w:pPr>
      <w:r>
        <w:lastRenderedPageBreak/>
        <w:t>Расчет финансовых индикаторов осуществляется на основе данных бухгалтерского баланса и отчета о финансовых результатах.</w:t>
      </w:r>
    </w:p>
    <w:p w:rsidR="00F9509F" w:rsidRDefault="00F9509F" w:rsidP="00F9509F">
      <w:pPr>
        <w:ind w:firstLine="567"/>
        <w:jc w:val="both"/>
      </w:pPr>
    </w:p>
    <w:p w:rsidR="00E00C7A" w:rsidRPr="00555050" w:rsidRDefault="005F1FB2" w:rsidP="00A064BA">
      <w:pPr>
        <w:ind w:firstLine="567"/>
        <w:jc w:val="center"/>
        <w:rPr>
          <w:b/>
        </w:rPr>
      </w:pPr>
      <w:r>
        <w:rPr>
          <w:b/>
        </w:rPr>
        <w:t>4</w:t>
      </w:r>
      <w:r w:rsidR="00E00C7A" w:rsidRPr="00555050">
        <w:rPr>
          <w:b/>
        </w:rPr>
        <w:t>.</w:t>
      </w:r>
      <w:r>
        <w:rPr>
          <w:b/>
        </w:rPr>
        <w:t>2</w:t>
      </w:r>
      <w:r w:rsidR="00E00C7A" w:rsidRPr="00555050">
        <w:rPr>
          <w:b/>
        </w:rPr>
        <w:t>. Коэффициенты ликвидности</w:t>
      </w:r>
    </w:p>
    <w:p w:rsidR="00E00C7A" w:rsidRDefault="00E00C7A" w:rsidP="00E00C7A">
      <w:pPr>
        <w:ind w:firstLine="567"/>
        <w:jc w:val="both"/>
      </w:pPr>
    </w:p>
    <w:p w:rsidR="00E00C7A" w:rsidRDefault="00E00C7A" w:rsidP="00070CBF">
      <w:pPr>
        <w:ind w:firstLine="567"/>
        <w:jc w:val="both"/>
      </w:pPr>
      <w:r>
        <w:t xml:space="preserve">Коэффициенты данной группы характеризуют обеспеченность юридического лица оборотными средствами для ведения финансово-хозяйственной деятельности и своевременного погашения краткосрочных обязательств. Для расчета коэффициентов используются данные формы бухгалтерской (финансовой) отчетности </w:t>
      </w:r>
      <w:r w:rsidR="005E039B">
        <w:t>«</w:t>
      </w:r>
      <w:r>
        <w:t>Бухгалтерский баланс</w:t>
      </w:r>
      <w:r w:rsidR="005E039B">
        <w:t>»</w:t>
      </w:r>
      <w:r>
        <w:t>.</w:t>
      </w:r>
    </w:p>
    <w:p w:rsidR="00D030A5" w:rsidRPr="00D030A5" w:rsidRDefault="00D030A5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b/>
          <w:sz w:val="24"/>
          <w:szCs w:val="24"/>
        </w:rPr>
        <w:t>Коэффициент абсолютной ликвидности К</w:t>
      </w:r>
      <w:r w:rsidRPr="00070CBF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D030A5">
        <w:rPr>
          <w:rFonts w:ascii="Times New Roman" w:hAnsi="Times New Roman" w:cs="Times New Roman"/>
          <w:sz w:val="24"/>
          <w:szCs w:val="24"/>
        </w:rPr>
        <w:t xml:space="preserve"> характеризует способность к моментальному погашению долговых обязательств за счет имеющихся денежных средств и финансовых вложений и рассчитывается по следующей формуле:</w:t>
      </w:r>
    </w:p>
    <w:p w:rsidR="00D030A5" w:rsidRDefault="00D030A5" w:rsidP="00D030A5">
      <w:pPr>
        <w:pStyle w:val="ConsPlusNormal"/>
        <w:jc w:val="both"/>
      </w:pPr>
    </w:p>
    <w:p w:rsidR="00D030A5" w:rsidRDefault="00D030A5" w:rsidP="00D030A5">
      <w:pPr>
        <w:pStyle w:val="ConsPlusNormal"/>
        <w:jc w:val="center"/>
      </w:pPr>
      <w:r w:rsidRPr="00070CBF"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3903345" cy="457200"/>
            <wp:effectExtent l="0" t="0" r="1905" b="0"/>
            <wp:docPr id="2" name="Рисунок 2" descr="base_24478_20965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78_209650_327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D030A5" w:rsidRPr="00D030A5" w:rsidRDefault="00D030A5" w:rsidP="00D03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0A5">
        <w:rPr>
          <w:rFonts w:ascii="Times New Roman" w:hAnsi="Times New Roman" w:cs="Times New Roman"/>
          <w:sz w:val="24"/>
          <w:szCs w:val="24"/>
        </w:rPr>
        <w:t>где:</w:t>
      </w:r>
    </w:p>
    <w:p w:rsidR="00D030A5" w:rsidRPr="00D030A5" w:rsidRDefault="00D030A5" w:rsidP="00D03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0A5">
        <w:rPr>
          <w:rFonts w:ascii="Times New Roman" w:hAnsi="Times New Roman" w:cs="Times New Roman"/>
          <w:sz w:val="24"/>
          <w:szCs w:val="24"/>
        </w:rPr>
        <w:t xml:space="preserve">стр.1240 - строка 1240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D030A5">
        <w:rPr>
          <w:rFonts w:ascii="Times New Roman" w:hAnsi="Times New Roman" w:cs="Times New Roman"/>
          <w:sz w:val="24"/>
          <w:szCs w:val="24"/>
        </w:rPr>
        <w:t>Финансовые вложения (за исключением денежных эквивалентов)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D030A5">
        <w:rPr>
          <w:rFonts w:ascii="Times New Roman" w:hAnsi="Times New Roman" w:cs="Times New Roman"/>
          <w:sz w:val="24"/>
          <w:szCs w:val="24"/>
        </w:rPr>
        <w:t>,</w:t>
      </w:r>
    </w:p>
    <w:p w:rsidR="00D030A5" w:rsidRPr="00D030A5" w:rsidRDefault="00D030A5" w:rsidP="00D03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0A5">
        <w:rPr>
          <w:rFonts w:ascii="Times New Roman" w:hAnsi="Times New Roman" w:cs="Times New Roman"/>
          <w:sz w:val="24"/>
          <w:szCs w:val="24"/>
        </w:rPr>
        <w:t xml:space="preserve">стр.1250 - строка 1250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D030A5">
        <w:rPr>
          <w:rFonts w:ascii="Times New Roman" w:hAnsi="Times New Roman" w:cs="Times New Roman"/>
          <w:sz w:val="24"/>
          <w:szCs w:val="24"/>
        </w:rPr>
        <w:t>Денежные средства и денежные эквиваленты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D030A5">
        <w:rPr>
          <w:rFonts w:ascii="Times New Roman" w:hAnsi="Times New Roman" w:cs="Times New Roman"/>
          <w:sz w:val="24"/>
          <w:szCs w:val="24"/>
        </w:rPr>
        <w:t>,</w:t>
      </w:r>
    </w:p>
    <w:p w:rsidR="00D030A5" w:rsidRPr="00D030A5" w:rsidRDefault="00D030A5" w:rsidP="00D03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0A5">
        <w:rPr>
          <w:rFonts w:ascii="Times New Roman" w:hAnsi="Times New Roman" w:cs="Times New Roman"/>
          <w:sz w:val="24"/>
          <w:szCs w:val="24"/>
        </w:rPr>
        <w:t xml:space="preserve">стр.1510 - строка 1510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D030A5">
        <w:rPr>
          <w:rFonts w:ascii="Times New Roman" w:hAnsi="Times New Roman" w:cs="Times New Roman"/>
          <w:sz w:val="24"/>
          <w:szCs w:val="24"/>
        </w:rPr>
        <w:t>Заемные средства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D030A5">
        <w:rPr>
          <w:rFonts w:ascii="Times New Roman" w:hAnsi="Times New Roman" w:cs="Times New Roman"/>
          <w:sz w:val="24"/>
          <w:szCs w:val="24"/>
        </w:rPr>
        <w:t>,</w:t>
      </w:r>
    </w:p>
    <w:p w:rsidR="00D030A5" w:rsidRPr="00D030A5" w:rsidRDefault="00D030A5" w:rsidP="00D03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0A5">
        <w:rPr>
          <w:rFonts w:ascii="Times New Roman" w:hAnsi="Times New Roman" w:cs="Times New Roman"/>
          <w:sz w:val="24"/>
          <w:szCs w:val="24"/>
        </w:rPr>
        <w:t xml:space="preserve">стр.1520 - строка 1520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D030A5">
        <w:rPr>
          <w:rFonts w:ascii="Times New Roman" w:hAnsi="Times New Roman" w:cs="Times New Roman"/>
          <w:sz w:val="24"/>
          <w:szCs w:val="24"/>
        </w:rPr>
        <w:t>Кредиторская задолженность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D030A5">
        <w:rPr>
          <w:rFonts w:ascii="Times New Roman" w:hAnsi="Times New Roman" w:cs="Times New Roman"/>
          <w:sz w:val="24"/>
          <w:szCs w:val="24"/>
        </w:rPr>
        <w:t>,</w:t>
      </w:r>
    </w:p>
    <w:p w:rsidR="005B55C1" w:rsidRPr="00D030A5" w:rsidRDefault="00D030A5" w:rsidP="00D030A5">
      <w:pPr>
        <w:ind w:firstLine="567"/>
        <w:jc w:val="both"/>
      </w:pPr>
      <w:r w:rsidRPr="00D030A5">
        <w:t xml:space="preserve">стр.1550 - строка 1550 </w:t>
      </w:r>
      <w:r w:rsidR="005E039B">
        <w:t>«</w:t>
      </w:r>
      <w:r w:rsidRPr="00D030A5">
        <w:t>Прочие обязательства</w:t>
      </w:r>
      <w:r w:rsidR="005E039B">
        <w:t>»</w:t>
      </w:r>
      <w:r w:rsidRPr="00D030A5">
        <w:t>.</w:t>
      </w:r>
    </w:p>
    <w:p w:rsidR="00070CBF" w:rsidRPr="00070CBF" w:rsidRDefault="00070CBF" w:rsidP="00070C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b/>
          <w:sz w:val="24"/>
          <w:szCs w:val="24"/>
        </w:rPr>
        <w:t>Коэффициент быстрой ликвидности К</w:t>
      </w:r>
      <w:r w:rsidRPr="00070CB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70CBF">
        <w:rPr>
          <w:rFonts w:ascii="Times New Roman" w:hAnsi="Times New Roman" w:cs="Times New Roman"/>
          <w:sz w:val="24"/>
          <w:szCs w:val="24"/>
        </w:rPr>
        <w:t xml:space="preserve"> характеризует способность оперативно высвободить из хозяйственного оборота денежные средства и погасить существующие финансовые обязательства. Показатель рассчитывается по следующей формуле:</w:t>
      </w:r>
    </w:p>
    <w:p w:rsidR="00070CBF" w:rsidRPr="00070CBF" w:rsidRDefault="00070CBF" w:rsidP="00070C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0CBF" w:rsidRPr="00070CBF" w:rsidRDefault="00070CBF" w:rsidP="00070C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4094480" cy="457200"/>
            <wp:effectExtent l="0" t="0" r="1270" b="0"/>
            <wp:docPr id="3" name="Рисунок 3" descr="base_24478_209650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4478_209650_3276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>где: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стр.1230 - строка 1230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Дебиторская задолженность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стр.1240 - строка 1240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Финансовые вложения (за исключением денежных эквивалентов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),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стр.1250 - строка 1250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Денежные средства и денежные эквиваленты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стр.1510 - строка 1510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Заемные средства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стр.1520 - строка 1520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Кредиторская задолженность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5B55C1" w:rsidRPr="00070CBF" w:rsidRDefault="00070CBF" w:rsidP="00070CBF">
      <w:pPr>
        <w:ind w:firstLine="567"/>
        <w:jc w:val="both"/>
      </w:pPr>
      <w:r w:rsidRPr="00070CBF">
        <w:t xml:space="preserve">стр.1550 - строка 1550 </w:t>
      </w:r>
      <w:r w:rsidR="005E039B">
        <w:t>«</w:t>
      </w:r>
      <w:r w:rsidRPr="00070CBF">
        <w:t>Прочие обязательства</w:t>
      </w:r>
      <w:r w:rsidR="005E039B">
        <w:t>»</w:t>
      </w:r>
      <w:r w:rsidRPr="00070CBF">
        <w:t>.</w:t>
      </w:r>
    </w:p>
    <w:p w:rsidR="00070CBF" w:rsidRPr="00070CBF" w:rsidRDefault="00070CBF" w:rsidP="00070C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b/>
          <w:sz w:val="24"/>
          <w:szCs w:val="24"/>
        </w:rPr>
        <w:t>Коэффициент текущей ликвидности К</w:t>
      </w:r>
      <w:r w:rsidRPr="00070CBF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070CBF">
        <w:rPr>
          <w:rFonts w:ascii="Times New Roman" w:hAnsi="Times New Roman" w:cs="Times New Roman"/>
          <w:sz w:val="24"/>
          <w:szCs w:val="24"/>
        </w:rPr>
        <w:t xml:space="preserve"> является обобщающим показателем платежеспособности организации, дает общую оценку ликвидности активов и рассчитывается по следующей формуле:</w:t>
      </w:r>
    </w:p>
    <w:p w:rsidR="00070CBF" w:rsidRPr="00070CBF" w:rsidRDefault="00070CBF" w:rsidP="00070C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0CBF" w:rsidRPr="00070CBF" w:rsidRDefault="00070CBF" w:rsidP="00070C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4708525" cy="457200"/>
            <wp:effectExtent l="0" t="0" r="0" b="0"/>
            <wp:docPr id="4" name="Рисунок 4" descr="base_24478_20965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4478_209650_3277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>где: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стр.1200 - строка 1200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 xml:space="preserve">Итого по разделу II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Оборотные активы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стр.1510 - строка 1510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Заемные средства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стр.1520 - строка 1520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Кредиторская задолженность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стр.1540 - строка 1540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Оценочные обязательства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5B6833" w:rsidRDefault="00070CBF" w:rsidP="00070CBF">
      <w:pPr>
        <w:ind w:firstLine="567"/>
        <w:jc w:val="both"/>
      </w:pPr>
      <w:r w:rsidRPr="00070CBF">
        <w:t xml:space="preserve">стр.1550 - строка 1550 </w:t>
      </w:r>
      <w:r w:rsidR="005E039B">
        <w:t>«</w:t>
      </w:r>
      <w:r w:rsidRPr="00070CBF">
        <w:t>Прочие обязательства</w:t>
      </w:r>
      <w:r w:rsidR="005E039B">
        <w:t>»</w:t>
      </w:r>
      <w:r w:rsidRPr="00070CBF">
        <w:t>.</w:t>
      </w:r>
    </w:p>
    <w:p w:rsidR="00F9509F" w:rsidRDefault="00F9509F" w:rsidP="005B6833">
      <w:pPr>
        <w:ind w:firstLine="567"/>
        <w:jc w:val="both"/>
      </w:pPr>
    </w:p>
    <w:p w:rsidR="005B6833" w:rsidRPr="00555050" w:rsidRDefault="005F1FB2" w:rsidP="005B6833">
      <w:pPr>
        <w:ind w:firstLine="567"/>
        <w:jc w:val="center"/>
      </w:pPr>
      <w:r>
        <w:rPr>
          <w:b/>
        </w:rPr>
        <w:t>4</w:t>
      </w:r>
      <w:r w:rsidR="005B6833" w:rsidRPr="00555050">
        <w:rPr>
          <w:b/>
        </w:rPr>
        <w:t>.</w:t>
      </w:r>
      <w:r>
        <w:rPr>
          <w:b/>
        </w:rPr>
        <w:t>3</w:t>
      </w:r>
      <w:r w:rsidR="005B6833" w:rsidRPr="00555050">
        <w:rPr>
          <w:b/>
        </w:rPr>
        <w:t>. Коэффициент соотношения собственных и заемных средств</w:t>
      </w:r>
    </w:p>
    <w:p w:rsidR="005B6833" w:rsidRDefault="005B6833" w:rsidP="005B6833">
      <w:pPr>
        <w:ind w:firstLine="567"/>
        <w:jc w:val="center"/>
      </w:pPr>
    </w:p>
    <w:p w:rsidR="005B6833" w:rsidRDefault="005B6833" w:rsidP="00070CBF">
      <w:pPr>
        <w:ind w:firstLine="567"/>
        <w:jc w:val="both"/>
      </w:pPr>
      <w:r w:rsidRPr="005B6833">
        <w:rPr>
          <w:b/>
        </w:rPr>
        <w:t>Коэффициент соотношения собственных и заемных средств (К4)</w:t>
      </w:r>
      <w:r>
        <w:t xml:space="preserve"> применяется для оценки способности юридического лица выполнять свои долгосрочные обязательства и показывает, сколько заемных средств привлекло юридическое лицо на один рубль вложенных в активы собственных средств и является одной из общих характеристик финансовой устойчивости юридического лица, т.е. стабильности его работы в среднесрочной перспективе.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>Коэффициент соотношения собственных и заемных средств К</w:t>
      </w:r>
      <w:r w:rsidRPr="00070C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70CBF">
        <w:rPr>
          <w:rFonts w:ascii="Times New Roman" w:hAnsi="Times New Roman" w:cs="Times New Roman"/>
          <w:sz w:val="24"/>
          <w:szCs w:val="24"/>
        </w:rPr>
        <w:t xml:space="preserve"> рассчитывается на основании данных бухгалтерского баланса по следующей формуле:</w:t>
      </w:r>
    </w:p>
    <w:p w:rsidR="00070CBF" w:rsidRPr="00070CBF" w:rsidRDefault="00070CBF" w:rsidP="00070C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0CBF" w:rsidRPr="00070CBF" w:rsidRDefault="00070CBF" w:rsidP="00070C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5527040" cy="457200"/>
            <wp:effectExtent l="0" t="0" r="0" b="0"/>
            <wp:docPr id="5" name="Рисунок 5" descr="base_24478_209650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4478_209650_32771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>где: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стр.1300 - строка 1300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 xml:space="preserve">Итого по разделу III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Капитал и резервы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стр.1400 - строка 1400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 xml:space="preserve">Итого по разделу IV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Долгосрочные обязательства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стр.1510 - строка 1510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Заемные средства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стр.1520 - строка 1520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Кредиторская задолженность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стр.1540 - строка 1540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Оценочные обязательства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5B6833" w:rsidRPr="00070CBF" w:rsidRDefault="00070CBF" w:rsidP="00070CBF">
      <w:pPr>
        <w:ind w:firstLine="567"/>
        <w:jc w:val="both"/>
      </w:pPr>
      <w:r w:rsidRPr="00070CBF">
        <w:t xml:space="preserve">стр.1550 - строка 1550 </w:t>
      </w:r>
      <w:r w:rsidR="005E039B">
        <w:t>«</w:t>
      </w:r>
      <w:r w:rsidRPr="00070CBF">
        <w:t>Прочие обязательства</w:t>
      </w:r>
      <w:r w:rsidR="005E039B">
        <w:t>»</w:t>
      </w:r>
      <w:r w:rsidRPr="00070CBF">
        <w:t>.</w:t>
      </w:r>
    </w:p>
    <w:p w:rsidR="005B6833" w:rsidRDefault="005B6833" w:rsidP="005B6833">
      <w:pPr>
        <w:ind w:firstLine="567"/>
        <w:jc w:val="both"/>
      </w:pPr>
    </w:p>
    <w:p w:rsidR="00F26C8F" w:rsidRPr="005F1FB2" w:rsidRDefault="005F1FB2" w:rsidP="00F26C8F">
      <w:pPr>
        <w:ind w:firstLine="567"/>
        <w:jc w:val="center"/>
        <w:rPr>
          <w:b/>
        </w:rPr>
      </w:pPr>
      <w:r w:rsidRPr="005F1FB2">
        <w:rPr>
          <w:b/>
        </w:rPr>
        <w:t>4</w:t>
      </w:r>
      <w:r w:rsidR="00F26C8F" w:rsidRPr="005F1FB2">
        <w:rPr>
          <w:b/>
        </w:rPr>
        <w:t>.</w:t>
      </w:r>
      <w:r w:rsidRPr="005F1FB2">
        <w:rPr>
          <w:b/>
        </w:rPr>
        <w:t>4</w:t>
      </w:r>
      <w:r w:rsidR="00F26C8F" w:rsidRPr="005F1FB2">
        <w:rPr>
          <w:b/>
        </w:rPr>
        <w:t>. Показатель рентабельности продаж</w:t>
      </w:r>
    </w:p>
    <w:p w:rsidR="00F26C8F" w:rsidRDefault="00F26C8F" w:rsidP="00F26C8F">
      <w:pPr>
        <w:ind w:firstLine="567"/>
        <w:jc w:val="both"/>
      </w:pPr>
    </w:p>
    <w:p w:rsidR="00F26C8F" w:rsidRDefault="00F26C8F" w:rsidP="00070CBF">
      <w:pPr>
        <w:ind w:firstLine="567"/>
        <w:jc w:val="both"/>
      </w:pPr>
      <w:r w:rsidRPr="00F26C8F">
        <w:rPr>
          <w:b/>
        </w:rPr>
        <w:t>Показатель рентабельности продаж (К5)</w:t>
      </w:r>
      <w:r>
        <w:t xml:space="preserve"> характеризует долю чистой прибыли в объеме продаж предназначен для оценки общей эффективности инвестирования средств в данное юридическое лицо</w:t>
      </w:r>
      <w:r w:rsidR="00555050">
        <w:t>.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>Показатель рентабельности рассчитывается на основании данных отчета о финансовых результатах по следующей формуле:</w:t>
      </w:r>
    </w:p>
    <w:p w:rsidR="00070CBF" w:rsidRPr="00070CBF" w:rsidRDefault="00070CBF" w:rsidP="00070C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0CBF" w:rsidRPr="00070CBF" w:rsidRDefault="00070CBF" w:rsidP="00070C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1085215" cy="457200"/>
            <wp:effectExtent l="0" t="0" r="0" b="0"/>
            <wp:docPr id="6" name="Рисунок 6" descr="base_24478_209650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4478_209650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070CBF" w:rsidRPr="00070CBF" w:rsidRDefault="00070CBF" w:rsidP="00070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>где:</w:t>
      </w:r>
    </w:p>
    <w:p w:rsidR="00070CBF" w:rsidRPr="00070CBF" w:rsidRDefault="00070CBF" w:rsidP="00070C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CBF">
        <w:rPr>
          <w:rFonts w:ascii="Times New Roman" w:hAnsi="Times New Roman" w:cs="Times New Roman"/>
          <w:sz w:val="24"/>
          <w:szCs w:val="24"/>
        </w:rPr>
        <w:t xml:space="preserve">стр.2200 - строка 2200 </w:t>
      </w:r>
      <w:r w:rsidR="005E039B">
        <w:rPr>
          <w:rFonts w:ascii="Times New Roman" w:hAnsi="Times New Roman" w:cs="Times New Roman"/>
          <w:sz w:val="24"/>
          <w:szCs w:val="24"/>
        </w:rPr>
        <w:t>«</w:t>
      </w:r>
      <w:r w:rsidRPr="00070CBF">
        <w:rPr>
          <w:rFonts w:ascii="Times New Roman" w:hAnsi="Times New Roman" w:cs="Times New Roman"/>
          <w:sz w:val="24"/>
          <w:szCs w:val="24"/>
        </w:rPr>
        <w:t>Прибыль (убыток) от продаж</w:t>
      </w:r>
      <w:r w:rsidR="005E039B">
        <w:rPr>
          <w:rFonts w:ascii="Times New Roman" w:hAnsi="Times New Roman" w:cs="Times New Roman"/>
          <w:sz w:val="24"/>
          <w:szCs w:val="24"/>
        </w:rPr>
        <w:t>»</w:t>
      </w:r>
      <w:r w:rsidRPr="00070CBF">
        <w:rPr>
          <w:rFonts w:ascii="Times New Roman" w:hAnsi="Times New Roman" w:cs="Times New Roman"/>
          <w:sz w:val="24"/>
          <w:szCs w:val="24"/>
        </w:rPr>
        <w:t>,</w:t>
      </w:r>
    </w:p>
    <w:p w:rsidR="00F26C8F" w:rsidRDefault="00070CBF" w:rsidP="00070CBF">
      <w:pPr>
        <w:ind w:firstLine="567"/>
        <w:jc w:val="both"/>
      </w:pPr>
      <w:r w:rsidRPr="00070CBF">
        <w:t xml:space="preserve">стр.2110 - строка 2110 </w:t>
      </w:r>
      <w:r w:rsidR="005E039B">
        <w:t>«</w:t>
      </w:r>
      <w:r w:rsidRPr="00070CBF">
        <w:t>Выручка</w:t>
      </w:r>
      <w:r w:rsidR="005E039B">
        <w:t>»</w:t>
      </w:r>
      <w:r w:rsidRPr="00070CBF">
        <w:t>.</w:t>
      </w:r>
    </w:p>
    <w:p w:rsidR="00070CBF" w:rsidRPr="00070CBF" w:rsidRDefault="00070CBF" w:rsidP="00070CBF">
      <w:pPr>
        <w:ind w:firstLine="567"/>
        <w:jc w:val="both"/>
      </w:pPr>
    </w:p>
    <w:p w:rsidR="00F26C8F" w:rsidRPr="00555050" w:rsidRDefault="005F1FB2" w:rsidP="00F26C8F">
      <w:pPr>
        <w:ind w:firstLine="567"/>
        <w:jc w:val="center"/>
        <w:rPr>
          <w:b/>
        </w:rPr>
      </w:pPr>
      <w:r>
        <w:rPr>
          <w:b/>
        </w:rPr>
        <w:t>4.5</w:t>
      </w:r>
      <w:r w:rsidR="00F26C8F" w:rsidRPr="00555050">
        <w:rPr>
          <w:b/>
        </w:rPr>
        <w:t>. Оценка результатов расчетов коэффициентов</w:t>
      </w:r>
    </w:p>
    <w:p w:rsidR="00F26C8F" w:rsidRDefault="00F26C8F" w:rsidP="00F26C8F">
      <w:pPr>
        <w:ind w:firstLine="567"/>
        <w:jc w:val="both"/>
      </w:pPr>
    </w:p>
    <w:p w:rsidR="00F26C8F" w:rsidRDefault="00F26C8F" w:rsidP="00F26C8F">
      <w:pPr>
        <w:ind w:firstLine="567"/>
        <w:jc w:val="both"/>
      </w:pPr>
      <w:r>
        <w:t>Оценка результатов расчетов пяти коэффициентов (К1, К2, К3, К4 и К5) заключается в присвоении юридическому лицу категории по каждому из этих показателей на основании сравнения полученных значений с установленными нормативными значениями для этих коэффициентов, приведенных в таблице.</w:t>
      </w:r>
    </w:p>
    <w:p w:rsidR="00F26C8F" w:rsidRDefault="00F26C8F" w:rsidP="00F26C8F">
      <w:pPr>
        <w:ind w:firstLine="567"/>
        <w:jc w:val="both"/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160"/>
        <w:gridCol w:w="2160"/>
        <w:gridCol w:w="2160"/>
      </w:tblGrid>
      <w:tr w:rsidR="00F26C8F" w:rsidRPr="00566F22" w:rsidTr="002F682B">
        <w:trPr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566F22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22">
              <w:rPr>
                <w:rFonts w:ascii="Times New Roman" w:hAnsi="Times New Roman" w:cs="Times New Roman"/>
                <w:sz w:val="24"/>
                <w:szCs w:val="24"/>
              </w:rPr>
              <w:t>Коэффициенты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566F22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22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566F22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22"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566F22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22">
              <w:rPr>
                <w:rFonts w:ascii="Times New Roman" w:hAnsi="Times New Roman" w:cs="Times New Roman"/>
                <w:sz w:val="24"/>
                <w:szCs w:val="24"/>
              </w:rPr>
              <w:t>3 категория</w:t>
            </w:r>
          </w:p>
        </w:tc>
      </w:tr>
      <w:tr w:rsidR="00F26C8F" w:rsidRPr="00F26C8F" w:rsidTr="002F682B">
        <w:trPr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5059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5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151A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51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151AD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151A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менее 0,</w:t>
            </w:r>
            <w:r w:rsidR="00151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6C8F" w:rsidRPr="00F26C8F" w:rsidTr="002F682B">
        <w:trPr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5059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5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0,8 и выше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0,5-0,8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менее 0,5</w:t>
            </w:r>
          </w:p>
        </w:tc>
      </w:tr>
      <w:tr w:rsidR="00F26C8F" w:rsidRPr="00F26C8F" w:rsidTr="002F682B">
        <w:trPr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5059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5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151A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1,0-</w:t>
            </w:r>
            <w:r w:rsidR="00151AD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менее 1,0</w:t>
            </w:r>
          </w:p>
        </w:tc>
      </w:tr>
      <w:tr w:rsidR="00F26C8F" w:rsidRPr="00F26C8F" w:rsidTr="002F682B">
        <w:trPr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5059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5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151A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51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1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1A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151A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менее 0,</w:t>
            </w:r>
            <w:r w:rsidR="00151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6C8F" w:rsidRPr="00F26C8F" w:rsidTr="002F682B">
        <w:trPr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5059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5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0,1 и выше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F26C8F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8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151AD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8F" w:rsidRPr="00F26C8F" w:rsidRDefault="00151AD9" w:rsidP="002F68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</w:t>
            </w:r>
          </w:p>
        </w:tc>
      </w:tr>
    </w:tbl>
    <w:p w:rsidR="00F26C8F" w:rsidRDefault="00F26C8F" w:rsidP="00F26C8F">
      <w:pPr>
        <w:ind w:firstLine="567"/>
        <w:jc w:val="both"/>
      </w:pPr>
    </w:p>
    <w:p w:rsidR="00151AD9" w:rsidRDefault="00151AD9" w:rsidP="00151AD9">
      <w:pPr>
        <w:ind w:firstLine="567"/>
        <w:jc w:val="both"/>
      </w:pPr>
      <w:r>
        <w:lastRenderedPageBreak/>
        <w:t>В зависимости от соотношения величины коэффициентов и нормативных значений для каждого коэффициента определяется одна из трех категорий:</w:t>
      </w:r>
    </w:p>
    <w:p w:rsidR="00151AD9" w:rsidRDefault="00151AD9" w:rsidP="00151AD9">
      <w:pPr>
        <w:ind w:firstLine="567"/>
        <w:jc w:val="both"/>
      </w:pPr>
      <w:r>
        <w:t>– 1 категория – хорошая ситуация и низкий риск неплатежеспособности;</w:t>
      </w:r>
    </w:p>
    <w:p w:rsidR="00151AD9" w:rsidRDefault="00151AD9" w:rsidP="00151AD9">
      <w:pPr>
        <w:ind w:firstLine="567"/>
        <w:jc w:val="both"/>
      </w:pPr>
      <w:r>
        <w:t>– 2 категория – удовлетворительная ситуация и умеренный риск неплатежеспособности;</w:t>
      </w:r>
    </w:p>
    <w:p w:rsidR="00151AD9" w:rsidRDefault="00151AD9" w:rsidP="00151AD9">
      <w:pPr>
        <w:ind w:firstLine="567"/>
        <w:jc w:val="both"/>
      </w:pPr>
      <w:r>
        <w:t>– 3 категория – неудовлетворительная ситуация и высокий риск неплатежеспособности.</w:t>
      </w:r>
    </w:p>
    <w:p w:rsidR="00151AD9" w:rsidRDefault="00151AD9" w:rsidP="00151AD9">
      <w:pPr>
        <w:ind w:firstLine="567"/>
        <w:jc w:val="both"/>
      </w:pPr>
      <w:r>
        <w:t>Определяется сумма баллов по этим показателям в соответствии с их весами.</w:t>
      </w:r>
    </w:p>
    <w:p w:rsidR="00555050" w:rsidRDefault="00555050" w:rsidP="00151AD9">
      <w:pPr>
        <w:ind w:firstLine="567"/>
        <w:jc w:val="both"/>
      </w:pPr>
    </w:p>
    <w:p w:rsidR="00151AD9" w:rsidRPr="00555050" w:rsidRDefault="005F1FB2" w:rsidP="00151AD9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151AD9" w:rsidRPr="00555050">
        <w:rPr>
          <w:b/>
          <w:szCs w:val="28"/>
        </w:rPr>
        <w:t>.</w:t>
      </w:r>
      <w:r>
        <w:rPr>
          <w:b/>
          <w:szCs w:val="28"/>
        </w:rPr>
        <w:t>6</w:t>
      </w:r>
      <w:r w:rsidR="00151AD9" w:rsidRPr="00555050">
        <w:rPr>
          <w:b/>
          <w:szCs w:val="28"/>
        </w:rPr>
        <w:t>. Расчет сводной оценки коэффициентов</w:t>
      </w:r>
    </w:p>
    <w:p w:rsidR="00566F22" w:rsidRPr="00555050" w:rsidRDefault="00566F22" w:rsidP="00151AD9">
      <w:pPr>
        <w:ind w:firstLine="567"/>
        <w:jc w:val="center"/>
        <w:rPr>
          <w:b/>
        </w:rPr>
      </w:pPr>
    </w:p>
    <w:p w:rsidR="00151AD9" w:rsidRDefault="00151AD9" w:rsidP="00151AD9">
      <w:pPr>
        <w:ind w:firstLine="567"/>
        <w:jc w:val="both"/>
      </w:pPr>
      <w:r>
        <w:t xml:space="preserve">Сводный показатель (S) вычисляется как средневзвешенная сумма категорий. </w:t>
      </w:r>
    </w:p>
    <w:p w:rsidR="00151AD9" w:rsidRDefault="00151AD9" w:rsidP="00151AD9">
      <w:pPr>
        <w:ind w:firstLine="567"/>
        <w:jc w:val="both"/>
      </w:pPr>
      <w:r>
        <w:t>Формула расчета суммы баллов S имеет вид:</w:t>
      </w:r>
    </w:p>
    <w:p w:rsidR="00151AD9" w:rsidRPr="00151AD9" w:rsidRDefault="00151AD9" w:rsidP="00151AD9">
      <w:pPr>
        <w:ind w:firstLine="567"/>
        <w:jc w:val="both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=0,11*K1+0.05*K2+0.42*K3+0.21*K4+0.21*K5</m:t>
          </m:r>
        </m:oMath>
      </m:oMathPara>
    </w:p>
    <w:p w:rsidR="00151AD9" w:rsidRDefault="00151AD9" w:rsidP="00151AD9">
      <w:pPr>
        <w:ind w:firstLine="567"/>
        <w:jc w:val="both"/>
      </w:pPr>
      <w:r>
        <w:t>Вес каждого из показателей устанавливается в соответствии с</w:t>
      </w:r>
      <w:r w:rsidR="009F1E3E">
        <w:t xml:space="preserve"> </w:t>
      </w:r>
      <w:r>
        <w:t>таблицей:</w:t>
      </w:r>
    </w:p>
    <w:p w:rsidR="009F1E3E" w:rsidRDefault="009F1E3E" w:rsidP="00151AD9">
      <w:pPr>
        <w:ind w:firstLine="567"/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1800"/>
      </w:tblGrid>
      <w:tr w:rsidR="009F1E3E" w:rsidRPr="00566F22" w:rsidTr="009F1E3E">
        <w:trPr>
          <w:trHeight w:val="360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E3E" w:rsidRPr="00566F22" w:rsidRDefault="009F1E3E" w:rsidP="002F682B">
            <w:pPr>
              <w:autoSpaceDE w:val="0"/>
              <w:autoSpaceDN w:val="0"/>
              <w:adjustRightInd w:val="0"/>
              <w:jc w:val="center"/>
            </w:pPr>
            <w:r w:rsidRPr="00566F22">
              <w:t>Показатель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E3E" w:rsidRPr="00566F22" w:rsidRDefault="009F1E3E" w:rsidP="002F682B">
            <w:pPr>
              <w:autoSpaceDE w:val="0"/>
              <w:autoSpaceDN w:val="0"/>
              <w:adjustRightInd w:val="0"/>
              <w:jc w:val="center"/>
            </w:pPr>
            <w:r w:rsidRPr="00566F22">
              <w:t xml:space="preserve">Вес      </w:t>
            </w:r>
            <w:r w:rsidRPr="00566F22">
              <w:br/>
              <w:t>показателя</w:t>
            </w:r>
          </w:p>
        </w:tc>
      </w:tr>
      <w:tr w:rsidR="009F1E3E" w:rsidRPr="009F1E3E" w:rsidTr="004A7857">
        <w:trPr>
          <w:trHeight w:val="240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E3E" w:rsidRPr="009F1E3E" w:rsidRDefault="004A7857" w:rsidP="004A7857">
            <w:pPr>
              <w:autoSpaceDE w:val="0"/>
              <w:autoSpaceDN w:val="0"/>
              <w:adjustRightInd w:val="0"/>
            </w:pPr>
            <w:r w:rsidRPr="004A7857">
              <w:t>Коэффициент абсолютной ликвидности</w:t>
            </w:r>
            <w:r w:rsidR="009F1E3E" w:rsidRPr="009F1E3E">
              <w:t xml:space="preserve"> К</w:t>
            </w:r>
            <w:r w:rsidR="005D7FED">
              <w:t>1</w:t>
            </w:r>
            <w:r w:rsidR="009F1E3E" w:rsidRPr="009F1E3E">
              <w:t xml:space="preserve">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E3E" w:rsidRPr="009F1E3E" w:rsidRDefault="009F1E3E" w:rsidP="009F1E3E">
            <w:pPr>
              <w:autoSpaceDE w:val="0"/>
              <w:autoSpaceDN w:val="0"/>
              <w:adjustRightInd w:val="0"/>
              <w:jc w:val="center"/>
            </w:pPr>
            <w:r w:rsidRPr="009F1E3E">
              <w:t>0,</w:t>
            </w:r>
            <w:r>
              <w:t>11</w:t>
            </w:r>
          </w:p>
        </w:tc>
      </w:tr>
      <w:tr w:rsidR="009F1E3E" w:rsidRPr="009F1E3E" w:rsidTr="004A7857">
        <w:trPr>
          <w:trHeight w:val="240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E3E" w:rsidRPr="009F1E3E" w:rsidRDefault="004A7857" w:rsidP="005D7FED">
            <w:pPr>
              <w:autoSpaceDE w:val="0"/>
              <w:autoSpaceDN w:val="0"/>
              <w:adjustRightInd w:val="0"/>
            </w:pPr>
            <w:r w:rsidRPr="004A7857">
              <w:t>Коэффициент срочной ликвидности (</w:t>
            </w:r>
            <w:r w:rsidR="005E039B">
              <w:t>«</w:t>
            </w:r>
            <w:r w:rsidRPr="004A7857">
              <w:t>критической</w:t>
            </w:r>
            <w:r w:rsidR="005E039B">
              <w:t>»</w:t>
            </w:r>
            <w:r w:rsidRPr="004A7857">
              <w:t xml:space="preserve"> оценки)</w:t>
            </w:r>
            <w:r w:rsidR="009F1E3E" w:rsidRPr="009F1E3E">
              <w:t xml:space="preserve"> К</w:t>
            </w:r>
            <w:r w:rsidR="005D7FED">
              <w:t>2</w:t>
            </w:r>
            <w:r w:rsidR="009F1E3E" w:rsidRPr="009F1E3E">
              <w:t xml:space="preserve">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E3E" w:rsidRPr="009F1E3E" w:rsidRDefault="009F1E3E" w:rsidP="009F1E3E">
            <w:pPr>
              <w:autoSpaceDE w:val="0"/>
              <w:autoSpaceDN w:val="0"/>
              <w:adjustRightInd w:val="0"/>
              <w:jc w:val="center"/>
            </w:pPr>
            <w:r w:rsidRPr="009F1E3E">
              <w:t>0,</w:t>
            </w:r>
            <w:r>
              <w:t>05</w:t>
            </w:r>
          </w:p>
        </w:tc>
      </w:tr>
      <w:tr w:rsidR="009F1E3E" w:rsidRPr="009F1E3E" w:rsidTr="004A7857">
        <w:trPr>
          <w:trHeight w:val="240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E3E" w:rsidRPr="009F1E3E" w:rsidRDefault="004A7857" w:rsidP="005D7FED">
            <w:pPr>
              <w:autoSpaceDE w:val="0"/>
              <w:autoSpaceDN w:val="0"/>
              <w:adjustRightInd w:val="0"/>
            </w:pPr>
            <w:r w:rsidRPr="004A7857">
              <w:t>Коэффициент текущей ликвидности</w:t>
            </w:r>
            <w:r w:rsidR="009F1E3E" w:rsidRPr="009F1E3E">
              <w:t xml:space="preserve"> К</w:t>
            </w:r>
            <w:r w:rsidR="005D7FED">
              <w:t>3</w:t>
            </w:r>
            <w:r w:rsidR="009F1E3E" w:rsidRPr="009F1E3E">
              <w:t xml:space="preserve">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E3E" w:rsidRPr="009F1E3E" w:rsidRDefault="009F1E3E" w:rsidP="009F1E3E">
            <w:pPr>
              <w:autoSpaceDE w:val="0"/>
              <w:autoSpaceDN w:val="0"/>
              <w:adjustRightInd w:val="0"/>
              <w:jc w:val="center"/>
            </w:pPr>
            <w:r w:rsidRPr="009F1E3E">
              <w:t>0,</w:t>
            </w:r>
            <w:r>
              <w:t>42</w:t>
            </w:r>
          </w:p>
        </w:tc>
      </w:tr>
      <w:tr w:rsidR="009F1E3E" w:rsidRPr="009F1E3E" w:rsidTr="004A7857">
        <w:trPr>
          <w:trHeight w:val="240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E3E" w:rsidRPr="009F1E3E" w:rsidRDefault="004A7857" w:rsidP="005D7FED">
            <w:pPr>
              <w:autoSpaceDE w:val="0"/>
              <w:autoSpaceDN w:val="0"/>
              <w:adjustRightInd w:val="0"/>
            </w:pPr>
            <w:r w:rsidRPr="004A7857">
              <w:t>Коэффициент соотношения собственных и заемных средств</w:t>
            </w:r>
            <w:r w:rsidR="009F1E3E" w:rsidRPr="009F1E3E">
              <w:t xml:space="preserve"> К</w:t>
            </w:r>
            <w:r w:rsidR="005D7FED">
              <w:t>4</w:t>
            </w:r>
            <w:r w:rsidR="009F1E3E" w:rsidRPr="009F1E3E">
              <w:t xml:space="preserve">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E3E" w:rsidRPr="009F1E3E" w:rsidRDefault="009F1E3E" w:rsidP="002F682B">
            <w:pPr>
              <w:autoSpaceDE w:val="0"/>
              <w:autoSpaceDN w:val="0"/>
              <w:adjustRightInd w:val="0"/>
              <w:jc w:val="center"/>
            </w:pPr>
            <w:r w:rsidRPr="009F1E3E">
              <w:t>0,2</w:t>
            </w:r>
            <w:r>
              <w:t>1</w:t>
            </w:r>
          </w:p>
        </w:tc>
      </w:tr>
      <w:tr w:rsidR="009F1E3E" w:rsidRPr="009F1E3E" w:rsidTr="004A7857">
        <w:trPr>
          <w:trHeight w:val="240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E3E" w:rsidRPr="009F1E3E" w:rsidRDefault="004A7857" w:rsidP="005D7FED">
            <w:pPr>
              <w:autoSpaceDE w:val="0"/>
              <w:autoSpaceDN w:val="0"/>
              <w:adjustRightInd w:val="0"/>
            </w:pPr>
            <w:r w:rsidRPr="004A7857">
              <w:t>Показатель рентабельности продаж</w:t>
            </w:r>
            <w:r w:rsidR="009F1E3E" w:rsidRPr="009F1E3E">
              <w:t xml:space="preserve"> К</w:t>
            </w:r>
            <w:r w:rsidR="005D7FED">
              <w:t>5</w:t>
            </w:r>
            <w:r w:rsidR="009F1E3E" w:rsidRPr="009F1E3E">
              <w:t xml:space="preserve">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E3E" w:rsidRPr="009F1E3E" w:rsidRDefault="009F1E3E" w:rsidP="009F1E3E">
            <w:pPr>
              <w:autoSpaceDE w:val="0"/>
              <w:autoSpaceDN w:val="0"/>
              <w:adjustRightInd w:val="0"/>
              <w:jc w:val="center"/>
            </w:pPr>
            <w:r w:rsidRPr="009F1E3E">
              <w:t>0,</w:t>
            </w:r>
            <w:r>
              <w:t>21</w:t>
            </w:r>
          </w:p>
        </w:tc>
      </w:tr>
      <w:tr w:rsidR="009F1E3E" w:rsidRPr="009F1E3E" w:rsidTr="004A7857">
        <w:trPr>
          <w:trHeight w:val="240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E3E" w:rsidRPr="009F1E3E" w:rsidRDefault="009F1E3E" w:rsidP="002F682B">
            <w:pPr>
              <w:autoSpaceDE w:val="0"/>
              <w:autoSpaceDN w:val="0"/>
              <w:adjustRightInd w:val="0"/>
              <w:ind w:left="708"/>
            </w:pPr>
            <w:r w:rsidRPr="009F1E3E">
              <w:t xml:space="preserve">Итого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E3E" w:rsidRPr="009F1E3E" w:rsidRDefault="009F1E3E" w:rsidP="002F682B">
            <w:pPr>
              <w:autoSpaceDE w:val="0"/>
              <w:autoSpaceDN w:val="0"/>
              <w:adjustRightInd w:val="0"/>
              <w:jc w:val="center"/>
            </w:pPr>
            <w:r w:rsidRPr="009F1E3E">
              <w:t>1</w:t>
            </w:r>
          </w:p>
        </w:tc>
      </w:tr>
    </w:tbl>
    <w:p w:rsidR="009F1E3E" w:rsidRDefault="009F1E3E" w:rsidP="009F1E3E">
      <w:pPr>
        <w:ind w:firstLine="567"/>
        <w:jc w:val="both"/>
      </w:pPr>
    </w:p>
    <w:p w:rsidR="009F1E3E" w:rsidRDefault="009F1E3E" w:rsidP="009F1E3E">
      <w:pPr>
        <w:ind w:firstLine="567"/>
        <w:jc w:val="both"/>
      </w:pPr>
      <w:r>
        <w:t>Заключительным этапом оценки кредитоспособности юридического лица является определение рейтинга организации или класса, который определяется следующим образом:</w:t>
      </w:r>
    </w:p>
    <w:p w:rsidR="000710A2" w:rsidRDefault="009F1E3E" w:rsidP="009F1E3E">
      <w:pPr>
        <w:ind w:firstLine="567"/>
        <w:jc w:val="both"/>
      </w:pPr>
      <w:r w:rsidRPr="00577DAF">
        <w:rPr>
          <w:b/>
        </w:rPr>
        <w:t>первый класс кредитоспособности: S не превышает 1,05</w:t>
      </w:r>
      <w:r>
        <w:t xml:space="preserve"> – финансовое</w:t>
      </w:r>
      <w:r w:rsidR="00577DAF">
        <w:t xml:space="preserve"> </w:t>
      </w:r>
      <w:r>
        <w:t>состояние является хорошим</w:t>
      </w:r>
      <w:r w:rsidR="000710A2">
        <w:t>;</w:t>
      </w:r>
    </w:p>
    <w:p w:rsidR="009F1E3E" w:rsidRDefault="009F1E3E" w:rsidP="009F1E3E">
      <w:pPr>
        <w:ind w:firstLine="567"/>
        <w:jc w:val="both"/>
      </w:pPr>
      <w:r w:rsidRPr="00577DAF">
        <w:rPr>
          <w:b/>
        </w:rPr>
        <w:t>второй класс кредитоспособности: значение S больше 1,05, но не</w:t>
      </w:r>
      <w:r w:rsidR="00577DAF" w:rsidRPr="00577DAF">
        <w:rPr>
          <w:b/>
        </w:rPr>
        <w:t xml:space="preserve"> </w:t>
      </w:r>
      <w:r w:rsidRPr="00577DAF">
        <w:rPr>
          <w:b/>
        </w:rPr>
        <w:t>превышает 2,79</w:t>
      </w:r>
      <w:r>
        <w:t xml:space="preserve"> – финансовое состояние является удовлетворительным;</w:t>
      </w:r>
    </w:p>
    <w:p w:rsidR="00577DAF" w:rsidRDefault="009F1E3E" w:rsidP="009F1E3E">
      <w:pPr>
        <w:ind w:firstLine="567"/>
        <w:jc w:val="both"/>
      </w:pPr>
      <w:r w:rsidRPr="00577DAF">
        <w:rPr>
          <w:b/>
        </w:rPr>
        <w:t>третий класс кредитоспособности: значение S больше 2,79</w:t>
      </w:r>
      <w:r>
        <w:t xml:space="preserve"> –</w:t>
      </w:r>
      <w:r w:rsidR="00577DAF">
        <w:t xml:space="preserve"> </w:t>
      </w:r>
      <w:r>
        <w:t xml:space="preserve">финансовое состояние </w:t>
      </w:r>
      <w:r w:rsidRPr="000710A2">
        <w:t>является неудовлетворительным</w:t>
      </w:r>
      <w:r w:rsidR="000710A2" w:rsidRPr="000710A2">
        <w:t>,</w:t>
      </w:r>
      <w:r w:rsidRPr="000710A2">
        <w:t xml:space="preserve"> </w:t>
      </w:r>
      <w:r w:rsidR="000710A2" w:rsidRPr="000710A2">
        <w:t>повышенн</w:t>
      </w:r>
      <w:r w:rsidR="000710A2">
        <w:t>ый</w:t>
      </w:r>
      <w:r w:rsidR="000710A2" w:rsidRPr="000710A2">
        <w:t xml:space="preserve"> риск</w:t>
      </w:r>
      <w:r w:rsidR="000710A2">
        <w:t xml:space="preserve"> неисполнения принятых обязательств</w:t>
      </w:r>
      <w:r w:rsidR="000710A2" w:rsidRPr="000710A2">
        <w:t>.</w:t>
      </w:r>
    </w:p>
    <w:p w:rsidR="000D42A4" w:rsidRDefault="000D42A4" w:rsidP="009F1E3E">
      <w:pPr>
        <w:ind w:firstLine="567"/>
        <w:jc w:val="both"/>
      </w:pPr>
    </w:p>
    <w:p w:rsidR="007D2667" w:rsidRDefault="007D2667">
      <w:r>
        <w:br w:type="page"/>
      </w:r>
    </w:p>
    <w:p w:rsidR="007D2667" w:rsidRDefault="007D2667" w:rsidP="007D266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7D2667" w:rsidRPr="00CB7067" w:rsidRDefault="007D2667" w:rsidP="007D2667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CB7067">
        <w:rPr>
          <w:sz w:val="28"/>
          <w:szCs w:val="28"/>
        </w:rPr>
        <w:t xml:space="preserve"> проекту постановления администрации Октябрьского района </w:t>
      </w: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 xml:space="preserve">   </w:t>
      </w:r>
      <w:r w:rsidRPr="00CB7067">
        <w:rPr>
          <w:sz w:val="28"/>
          <w:szCs w:val="28"/>
        </w:rPr>
        <w:t>«</w:t>
      </w:r>
      <w:proofErr w:type="gramEnd"/>
      <w:r w:rsidRPr="007D2667">
        <w:rPr>
          <w:sz w:val="28"/>
          <w:szCs w:val="28"/>
        </w:rPr>
        <w:t>О Порядке оценки надежности банковской гарантии, поручительства, предоставляемых в обеспечение исполнения обязательств юридического лица, муниципального образования по возврату бюджетного кредита, уплате процентных и иных платежей в бюджет Октябрьского района</w:t>
      </w:r>
      <w:r w:rsidRPr="00CB7067">
        <w:rPr>
          <w:sz w:val="28"/>
          <w:szCs w:val="28"/>
        </w:rPr>
        <w:t>»</w:t>
      </w:r>
    </w:p>
    <w:p w:rsidR="007D2667" w:rsidRPr="00CB7067" w:rsidRDefault="007D2667" w:rsidP="007D2667">
      <w:pPr>
        <w:ind w:firstLine="709"/>
        <w:jc w:val="center"/>
        <w:rPr>
          <w:sz w:val="28"/>
          <w:szCs w:val="28"/>
        </w:rPr>
      </w:pPr>
    </w:p>
    <w:p w:rsidR="007D2667" w:rsidRDefault="007D2667" w:rsidP="007D2667">
      <w:pPr>
        <w:ind w:firstLine="709"/>
        <w:jc w:val="both"/>
      </w:pPr>
      <w:r>
        <w:t>В соответствии с пунктом 3 статьи 93.2 Бюджетного кодекса Российской Федерации разработан П</w:t>
      </w:r>
      <w:r w:rsidRPr="007D2667">
        <w:t>оряд</w:t>
      </w:r>
      <w:r>
        <w:t>ок</w:t>
      </w:r>
      <w:r w:rsidRPr="007D2667">
        <w:t xml:space="preserve"> оценки надежности банковской гарантии, поручительства, предоставляемых в обеспечение исполнения обязательств юридического лица, муниципального образования по возврату бюджетного кредита, уплате процентных и иных платежей в бюджет Октябрьского района</w:t>
      </w:r>
      <w:r>
        <w:t>.</w:t>
      </w:r>
    </w:p>
    <w:p w:rsidR="007D2667" w:rsidRDefault="007D2667" w:rsidP="007D2667">
      <w:pPr>
        <w:ind w:firstLine="709"/>
        <w:jc w:val="both"/>
      </w:pPr>
      <w:r>
        <w:t>Данный порядок определяет процедуру проведения оценки надежности банковской гарантии и поручительства, устанавливает требования для гаранта, и по разработанной м</w:t>
      </w:r>
      <w:r w:rsidRPr="007D2667">
        <w:t>етодик</w:t>
      </w:r>
      <w:r>
        <w:t>е</w:t>
      </w:r>
      <w:r w:rsidRPr="007D2667">
        <w:t xml:space="preserve"> </w:t>
      </w:r>
      <w:r>
        <w:t xml:space="preserve">осуществляется </w:t>
      </w:r>
      <w:r w:rsidRPr="007D2667">
        <w:t>оценк</w:t>
      </w:r>
      <w:r>
        <w:t>а</w:t>
      </w:r>
      <w:r w:rsidRPr="007D2667">
        <w:t xml:space="preserve"> финансового состояния поручителя</w:t>
      </w:r>
      <w:r>
        <w:t xml:space="preserve"> с использованием р</w:t>
      </w:r>
      <w:r w:rsidRPr="007D2667">
        <w:t>асчет</w:t>
      </w:r>
      <w:r>
        <w:t>ных</w:t>
      </w:r>
      <w:r w:rsidRPr="007D2667">
        <w:t xml:space="preserve"> коэффициентов</w:t>
      </w:r>
      <w:r>
        <w:t xml:space="preserve"> по данным бухгалтерского баланса.</w:t>
      </w:r>
    </w:p>
    <w:p w:rsidR="007D2667" w:rsidRDefault="007D2667" w:rsidP="007D2667">
      <w:pPr>
        <w:ind w:firstLine="709"/>
        <w:jc w:val="both"/>
      </w:pPr>
    </w:p>
    <w:p w:rsidR="007D2667" w:rsidRDefault="007D2667" w:rsidP="007D2667">
      <w:pPr>
        <w:ind w:firstLine="709"/>
        <w:jc w:val="both"/>
      </w:pPr>
    </w:p>
    <w:p w:rsidR="007D2667" w:rsidRDefault="007D2667" w:rsidP="007D2667">
      <w:pPr>
        <w:jc w:val="both"/>
      </w:pPr>
      <w:r>
        <w:t xml:space="preserve">Заведующий отделом учета  </w:t>
      </w:r>
    </w:p>
    <w:p w:rsidR="007D2667" w:rsidRDefault="007D2667" w:rsidP="007D2667">
      <w:pPr>
        <w:jc w:val="both"/>
      </w:pPr>
      <w:r>
        <w:t>исполнения бюджета Комитета по управлению</w:t>
      </w:r>
    </w:p>
    <w:p w:rsidR="007D2667" w:rsidRPr="00CB7067" w:rsidRDefault="007D2667" w:rsidP="007D2667">
      <w:pPr>
        <w:jc w:val="both"/>
      </w:pPr>
      <w:r>
        <w:t>муниципальными финансами администрации</w:t>
      </w:r>
      <w:r>
        <w:tab/>
      </w:r>
      <w:r>
        <w:tab/>
      </w:r>
      <w:r>
        <w:tab/>
      </w:r>
      <w:r>
        <w:tab/>
        <w:t xml:space="preserve">                  С.В. Мальгин</w:t>
      </w:r>
    </w:p>
    <w:p w:rsidR="007D2667" w:rsidRPr="00102482" w:rsidRDefault="007D2667" w:rsidP="007D2667">
      <w:pPr>
        <w:pStyle w:val="Style6"/>
        <w:tabs>
          <w:tab w:val="left" w:pos="840"/>
        </w:tabs>
        <w:spacing w:line="274" w:lineRule="exact"/>
        <w:ind w:left="540"/>
        <w:jc w:val="center"/>
      </w:pPr>
    </w:p>
    <w:p w:rsidR="000D42A4" w:rsidRDefault="000D42A4"/>
    <w:sectPr w:rsidR="000D42A4" w:rsidSect="004722C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209C"/>
    <w:multiLevelType w:val="hybridMultilevel"/>
    <w:tmpl w:val="CD90B388"/>
    <w:lvl w:ilvl="0" w:tplc="1068C428">
      <w:start w:val="4"/>
      <w:numFmt w:val="decimal"/>
      <w:lvlText w:val="%1."/>
      <w:lvlJc w:val="left"/>
      <w:pPr>
        <w:ind w:left="757" w:hanging="360"/>
      </w:pPr>
      <w:rPr>
        <w:rFonts w:ascii="Trebuchet MS" w:hAnsi="Trebuchet MS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61E5D4F"/>
    <w:multiLevelType w:val="hybridMultilevel"/>
    <w:tmpl w:val="B61E4EE4"/>
    <w:lvl w:ilvl="0" w:tplc="60867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F2925"/>
    <w:multiLevelType w:val="hybridMultilevel"/>
    <w:tmpl w:val="9CF26B68"/>
    <w:lvl w:ilvl="0" w:tplc="60867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E2510F"/>
    <w:multiLevelType w:val="hybridMultilevel"/>
    <w:tmpl w:val="06761A64"/>
    <w:lvl w:ilvl="0" w:tplc="7146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06849"/>
    <w:multiLevelType w:val="hybridMultilevel"/>
    <w:tmpl w:val="B1DAA318"/>
    <w:lvl w:ilvl="0" w:tplc="BB9CD0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667F8"/>
    <w:multiLevelType w:val="hybridMultilevel"/>
    <w:tmpl w:val="C77C5588"/>
    <w:lvl w:ilvl="0" w:tplc="7146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769E"/>
    <w:multiLevelType w:val="multilevel"/>
    <w:tmpl w:val="4BBCD5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5230FFA"/>
    <w:multiLevelType w:val="hybridMultilevel"/>
    <w:tmpl w:val="D7D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24"/>
    <w:rsid w:val="000507DE"/>
    <w:rsid w:val="00056841"/>
    <w:rsid w:val="000577EA"/>
    <w:rsid w:val="000674B1"/>
    <w:rsid w:val="00070CBF"/>
    <w:rsid w:val="000710A2"/>
    <w:rsid w:val="00080B14"/>
    <w:rsid w:val="00083B28"/>
    <w:rsid w:val="000A0485"/>
    <w:rsid w:val="000A2A4D"/>
    <w:rsid w:val="000C3C09"/>
    <w:rsid w:val="000D28F8"/>
    <w:rsid w:val="000D3001"/>
    <w:rsid w:val="000D42A4"/>
    <w:rsid w:val="000E3115"/>
    <w:rsid w:val="000E35B8"/>
    <w:rsid w:val="000F4D80"/>
    <w:rsid w:val="000F6F08"/>
    <w:rsid w:val="001015B3"/>
    <w:rsid w:val="00106B13"/>
    <w:rsid w:val="001141E0"/>
    <w:rsid w:val="00115483"/>
    <w:rsid w:val="0013185C"/>
    <w:rsid w:val="001331DF"/>
    <w:rsid w:val="001367D1"/>
    <w:rsid w:val="00136EB2"/>
    <w:rsid w:val="00151AD9"/>
    <w:rsid w:val="001547E6"/>
    <w:rsid w:val="00161F00"/>
    <w:rsid w:val="00162A4C"/>
    <w:rsid w:val="001673E5"/>
    <w:rsid w:val="0017025F"/>
    <w:rsid w:val="00193A83"/>
    <w:rsid w:val="00194D3F"/>
    <w:rsid w:val="001A239E"/>
    <w:rsid w:val="001A7F5A"/>
    <w:rsid w:val="001D2BD7"/>
    <w:rsid w:val="001D3630"/>
    <w:rsid w:val="001D76D3"/>
    <w:rsid w:val="001F4E0D"/>
    <w:rsid w:val="002037E2"/>
    <w:rsid w:val="002040B4"/>
    <w:rsid w:val="00214FD8"/>
    <w:rsid w:val="00216499"/>
    <w:rsid w:val="00232A1B"/>
    <w:rsid w:val="002345B7"/>
    <w:rsid w:val="00235F6E"/>
    <w:rsid w:val="00240CC9"/>
    <w:rsid w:val="00240DB0"/>
    <w:rsid w:val="00255E16"/>
    <w:rsid w:val="002B5305"/>
    <w:rsid w:val="002C1842"/>
    <w:rsid w:val="002E53E4"/>
    <w:rsid w:val="002F2934"/>
    <w:rsid w:val="00300E62"/>
    <w:rsid w:val="00305563"/>
    <w:rsid w:val="003111D0"/>
    <w:rsid w:val="00312E1D"/>
    <w:rsid w:val="0032429D"/>
    <w:rsid w:val="00330EED"/>
    <w:rsid w:val="003404B0"/>
    <w:rsid w:val="00342ED9"/>
    <w:rsid w:val="003628A7"/>
    <w:rsid w:val="00370BDF"/>
    <w:rsid w:val="00383CC2"/>
    <w:rsid w:val="00391C90"/>
    <w:rsid w:val="003927EE"/>
    <w:rsid w:val="0039716E"/>
    <w:rsid w:val="003974F0"/>
    <w:rsid w:val="003A2257"/>
    <w:rsid w:val="003C0286"/>
    <w:rsid w:val="003C6A67"/>
    <w:rsid w:val="003D252D"/>
    <w:rsid w:val="003D3187"/>
    <w:rsid w:val="003D6E1F"/>
    <w:rsid w:val="003E435F"/>
    <w:rsid w:val="003E6A1B"/>
    <w:rsid w:val="003F24AB"/>
    <w:rsid w:val="003F335C"/>
    <w:rsid w:val="00400707"/>
    <w:rsid w:val="00407F55"/>
    <w:rsid w:val="004110D1"/>
    <w:rsid w:val="00412235"/>
    <w:rsid w:val="00423C62"/>
    <w:rsid w:val="00424CA0"/>
    <w:rsid w:val="00426943"/>
    <w:rsid w:val="00427160"/>
    <w:rsid w:val="004277DD"/>
    <w:rsid w:val="00441F0D"/>
    <w:rsid w:val="00446529"/>
    <w:rsid w:val="004565E5"/>
    <w:rsid w:val="00457989"/>
    <w:rsid w:val="00464F1C"/>
    <w:rsid w:val="004722C3"/>
    <w:rsid w:val="00480248"/>
    <w:rsid w:val="00492D31"/>
    <w:rsid w:val="004969CF"/>
    <w:rsid w:val="004A7857"/>
    <w:rsid w:val="004C0C4B"/>
    <w:rsid w:val="004C57F1"/>
    <w:rsid w:val="004D79BE"/>
    <w:rsid w:val="004F0958"/>
    <w:rsid w:val="004F2543"/>
    <w:rsid w:val="005009D9"/>
    <w:rsid w:val="005059A1"/>
    <w:rsid w:val="0051151D"/>
    <w:rsid w:val="00522B86"/>
    <w:rsid w:val="00526F61"/>
    <w:rsid w:val="00555050"/>
    <w:rsid w:val="00555375"/>
    <w:rsid w:val="00560D47"/>
    <w:rsid w:val="00566F22"/>
    <w:rsid w:val="00577DAF"/>
    <w:rsid w:val="005901C9"/>
    <w:rsid w:val="00596392"/>
    <w:rsid w:val="005B55C1"/>
    <w:rsid w:val="005B6833"/>
    <w:rsid w:val="005C30E8"/>
    <w:rsid w:val="005C49D1"/>
    <w:rsid w:val="005C522A"/>
    <w:rsid w:val="005D1D57"/>
    <w:rsid w:val="005D3E00"/>
    <w:rsid w:val="005D5BD6"/>
    <w:rsid w:val="005D7FED"/>
    <w:rsid w:val="005E039B"/>
    <w:rsid w:val="005F1FB2"/>
    <w:rsid w:val="005F35B0"/>
    <w:rsid w:val="006123FE"/>
    <w:rsid w:val="00612C6E"/>
    <w:rsid w:val="00616F63"/>
    <w:rsid w:val="00634DE4"/>
    <w:rsid w:val="00640FCE"/>
    <w:rsid w:val="006560DA"/>
    <w:rsid w:val="00660409"/>
    <w:rsid w:val="00663DA4"/>
    <w:rsid w:val="00671295"/>
    <w:rsid w:val="00687EB0"/>
    <w:rsid w:val="006965D9"/>
    <w:rsid w:val="006A303F"/>
    <w:rsid w:val="006A4EE2"/>
    <w:rsid w:val="006A551F"/>
    <w:rsid w:val="006B0488"/>
    <w:rsid w:val="006B1940"/>
    <w:rsid w:val="006C1C0E"/>
    <w:rsid w:val="006F676C"/>
    <w:rsid w:val="006F6D91"/>
    <w:rsid w:val="006F75FA"/>
    <w:rsid w:val="00715502"/>
    <w:rsid w:val="007158C9"/>
    <w:rsid w:val="007250C7"/>
    <w:rsid w:val="00755590"/>
    <w:rsid w:val="00761AE7"/>
    <w:rsid w:val="0076633F"/>
    <w:rsid w:val="007711B2"/>
    <w:rsid w:val="00771E89"/>
    <w:rsid w:val="00790F90"/>
    <w:rsid w:val="007A0C6F"/>
    <w:rsid w:val="007B284E"/>
    <w:rsid w:val="007C3BB1"/>
    <w:rsid w:val="007C4B1C"/>
    <w:rsid w:val="007C6D2F"/>
    <w:rsid w:val="007D2667"/>
    <w:rsid w:val="007D4D67"/>
    <w:rsid w:val="007E30F2"/>
    <w:rsid w:val="007F49C8"/>
    <w:rsid w:val="00803FAB"/>
    <w:rsid w:val="00805F24"/>
    <w:rsid w:val="00813A27"/>
    <w:rsid w:val="00824780"/>
    <w:rsid w:val="00830FAD"/>
    <w:rsid w:val="00831762"/>
    <w:rsid w:val="00836DA0"/>
    <w:rsid w:val="0084030B"/>
    <w:rsid w:val="00840A92"/>
    <w:rsid w:val="008510E0"/>
    <w:rsid w:val="00856B61"/>
    <w:rsid w:val="00864169"/>
    <w:rsid w:val="008677C5"/>
    <w:rsid w:val="00871728"/>
    <w:rsid w:val="00872828"/>
    <w:rsid w:val="00880F26"/>
    <w:rsid w:val="008942C1"/>
    <w:rsid w:val="00896C71"/>
    <w:rsid w:val="00897455"/>
    <w:rsid w:val="008A5395"/>
    <w:rsid w:val="008A576E"/>
    <w:rsid w:val="008C403D"/>
    <w:rsid w:val="009055E8"/>
    <w:rsid w:val="00912007"/>
    <w:rsid w:val="00922B02"/>
    <w:rsid w:val="00926583"/>
    <w:rsid w:val="00932027"/>
    <w:rsid w:val="00932457"/>
    <w:rsid w:val="00936EDD"/>
    <w:rsid w:val="00955906"/>
    <w:rsid w:val="009614EE"/>
    <w:rsid w:val="00962B58"/>
    <w:rsid w:val="00963EA4"/>
    <w:rsid w:val="009761B1"/>
    <w:rsid w:val="009A054B"/>
    <w:rsid w:val="009B15F7"/>
    <w:rsid w:val="009B5D9F"/>
    <w:rsid w:val="009B7A30"/>
    <w:rsid w:val="009C70C7"/>
    <w:rsid w:val="009C7A19"/>
    <w:rsid w:val="009E19D7"/>
    <w:rsid w:val="009F1E3E"/>
    <w:rsid w:val="00A0261F"/>
    <w:rsid w:val="00A064BA"/>
    <w:rsid w:val="00A10663"/>
    <w:rsid w:val="00A13D03"/>
    <w:rsid w:val="00A13FF6"/>
    <w:rsid w:val="00A15B37"/>
    <w:rsid w:val="00A2225A"/>
    <w:rsid w:val="00A248D4"/>
    <w:rsid w:val="00A40A2A"/>
    <w:rsid w:val="00A51B12"/>
    <w:rsid w:val="00A53C59"/>
    <w:rsid w:val="00A55539"/>
    <w:rsid w:val="00A570CC"/>
    <w:rsid w:val="00A63CB5"/>
    <w:rsid w:val="00A65D14"/>
    <w:rsid w:val="00A71021"/>
    <w:rsid w:val="00A80B8A"/>
    <w:rsid w:val="00AA082A"/>
    <w:rsid w:val="00AB14A6"/>
    <w:rsid w:val="00AB1B89"/>
    <w:rsid w:val="00AB2D27"/>
    <w:rsid w:val="00AC0682"/>
    <w:rsid w:val="00AD2B69"/>
    <w:rsid w:val="00AD6483"/>
    <w:rsid w:val="00AF1CA3"/>
    <w:rsid w:val="00B03896"/>
    <w:rsid w:val="00B1052A"/>
    <w:rsid w:val="00B21186"/>
    <w:rsid w:val="00B31F18"/>
    <w:rsid w:val="00B417EE"/>
    <w:rsid w:val="00B41EFA"/>
    <w:rsid w:val="00B44776"/>
    <w:rsid w:val="00B51C74"/>
    <w:rsid w:val="00B76D7B"/>
    <w:rsid w:val="00B82617"/>
    <w:rsid w:val="00B91C82"/>
    <w:rsid w:val="00B949F4"/>
    <w:rsid w:val="00BA4991"/>
    <w:rsid w:val="00BA6BAB"/>
    <w:rsid w:val="00BA7AE6"/>
    <w:rsid w:val="00BB186F"/>
    <w:rsid w:val="00BB3978"/>
    <w:rsid w:val="00BB434D"/>
    <w:rsid w:val="00BB5E6A"/>
    <w:rsid w:val="00BE4068"/>
    <w:rsid w:val="00BF195B"/>
    <w:rsid w:val="00BF24E7"/>
    <w:rsid w:val="00C12CBB"/>
    <w:rsid w:val="00C24159"/>
    <w:rsid w:val="00C4331C"/>
    <w:rsid w:val="00C546FA"/>
    <w:rsid w:val="00C54747"/>
    <w:rsid w:val="00C7469E"/>
    <w:rsid w:val="00C760F5"/>
    <w:rsid w:val="00C87385"/>
    <w:rsid w:val="00C907BA"/>
    <w:rsid w:val="00C9751C"/>
    <w:rsid w:val="00CA7744"/>
    <w:rsid w:val="00CB6AB7"/>
    <w:rsid w:val="00CC4B9A"/>
    <w:rsid w:val="00CD6FEC"/>
    <w:rsid w:val="00D030A5"/>
    <w:rsid w:val="00D03796"/>
    <w:rsid w:val="00D2784F"/>
    <w:rsid w:val="00D30B80"/>
    <w:rsid w:val="00D315F2"/>
    <w:rsid w:val="00D32860"/>
    <w:rsid w:val="00D37CD6"/>
    <w:rsid w:val="00D73DFA"/>
    <w:rsid w:val="00D7764A"/>
    <w:rsid w:val="00D77EED"/>
    <w:rsid w:val="00D87265"/>
    <w:rsid w:val="00D87BF2"/>
    <w:rsid w:val="00DA2587"/>
    <w:rsid w:val="00DA568F"/>
    <w:rsid w:val="00DB1795"/>
    <w:rsid w:val="00DC2C18"/>
    <w:rsid w:val="00DD5960"/>
    <w:rsid w:val="00DE59E6"/>
    <w:rsid w:val="00DF2CE4"/>
    <w:rsid w:val="00DF2CED"/>
    <w:rsid w:val="00E00C7A"/>
    <w:rsid w:val="00E04545"/>
    <w:rsid w:val="00E14A59"/>
    <w:rsid w:val="00E16FE2"/>
    <w:rsid w:val="00E20A2B"/>
    <w:rsid w:val="00E314F3"/>
    <w:rsid w:val="00E44B5E"/>
    <w:rsid w:val="00E45C81"/>
    <w:rsid w:val="00E57D6D"/>
    <w:rsid w:val="00E61233"/>
    <w:rsid w:val="00E73391"/>
    <w:rsid w:val="00E73A96"/>
    <w:rsid w:val="00E76DCF"/>
    <w:rsid w:val="00E77E29"/>
    <w:rsid w:val="00EB49A9"/>
    <w:rsid w:val="00EC03A9"/>
    <w:rsid w:val="00EC647E"/>
    <w:rsid w:val="00ED5BC9"/>
    <w:rsid w:val="00EE0CC0"/>
    <w:rsid w:val="00EE0E41"/>
    <w:rsid w:val="00EF27DC"/>
    <w:rsid w:val="00EF3EB3"/>
    <w:rsid w:val="00F22AD3"/>
    <w:rsid w:val="00F26C8F"/>
    <w:rsid w:val="00F32767"/>
    <w:rsid w:val="00F35F9B"/>
    <w:rsid w:val="00F37A2F"/>
    <w:rsid w:val="00F46445"/>
    <w:rsid w:val="00F51FCE"/>
    <w:rsid w:val="00F53B86"/>
    <w:rsid w:val="00F80224"/>
    <w:rsid w:val="00F81046"/>
    <w:rsid w:val="00F840DE"/>
    <w:rsid w:val="00F9509F"/>
    <w:rsid w:val="00FA23E3"/>
    <w:rsid w:val="00FA2ACA"/>
    <w:rsid w:val="00FA40E1"/>
    <w:rsid w:val="00FA4249"/>
    <w:rsid w:val="00FC136B"/>
    <w:rsid w:val="00FE058E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FBC0"/>
  <w15:chartTrackingRefBased/>
  <w15:docId w15:val="{2C93EC89-E3DB-4D44-BFBC-F895670F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 w:val="28"/>
      <w:szCs w:val="20"/>
      <w:lang w:val="x-none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  <w:lang w:val="x-none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 w:val="28"/>
      <w:szCs w:val="20"/>
      <w:lang w:val="x-none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  <w:lang w:val="x-none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7469E"/>
    <w:pPr>
      <w:spacing w:after="200" w:line="276" w:lineRule="auto"/>
      <w:ind w:left="720"/>
      <w:contextualSpacing/>
    </w:pPr>
    <w:rPr>
      <w:rFonts w:ascii="Trebuchet MS" w:eastAsia="Trebuchet MS" w:hAnsi="Trebuchet MS"/>
      <w:sz w:val="22"/>
      <w:szCs w:val="22"/>
      <w:lang w:eastAsia="en-US"/>
    </w:rPr>
  </w:style>
  <w:style w:type="character" w:styleId="a8">
    <w:name w:val="Placeholder Text"/>
    <w:basedOn w:val="a0"/>
    <w:uiPriority w:val="99"/>
    <w:semiHidden/>
    <w:rsid w:val="005B55C1"/>
    <w:rPr>
      <w:color w:val="808080"/>
    </w:rPr>
  </w:style>
  <w:style w:type="paragraph" w:customStyle="1" w:styleId="ConsPlusCell">
    <w:name w:val="ConsPlusCell"/>
    <w:rsid w:val="00F26C8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ody Text"/>
    <w:basedOn w:val="a"/>
    <w:link w:val="aa"/>
    <w:uiPriority w:val="99"/>
    <w:semiHidden/>
    <w:unhideWhenUsed/>
    <w:rsid w:val="00790F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0F90"/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790F90"/>
    <w:pPr>
      <w:widowControl w:val="0"/>
      <w:autoSpaceDE w:val="0"/>
      <w:autoSpaceDN w:val="0"/>
      <w:adjustRightInd w:val="0"/>
      <w:spacing w:line="226" w:lineRule="exact"/>
      <w:jc w:val="center"/>
    </w:pPr>
  </w:style>
  <w:style w:type="character" w:customStyle="1" w:styleId="FontStyle15">
    <w:name w:val="Font Style15"/>
    <w:rsid w:val="00790F9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D030A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Style6">
    <w:name w:val="Style6"/>
    <w:basedOn w:val="a"/>
    <w:rsid w:val="007D2667"/>
    <w:pPr>
      <w:widowControl w:val="0"/>
      <w:autoSpaceDE w:val="0"/>
      <w:autoSpaceDN w:val="0"/>
      <w:adjustRightInd w:val="0"/>
      <w:spacing w:line="276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C1AFC-B35C-4B68-AAE7-4D3A5FAD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9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20999</CharactersWithSpaces>
  <SharedDoc>false</SharedDoc>
  <HLinks>
    <vt:vector size="54" baseType="variant">
      <vt:variant>
        <vt:i4>8061030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consultantplus://offline/ref=1EE25AAEEDDF1C407757F66548C629987042B1634BC44290A905097947B8C5EA3A586FB40794PAYCL</vt:lpwstr>
      </vt:variant>
      <vt:variant>
        <vt:lpwstr/>
      </vt:variant>
      <vt:variant>
        <vt:i4>2818146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consultantplus://offline/ref=C360CDB23995479E1A0A2405B726BB5262BBF3CAF6C6F558C5D13EE6DA2FB45F62EC5AFDC0159F4B36g6D</vt:lpwstr>
      </vt:variant>
      <vt:variant>
        <vt:lpwstr/>
      </vt:variant>
      <vt:variant>
        <vt:i4>8061030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consultantplus://offline/ref=1EE25AAEEDDF1C407757F66548C629987042B1634BC44290A905097947B8C5EA3A586FB40794PAYCL</vt:lpwstr>
      </vt:variant>
      <vt:variant>
        <vt:lpwstr/>
      </vt:variant>
      <vt:variant>
        <vt:i4>3276909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consultantplus://offline/main?base=LAW;n=108797;fld=134;dst=102743</vt:lpwstr>
      </vt:variant>
      <vt:variant>
        <vt:lpwstr/>
      </vt:variant>
      <vt:variant>
        <vt:i4>3735656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consultantplus://offline/main?base=LAW;n=108797;fld=134;dst=102817</vt:lpwstr>
      </vt:variant>
      <vt:variant>
        <vt:lpwstr/>
      </vt:variant>
      <vt:variant>
        <vt:i4>3407982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consultantplus://offline/main?base=LAW;n=108797;fld=134;dst=102476</vt:lpwstr>
      </vt:variant>
      <vt:variant>
        <vt:lpwstr/>
      </vt:variant>
      <vt:variant>
        <vt:i4>8061030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consultantplus://offline/ref=1EE25AAEEDDF1C407757F66548C629987042B1634BC44290A905097947B8C5EA3A586FB40794PAYCL</vt:lpwstr>
      </vt:variant>
      <vt:variant>
        <vt:lpwstr/>
      </vt:variant>
      <vt:variant>
        <vt:i4>2818146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consultantplus://offline/ref=C360CDB23995479E1A0A2405B726BB5262BBF3CAF6C6F558C5D13EE6DA2FB45F62EC5AFDC0159F4B36g6D</vt:lpwstr>
      </vt:variant>
      <vt:variant>
        <vt:lpwstr/>
      </vt:variant>
      <vt:variant>
        <vt:i4>8061030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consultantplus://offline/ref=1EE25AAEEDDF1C407757F66548C629987042B1634BC44290A905097947B8C5EA3A586FB40794PAYCL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User</dc:creator>
  <cp:keywords/>
  <dc:description/>
  <cp:lastModifiedBy>User</cp:lastModifiedBy>
  <cp:revision>19</cp:revision>
  <cp:lastPrinted>2020-08-11T05:04:00Z</cp:lastPrinted>
  <dcterms:created xsi:type="dcterms:W3CDTF">2020-08-11T03:57:00Z</dcterms:created>
  <dcterms:modified xsi:type="dcterms:W3CDTF">2020-09-15T10:11:00Z</dcterms:modified>
</cp:coreProperties>
</file>