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6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1B21C5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1B21C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B21C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B2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B21C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B2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B21C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B21C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1B21C5">
            <w:pPr>
              <w:rPr>
                <w:lang w:val="en-US"/>
              </w:rPr>
            </w:pPr>
            <w:r>
              <w:t>2</w:t>
            </w:r>
            <w:r w:rsidR="00556721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B21C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</w:p>
        </w:tc>
      </w:tr>
      <w:tr w:rsidR="00EC6F40" w:rsidTr="001B21C5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B21C5">
            <w:r>
              <w:t>пгт. Октябрьское</w:t>
            </w:r>
          </w:p>
        </w:tc>
      </w:tr>
    </w:tbl>
    <w:p w:rsidR="001B21C5" w:rsidRDefault="001B21C5" w:rsidP="005856A3">
      <w:pPr>
        <w:ind w:right="152"/>
        <w:jc w:val="both"/>
      </w:pPr>
    </w:p>
    <w:p w:rsidR="001B21C5" w:rsidRDefault="001B21C5" w:rsidP="005856A3">
      <w:pPr>
        <w:ind w:right="152"/>
        <w:jc w:val="both"/>
      </w:pPr>
    </w:p>
    <w:p w:rsidR="001C0ABF" w:rsidRDefault="00887A3A" w:rsidP="005856A3">
      <w:pPr>
        <w:ind w:right="152"/>
        <w:jc w:val="both"/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7216" behindDoc="0" locked="0" layoutInCell="1" allowOverlap="1" wp14:anchorId="5959DAA7" wp14:editId="672621B7">
            <wp:simplePos x="0" y="0"/>
            <wp:positionH relativeFrom="margin">
              <wp:posOffset>2672715</wp:posOffset>
            </wp:positionH>
            <wp:positionV relativeFrom="paragraph">
              <wp:posOffset>-415925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9A04C1">
        <w:t>я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12133A">
        <w:t>4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A709D9" w:rsidRDefault="00A709D9" w:rsidP="00A709D9">
      <w:pPr>
        <w:adjustRightInd w:val="0"/>
        <w:ind w:right="-1" w:firstLine="709"/>
        <w:jc w:val="both"/>
      </w:pPr>
      <w:r>
        <w:t xml:space="preserve">1. </w:t>
      </w:r>
      <w:r w:rsidR="00F722E4">
        <w:t>Внести изменение</w:t>
      </w:r>
      <w:r w:rsidRPr="00AA1774">
        <w:t xml:space="preserve"> в приложение к постановлению администрации Октябрьского района от 06.12.2024 № 191</w:t>
      </w:r>
      <w:r>
        <w:t>4</w:t>
      </w:r>
      <w:r w:rsidRPr="00AA1774">
        <w:t xml:space="preserve"> «Об утве</w:t>
      </w:r>
      <w:r>
        <w:t xml:space="preserve">рждении муниципальной программы </w:t>
      </w:r>
      <w:r w:rsidRPr="00AA1774">
        <w:t>«</w:t>
      </w:r>
      <w:r>
        <w:t xml:space="preserve">Развитие жилищно-коммунального хозяйства в </w:t>
      </w:r>
      <w:r w:rsidRPr="00AA1774">
        <w:t>муниципальном образовании Октябрьский район» (д</w:t>
      </w:r>
      <w:r w:rsidR="00F722E4">
        <w:t>алее – муниципальная программа), изложив раздел 4 паспорта муниципальной программы в новой редакции согласно приложению.</w:t>
      </w:r>
    </w:p>
    <w:p w:rsidR="001F7BDE" w:rsidRPr="006C22FE" w:rsidRDefault="00A46609" w:rsidP="002214FA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A46609" w:rsidP="002214FA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>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FC1332" w:rsidRDefault="00FC1332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FC1332" w:rsidRDefault="00FC1332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FC1332" w:rsidRDefault="00FC1332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F722E4" w:rsidRDefault="00F722E4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9456EB" w:rsidRDefault="009456E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A709D9" w:rsidRDefault="00A709D9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A709D9" w:rsidRDefault="00A709D9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A709D9" w:rsidRDefault="00A709D9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r>
        <w:t xml:space="preserve">Исполняющий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r w:rsidRPr="009245FD">
        <w:t>Юридический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13CD" w:rsidRDefault="00D713CD" w:rsidP="002214FA">
      <w:pPr>
        <w:widowControl w:val="0"/>
        <w:autoSpaceDE w:val="0"/>
        <w:autoSpaceDN w:val="0"/>
        <w:ind w:right="142"/>
        <w:jc w:val="right"/>
      </w:pPr>
      <w:r w:rsidRPr="00765606">
        <w:lastRenderedPageBreak/>
        <w:t>Приложение</w:t>
      </w:r>
      <w:r>
        <w:t xml:space="preserve"> </w:t>
      </w:r>
    </w:p>
    <w:p w:rsidR="00D713CD" w:rsidRPr="00765606" w:rsidRDefault="00D713CD" w:rsidP="00D713CD">
      <w:pPr>
        <w:widowControl w:val="0"/>
        <w:autoSpaceDE w:val="0"/>
        <w:autoSpaceDN w:val="0"/>
        <w:ind w:right="142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0B4A7F" w:rsidRDefault="00D713CD" w:rsidP="002214FA">
      <w:pPr>
        <w:widowControl w:val="0"/>
        <w:autoSpaceDE w:val="0"/>
        <w:autoSpaceDN w:val="0"/>
        <w:ind w:right="142"/>
        <w:jc w:val="right"/>
      </w:pPr>
      <w:r w:rsidRPr="00765606">
        <w:t>от «____» _______________ 202</w:t>
      </w:r>
      <w:r w:rsidR="00556721">
        <w:t>6</w:t>
      </w:r>
      <w:r w:rsidRPr="00765606">
        <w:t xml:space="preserve"> г. № </w:t>
      </w:r>
      <w:bookmarkStart w:id="0" w:name="_GoBack"/>
      <w:bookmarkEnd w:id="0"/>
      <w:r w:rsidRPr="00765606">
        <w:t>________</w:t>
      </w:r>
    </w:p>
    <w:p w:rsidR="001B21C5" w:rsidRDefault="001B21C5" w:rsidP="009A04C1">
      <w:pPr>
        <w:widowControl w:val="0"/>
        <w:autoSpaceDE w:val="0"/>
        <w:autoSpaceDN w:val="0"/>
        <w:jc w:val="right"/>
      </w:pPr>
    </w:p>
    <w:p w:rsidR="003C286B" w:rsidRDefault="003C286B" w:rsidP="00D713CD">
      <w:pPr>
        <w:widowControl w:val="0"/>
        <w:autoSpaceDE w:val="0"/>
        <w:autoSpaceDN w:val="0"/>
        <w:ind w:right="142"/>
        <w:jc w:val="center"/>
      </w:pPr>
    </w:p>
    <w:p w:rsidR="000B4A7F" w:rsidRPr="002214FA" w:rsidRDefault="00F722E4" w:rsidP="00D713CD">
      <w:pPr>
        <w:widowControl w:val="0"/>
        <w:autoSpaceDE w:val="0"/>
        <w:autoSpaceDN w:val="0"/>
        <w:ind w:right="142"/>
        <w:jc w:val="center"/>
      </w:pPr>
      <w:r>
        <w:t>«</w:t>
      </w:r>
      <w:r w:rsidR="000B4A7F" w:rsidRPr="002214FA">
        <w:t>4. Структура муниципальной программы</w:t>
      </w:r>
    </w:p>
    <w:p w:rsidR="000B4A7F" w:rsidRPr="00421602" w:rsidRDefault="000B4A7F" w:rsidP="00D713CD">
      <w:pPr>
        <w:widowControl w:val="0"/>
        <w:autoSpaceDE w:val="0"/>
        <w:autoSpaceDN w:val="0"/>
        <w:adjustRightInd w:val="0"/>
        <w:ind w:right="142" w:firstLine="72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Look w:val="01E0" w:firstRow="1" w:lastRow="1" w:firstColumn="1" w:lastColumn="1" w:noHBand="0" w:noVBand="0"/>
      </w:tblPr>
      <w:tblGrid>
        <w:gridCol w:w="666"/>
        <w:gridCol w:w="5348"/>
        <w:gridCol w:w="5599"/>
        <w:gridCol w:w="3555"/>
      </w:tblGrid>
      <w:tr w:rsidR="000B4A7F" w:rsidRPr="00421602" w:rsidTr="002214FA">
        <w:trPr>
          <w:trHeight w:val="3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0B4A7F" w:rsidRPr="00421602" w:rsidTr="002214FA">
        <w:trPr>
          <w:trHeight w:val="1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0B4A7F" w:rsidRPr="00421602" w:rsidTr="002214FA">
        <w:trPr>
          <w:trHeight w:val="1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 «</w:t>
            </w:r>
            <w:r w:rsidRPr="00421602">
              <w:rPr>
                <w:b/>
                <w:i/>
                <w:sz w:val="20"/>
                <w:szCs w:val="20"/>
              </w:rPr>
              <w:t>Создание условий для обеспечения качественными коммунальными услугами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1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90B16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90B16">
              <w:rPr>
                <w:rFonts w:eastAsiaTheme="minorEastAsia"/>
                <w:b/>
                <w:i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CE7B48" w:rsidRPr="00421602" w:rsidTr="009A04C1">
        <w:trPr>
          <w:trHeight w:val="38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  <w:r>
              <w:rPr>
                <w:rFonts w:eastAsiaTheme="minorEastAsia"/>
                <w:sz w:val="20"/>
                <w:szCs w:val="20"/>
              </w:rPr>
              <w:t>/администрации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2E7C6E" w:rsidP="00CE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CE7B48" w:rsidRPr="00421602" w:rsidTr="002214FA">
        <w:trPr>
          <w:trHeight w:val="7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9A04C1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D670EB" w:rsidRDefault="00CE7B48" w:rsidP="002E7C6E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9A04C1">
            <w:pPr>
              <w:jc w:val="both"/>
              <w:rPr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B4A7F" w:rsidRPr="00421602" w:rsidTr="002214FA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Обеспечение надежности и качества предоставления коммунальных услуг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2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  <w:r>
              <w:rPr>
                <w:rFonts w:eastAsiaTheme="minorEastAsia"/>
                <w:sz w:val="20"/>
                <w:szCs w:val="20"/>
              </w:rPr>
              <w:t>/администрации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B8520E" w:rsidRDefault="000B4A7F" w:rsidP="000B4A7F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(с заменой) систем газораспределения, теплоснабжения, водоснабжения и водоотведения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F722E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Обеспечение бесперебойной работы объектов ЖКХ. Подготовка объектов жилищно-коммунального комплекса к осенне-зимнему периоду</w:t>
            </w:r>
            <w:r>
              <w:rPr>
                <w:spacing w:val="-4"/>
                <w:sz w:val="20"/>
                <w:szCs w:val="20"/>
              </w:rPr>
              <w:t xml:space="preserve">. </w:t>
            </w:r>
            <w:r w:rsidRPr="009436C7">
              <w:rPr>
                <w:spacing w:val="-4"/>
                <w:sz w:val="20"/>
                <w:szCs w:val="20"/>
              </w:rPr>
              <w:t>Порядок предоставления субсидии на реализацию полномочий в сфере жилищно-коммунального комплекса, утвержденный приложением № 26 к постановлению Правительства ХМАО-Югры от 29.12.2020 № 643-п «</w:t>
            </w:r>
            <w:r w:rsidRPr="009436C7">
              <w:rPr>
                <w:rFonts w:eastAsiaTheme="minorHAnsi"/>
                <w:sz w:val="20"/>
                <w:szCs w:val="20"/>
                <w:lang w:eastAsia="en-US"/>
              </w:rPr>
              <w:t>О мерах по реализации государственной программы Ханты-Мансийского автономного округа – Югры «Строительство»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5D59A2" w:rsidRPr="00421602" w:rsidTr="002214FA">
        <w:trPr>
          <w:trHeight w:val="82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Default="005D59A2" w:rsidP="005D59A2">
            <w:pPr>
              <w:rPr>
                <w:sz w:val="20"/>
                <w:szCs w:val="20"/>
              </w:rPr>
            </w:pPr>
          </w:p>
          <w:p w:rsidR="005D59A2" w:rsidRDefault="005D59A2" w:rsidP="005D59A2">
            <w:pPr>
              <w:rPr>
                <w:sz w:val="20"/>
                <w:szCs w:val="20"/>
              </w:rPr>
            </w:pPr>
          </w:p>
          <w:p w:rsidR="005D59A2" w:rsidRPr="00421602" w:rsidRDefault="005D59A2" w:rsidP="005D59A2">
            <w:pPr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Повышение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эффективности,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качества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и</w:t>
            </w:r>
            <w:r w:rsidRPr="00421602">
              <w:rPr>
                <w:spacing w:val="2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надежности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поставки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коммунальных ресурсов</w:t>
            </w:r>
          </w:p>
        </w:tc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 xml:space="preserve">Формирование и содержание районного (обязательного) резерва материально-технических ресурсов для оперативного устранения неисправностей и аварий на объектах жилищно-коммунального хозяйства, в том числе иные межбюджетные трансферты 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A2" w:rsidRDefault="005D59A2" w:rsidP="00556721">
            <w:pPr>
              <w:jc w:val="center"/>
            </w:pPr>
            <w:r>
              <w:t>-</w:t>
            </w:r>
          </w:p>
        </w:tc>
      </w:tr>
      <w:tr w:rsidR="005D59A2" w:rsidRPr="00421602" w:rsidTr="002214FA">
        <w:trPr>
          <w:trHeight w:val="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5D59A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sz w:val="20"/>
                <w:szCs w:val="20"/>
              </w:rPr>
            </w:pPr>
          </w:p>
        </w:tc>
      </w:tr>
      <w:tr w:rsidR="000B4A7F" w:rsidRPr="00421602" w:rsidTr="002214FA">
        <w:trPr>
          <w:trHeight w:val="14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14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5D59A2">
            <w:pPr>
              <w:jc w:val="center"/>
              <w:rPr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Модернизация систем коммунальной инфраструктуры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8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8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D670EB" w:rsidRDefault="000B4A7F" w:rsidP="000B4A7F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B4A7F" w:rsidRPr="00421602" w:rsidTr="002214FA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Развитие энергетических ресурсов»</w:t>
            </w:r>
          </w:p>
        </w:tc>
      </w:tr>
      <w:tr w:rsidR="000B4A7F" w:rsidRPr="00421602" w:rsidTr="002214FA">
        <w:trPr>
          <w:trHeight w:val="1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2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421602">
              <w:rPr>
                <w:rFonts w:eastAsiaTheme="minorEastAsia"/>
                <w:sz w:val="20"/>
                <w:szCs w:val="20"/>
              </w:rPr>
              <w:t>-2030</w:t>
            </w:r>
          </w:p>
        </w:tc>
      </w:tr>
      <w:tr w:rsidR="000B4A7F" w:rsidRPr="00421602" w:rsidTr="002214FA">
        <w:trPr>
          <w:trHeight w:val="8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Возмещение</w:t>
            </w:r>
            <w:r w:rsidRPr="00B26E0D">
              <w:rPr>
                <w:spacing w:val="-3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недополученных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доходов и (или) затрат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организациям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жилищно-коммунального</w:t>
            </w:r>
            <w:r w:rsidRPr="00B26E0D">
              <w:rPr>
                <w:spacing w:val="-4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комплекса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 xml:space="preserve">Предоставление субсидии организациям в сферах теплоснабжения, водоснабжения, электроснабжения и газоснабжения. Расходы на </w:t>
            </w:r>
            <w:r w:rsidRPr="00B26E0D">
              <w:rPr>
                <w:rFonts w:eastAsiaTheme="minorHAnsi"/>
                <w:bCs/>
                <w:sz w:val="20"/>
                <w:szCs w:val="20"/>
                <w:lang w:eastAsia="en-US"/>
              </w:rPr>
              <w:t>возмещение фактических затрат, связанных с оказанием услуг бани.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556721" w:rsidRPr="00421602" w:rsidTr="00A33CB2">
        <w:trPr>
          <w:trHeight w:val="8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Pr="00421602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Pr="002214FA" w:rsidRDefault="00556721" w:rsidP="00556721">
            <w:pPr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6E0D">
              <w:rPr>
                <w:rFonts w:eastAsiaTheme="minorHAnsi"/>
                <w:bCs/>
                <w:sz w:val="20"/>
                <w:szCs w:val="20"/>
                <w:lang w:eastAsia="en-US"/>
              </w:rPr>
              <w:t>Финансовое обеспечение затрат, связанных с оплатой задолженности за потребленные топливно-энергетические ресурсы перед гарантирующими поставщиками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Pr="00B26E0D" w:rsidRDefault="00556721" w:rsidP="00556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6E0D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субсидии организациям на оплату задолженности за потребленные топливо-энергетические ресурсы перед гарантирующими поставщиками.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A33CB2">
        <w:trPr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D670EB">
              <w:rPr>
                <w:b/>
                <w:i/>
                <w:sz w:val="20"/>
                <w:szCs w:val="20"/>
              </w:rPr>
              <w:t>«</w:t>
            </w:r>
            <w:r w:rsidRPr="00D670EB">
              <w:rPr>
                <w:rFonts w:eastAsiaTheme="minorEastAsia"/>
                <w:b/>
                <w:i/>
                <w:sz w:val="20"/>
                <w:szCs w:val="20"/>
              </w:rPr>
              <w:t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нормативам потребления коммунальных услуг»</w:t>
            </w:r>
          </w:p>
        </w:tc>
      </w:tr>
      <w:tr w:rsidR="000B4A7F" w:rsidRPr="00421602" w:rsidTr="00A33CB2">
        <w:trPr>
          <w:trHeight w:val="1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B4A7F" w:rsidRPr="00421602" w:rsidTr="00A33CB2">
        <w:trPr>
          <w:trHeight w:val="6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jc w:val="both"/>
              <w:rPr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Возмещение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Предоставление субсидии организациям  в сфере теплоснабжения, водоснабжения, водоотведение.</w:t>
            </w:r>
            <w:r w:rsidRPr="00B26E0D">
              <w:rPr>
                <w:sz w:val="20"/>
                <w:szCs w:val="20"/>
              </w:rPr>
              <w:br/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556721" w:rsidRPr="00421602" w:rsidTr="00A33CB2">
        <w:trPr>
          <w:trHeight w:val="6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2.3.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Pr="00556721" w:rsidRDefault="00556721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</w:t>
            </w:r>
          </w:p>
        </w:tc>
      </w:tr>
      <w:tr w:rsidR="00A07498" w:rsidRPr="00421602" w:rsidTr="00A07498">
        <w:trPr>
          <w:trHeight w:val="1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498" w:rsidRDefault="00A0749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498" w:rsidRPr="00421602" w:rsidRDefault="00A07498" w:rsidP="00FC1332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498" w:rsidRDefault="00A07498" w:rsidP="00FC133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556721" w:rsidRPr="00421602" w:rsidTr="002214FA">
        <w:trPr>
          <w:trHeight w:val="6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Pr="00A07498" w:rsidRDefault="00A07498" w:rsidP="00A074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7498">
              <w:rPr>
                <w:sz w:val="20"/>
                <w:szCs w:val="20"/>
              </w:rPr>
              <w:t>инансовое обеспечение и возмещение экономически обоснованных расходов</w:t>
            </w:r>
            <w:r w:rsidRPr="00A07498">
              <w:rPr>
                <w:color w:val="000000" w:themeColor="text1"/>
                <w:sz w:val="20"/>
                <w:szCs w:val="20"/>
              </w:rPr>
              <w:t>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Pr="00B26E0D" w:rsidRDefault="00A07498" w:rsidP="000B4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организациям </w:t>
            </w:r>
            <w:r w:rsidRPr="00A07498">
              <w:rPr>
                <w:sz w:val="20"/>
                <w:szCs w:val="20"/>
              </w:rPr>
              <w:t xml:space="preserve">осуществляющим регулируемый вид деятельности в сферах тепло-, водоснабжения и </w:t>
            </w:r>
            <w:r w:rsidRPr="00A07498">
              <w:rPr>
                <w:color w:val="000000" w:themeColor="text1"/>
                <w:sz w:val="20"/>
                <w:szCs w:val="20"/>
              </w:rPr>
              <w:t>водоотведения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Default="00A0749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1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«Эффективное управление объект</w:t>
            </w:r>
            <w:r>
              <w:rPr>
                <w:b/>
                <w:i/>
                <w:sz w:val="20"/>
                <w:szCs w:val="20"/>
              </w:rPr>
              <w:t>ами</w:t>
            </w:r>
            <w:r w:rsidRPr="005451D8">
              <w:rPr>
                <w:b/>
                <w:i/>
                <w:sz w:val="20"/>
                <w:szCs w:val="20"/>
              </w:rPr>
              <w:t xml:space="preserve"> жилищного хозяйства, муниципальной собственности»</w:t>
            </w:r>
          </w:p>
        </w:tc>
      </w:tr>
      <w:tr w:rsidR="000B4A7F" w:rsidRPr="00421602" w:rsidTr="002214FA">
        <w:trPr>
          <w:trHeight w:val="1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5451D8">
              <w:rPr>
                <w:b/>
                <w:i/>
                <w:sz w:val="20"/>
                <w:szCs w:val="20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Ответственный за реализацию: Комитет по САЖ, 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Расходы на капитальный ремонт и ремонт муниципального жилищного фонда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56721">
              <w:rPr>
                <w:rFonts w:eastAsiaTheme="minorHAnsi"/>
                <w:sz w:val="20"/>
                <w:szCs w:val="20"/>
              </w:rPr>
              <w:t>Поддержание муниципального жилищного фонда в надлежащем состоянии на территории муниципального образования Октябрьский район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A709D9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Default="00A709D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Pr="00A709D9" w:rsidRDefault="00A709D9" w:rsidP="00F722E4">
            <w:pPr>
              <w:jc w:val="both"/>
              <w:rPr>
                <w:sz w:val="20"/>
                <w:szCs w:val="20"/>
              </w:rPr>
            </w:pPr>
            <w:r w:rsidRPr="00A709D9">
              <w:rPr>
                <w:sz w:val="20"/>
                <w:szCs w:val="20"/>
              </w:rPr>
              <w:t xml:space="preserve">Финансовое </w:t>
            </w:r>
            <w:r w:rsidR="00F722E4">
              <w:rPr>
                <w:sz w:val="20"/>
                <w:szCs w:val="20"/>
              </w:rPr>
              <w:t>возмещение</w:t>
            </w:r>
            <w:r w:rsidRPr="00A709D9">
              <w:rPr>
                <w:sz w:val="20"/>
                <w:szCs w:val="20"/>
              </w:rPr>
              <w:t xml:space="preserve"> затрат, связанных с проведением текущего ремонта в многоквартирных домах аварийных/непригодных для проживания, не включенных в окружную программу капитального ремонта общего имущества в многоквартирных домах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Pr="00A709D9" w:rsidRDefault="00A709D9" w:rsidP="000560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709D9">
              <w:rPr>
                <w:rFonts w:eastAsiaTheme="minorHAnsi"/>
                <w:sz w:val="20"/>
                <w:szCs w:val="20"/>
              </w:rPr>
              <w:t xml:space="preserve">Предоставление субсидии </w:t>
            </w:r>
            <w:proofErr w:type="gramStart"/>
            <w:r w:rsidRPr="00A709D9">
              <w:rPr>
                <w:rFonts w:eastAsiaTheme="minorHAnsi"/>
                <w:sz w:val="20"/>
                <w:szCs w:val="20"/>
              </w:rPr>
              <w:t>организациям</w:t>
            </w:r>
            <w:proofErr w:type="gramEnd"/>
            <w:r w:rsidRPr="00A709D9">
              <w:rPr>
                <w:rFonts w:eastAsiaTheme="minorHAnsi"/>
                <w:sz w:val="20"/>
                <w:szCs w:val="20"/>
              </w:rPr>
              <w:t xml:space="preserve"> 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>предоставляющи</w:t>
            </w:r>
            <w:r w:rsidR="000560CC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жилищные услуги населению на территории Октябрьского района в соответствии с договором на управление</w:t>
            </w:r>
            <w:r w:rsidR="000560CC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многоквартирным домом (в том числе аварийном фонде)</w:t>
            </w:r>
            <w:r w:rsidRPr="00A709D9">
              <w:rPr>
                <w:sz w:val="20"/>
                <w:szCs w:val="20"/>
              </w:rPr>
              <w:t xml:space="preserve">. 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Pr="00556721" w:rsidRDefault="00A709D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b/>
                <w:i/>
                <w:sz w:val="20"/>
                <w:szCs w:val="20"/>
              </w:rPr>
              <w:t>Комплекс процессных мероприятий «Признание объектов недвижимости аварийными и проведение мероприятий по их сносу»</w:t>
            </w:r>
          </w:p>
        </w:tc>
      </w:tr>
      <w:tr w:rsidR="000B4A7F" w:rsidRPr="00421602" w:rsidTr="002214FA">
        <w:trPr>
          <w:trHeight w:val="2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Ответственный за реализацию: Комитет по САЖ, 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2025-2030</w:t>
            </w:r>
          </w:p>
        </w:tc>
      </w:tr>
      <w:tr w:rsidR="00D64C39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556721" w:rsidRDefault="00D64C39" w:rsidP="00F4578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 xml:space="preserve">Расходы на обследование технического состояния </w:t>
            </w:r>
            <w:r w:rsidR="00D04F5C" w:rsidRPr="00556721">
              <w:rPr>
                <w:sz w:val="20"/>
                <w:szCs w:val="20"/>
              </w:rPr>
              <w:t>муниципальн</w:t>
            </w:r>
            <w:r w:rsidR="00F4578D" w:rsidRPr="00556721">
              <w:rPr>
                <w:sz w:val="20"/>
                <w:szCs w:val="20"/>
              </w:rPr>
              <w:t>ого жилищного фонда</w:t>
            </w:r>
            <w:r w:rsidRPr="00556721">
              <w:rPr>
                <w:sz w:val="20"/>
                <w:szCs w:val="20"/>
              </w:rPr>
              <w:t xml:space="preserve"> с целью признания их аварийными</w:t>
            </w:r>
            <w:r w:rsidR="00F4578D" w:rsidRPr="00556721">
              <w:rPr>
                <w:sz w:val="20"/>
                <w:szCs w:val="20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8D" w:rsidRPr="00556721" w:rsidRDefault="00D64C39" w:rsidP="00D04F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56721">
              <w:rPr>
                <w:color w:val="000000"/>
                <w:sz w:val="20"/>
                <w:szCs w:val="20"/>
                <w:shd w:val="clear" w:color="auto" w:fill="FFFFFF"/>
              </w:rPr>
              <w:t xml:space="preserve">Установление аварийной категории технического состояния </w:t>
            </w:r>
            <w:r w:rsidR="00F4578D" w:rsidRPr="00556721">
              <w:rPr>
                <w:color w:val="000000"/>
                <w:sz w:val="20"/>
                <w:szCs w:val="20"/>
                <w:shd w:val="clear" w:color="auto" w:fill="FFFFFF"/>
              </w:rPr>
              <w:t>объектов муниципального жилищного фонда</w:t>
            </w:r>
            <w:r w:rsidRPr="0055672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556721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D64C39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8D" w:rsidRPr="00556721" w:rsidRDefault="00D64C39" w:rsidP="00F4578D">
            <w:pPr>
              <w:jc w:val="both"/>
              <w:rPr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 xml:space="preserve">Расходы на снос </w:t>
            </w:r>
            <w:r w:rsidR="00F4578D" w:rsidRPr="00556721">
              <w:rPr>
                <w:sz w:val="20"/>
                <w:szCs w:val="20"/>
              </w:rPr>
              <w:t>муниципального жилищного фонда</w:t>
            </w:r>
            <w:r w:rsidRPr="00556721">
              <w:rPr>
                <w:sz w:val="20"/>
                <w:szCs w:val="20"/>
              </w:rPr>
              <w:t xml:space="preserve"> признанных аварийными</w:t>
            </w:r>
            <w:r w:rsidR="00F4578D" w:rsidRPr="00556721">
              <w:rPr>
                <w:sz w:val="20"/>
                <w:szCs w:val="20"/>
              </w:rPr>
              <w:t xml:space="preserve"> и управление строительными отходами.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556721" w:rsidRDefault="00D64C39" w:rsidP="00F4578D">
            <w:pPr>
              <w:jc w:val="both"/>
              <w:rPr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Снос</w:t>
            </w:r>
            <w:r w:rsidR="00F4578D" w:rsidRPr="00556721">
              <w:rPr>
                <w:sz w:val="20"/>
                <w:szCs w:val="20"/>
              </w:rPr>
              <w:t xml:space="preserve"> </w:t>
            </w:r>
            <w:r w:rsidRPr="00556721">
              <w:rPr>
                <w:sz w:val="20"/>
                <w:szCs w:val="20"/>
              </w:rPr>
              <w:t>муниципальн</w:t>
            </w:r>
            <w:r w:rsidR="00F4578D" w:rsidRPr="00556721">
              <w:rPr>
                <w:sz w:val="20"/>
                <w:szCs w:val="20"/>
              </w:rPr>
              <w:t xml:space="preserve">ого аварийного жилищного фонда, утилизация и вывоз строительных отходов.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556721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b/>
                <w:i/>
                <w:sz w:val="20"/>
                <w:szCs w:val="20"/>
              </w:rPr>
              <w:t>«Структурные элементы, не входящие в направления «подпрограммы»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69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6173A6" w:rsidRDefault="000B4A7F" w:rsidP="000B4A7F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>Администрирование рабочих мест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6173A6" w:rsidRDefault="000B4A7F" w:rsidP="00301EB9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 xml:space="preserve">Расходы на </w:t>
            </w:r>
            <w:r w:rsidR="00301EB9">
              <w:rPr>
                <w:sz w:val="20"/>
                <w:szCs w:val="20"/>
              </w:rPr>
              <w:t>организационное обеспечение деятельности органов местного самоуправления.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3866E0" w:rsidRPr="00421602" w:rsidTr="002214FA">
        <w:trPr>
          <w:trHeight w:val="32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Обеспечение качества и доступности ритуальных услуг»</w:t>
            </w:r>
          </w:p>
        </w:tc>
      </w:tr>
      <w:tr w:rsidR="003866E0" w:rsidRPr="00421602" w:rsidTr="002214FA">
        <w:trPr>
          <w:trHeight w:val="2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B26E0D">
              <w:rPr>
                <w:b/>
                <w:i/>
                <w:sz w:val="20"/>
                <w:szCs w:val="20"/>
              </w:rPr>
              <w:t>омплекс процессных мероприятий «Возмещение затрат, связанных с предоставлением гарантированного перечня услуг по погребению»</w:t>
            </w:r>
          </w:p>
        </w:tc>
      </w:tr>
      <w:tr w:rsidR="003866E0" w:rsidRPr="00421602" w:rsidTr="002214FA">
        <w:trPr>
          <w:trHeight w:val="2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935613" w:rsidRDefault="003866E0" w:rsidP="006C352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6C352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66E0" w:rsidRPr="00421602" w:rsidTr="002214FA">
        <w:trPr>
          <w:trHeight w:val="2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E47ED4" w:rsidRDefault="003866E0" w:rsidP="006C352F">
            <w:pPr>
              <w:jc w:val="both"/>
              <w:rPr>
                <w:sz w:val="20"/>
                <w:szCs w:val="20"/>
              </w:rPr>
            </w:pPr>
            <w:r w:rsidRPr="00E47ED4">
              <w:rPr>
                <w:sz w:val="20"/>
                <w:szCs w:val="20"/>
              </w:rPr>
              <w:t>Возмещение затрат на предоставление услуг по погребению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6173A6" w:rsidRDefault="003866E0" w:rsidP="006C3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</w:t>
            </w:r>
            <w:r w:rsidRPr="00E47ED4">
              <w:rPr>
                <w:rFonts w:eastAsiaTheme="minorHAnsi"/>
                <w:sz w:val="20"/>
                <w:szCs w:val="20"/>
                <w:lang w:eastAsia="en-US"/>
              </w:rPr>
              <w:t>специализированной службе по вопросам похоронного дела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0B4A7F" w:rsidRDefault="000B4A7F" w:rsidP="000B4A7F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A709D9" w:rsidRDefault="00A709D9" w:rsidP="00A709D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sectPr w:rsidR="00A709D9" w:rsidSect="001B21C5">
      <w:pgSz w:w="16838" w:h="11906" w:orient="landscape"/>
      <w:pgMar w:top="851" w:right="536" w:bottom="709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18" w:rsidRDefault="00CB2D18">
      <w:r>
        <w:separator/>
      </w:r>
    </w:p>
  </w:endnote>
  <w:endnote w:type="continuationSeparator" w:id="0">
    <w:p w:rsidR="00CB2D18" w:rsidRDefault="00CB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5" w:rsidRDefault="001B21C5">
    <w:pPr>
      <w:pStyle w:val="a4"/>
      <w:jc w:val="right"/>
    </w:pPr>
  </w:p>
  <w:p w:rsidR="001B21C5" w:rsidRDefault="001B2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18" w:rsidRDefault="00CB2D18">
      <w:r>
        <w:separator/>
      </w:r>
    </w:p>
  </w:footnote>
  <w:footnote w:type="continuationSeparator" w:id="0">
    <w:p w:rsidR="00CB2D18" w:rsidRDefault="00CB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multilevel"/>
    <w:tmpl w:val="320AF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378E8"/>
    <w:rsid w:val="00040036"/>
    <w:rsid w:val="00041CD2"/>
    <w:rsid w:val="00042BD5"/>
    <w:rsid w:val="00043AA7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0CC"/>
    <w:rsid w:val="0005613C"/>
    <w:rsid w:val="00056906"/>
    <w:rsid w:val="00056D5C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4A7F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4D88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0ECA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2F3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0F7E"/>
    <w:rsid w:val="001B129E"/>
    <w:rsid w:val="001B141F"/>
    <w:rsid w:val="001B1CCE"/>
    <w:rsid w:val="001B21C5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02E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14FA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6BF2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E7C6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1EB9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0CF"/>
    <w:rsid w:val="00347181"/>
    <w:rsid w:val="003471B5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6E0"/>
    <w:rsid w:val="00387F83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286B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8DC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4AC9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6721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59A2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1DC3"/>
    <w:rsid w:val="006C22FE"/>
    <w:rsid w:val="006C262F"/>
    <w:rsid w:val="006C2B86"/>
    <w:rsid w:val="006C2DCC"/>
    <w:rsid w:val="006C2E9E"/>
    <w:rsid w:val="006C352F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8A0"/>
    <w:rsid w:val="00751FF0"/>
    <w:rsid w:val="00753926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0A1F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817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87A3A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6EB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0B7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04C1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498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16B61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3CB2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09D9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212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5271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D18"/>
    <w:rsid w:val="00CB2F93"/>
    <w:rsid w:val="00CB3154"/>
    <w:rsid w:val="00CB3254"/>
    <w:rsid w:val="00CB36E0"/>
    <w:rsid w:val="00CB3846"/>
    <w:rsid w:val="00CB4A8B"/>
    <w:rsid w:val="00CB66BA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B48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4F5C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81E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4C39"/>
    <w:rsid w:val="00D651E6"/>
    <w:rsid w:val="00D65C07"/>
    <w:rsid w:val="00D660B9"/>
    <w:rsid w:val="00D67312"/>
    <w:rsid w:val="00D67A5C"/>
    <w:rsid w:val="00D71054"/>
    <w:rsid w:val="00D713CD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578D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22E4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332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033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336D-C329-4B03-9E64-D6C7879B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9575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ПК</cp:lastModifiedBy>
  <cp:revision>6</cp:revision>
  <cp:lastPrinted>2026-04-02T07:43:00Z</cp:lastPrinted>
  <dcterms:created xsi:type="dcterms:W3CDTF">2026-02-11T06:17:00Z</dcterms:created>
  <dcterms:modified xsi:type="dcterms:W3CDTF">2026-04-02T07:43:00Z</dcterms:modified>
</cp:coreProperties>
</file>