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21.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1.xml" ContentType="application/vnd.openxmlformats-officedocument.wordprocessingml.footer+xml"/>
  <Override PartName="/word/footer18.xml" ContentType="application/vnd.openxmlformats-officedocument.wordprocessingml.footer+xml"/>
  <Override PartName="/word/footer17.xml" ContentType="application/vnd.openxmlformats-officedocument.wordprocessingml.footer+xml"/>
  <Override PartName="/word/footer16.xml" ContentType="application/vnd.openxmlformats-officedocument.wordprocessingml.footer+xml"/>
  <Override PartName="/word/header9.xml" ContentType="application/vnd.openxmlformats-officedocument.wordprocessingml.header+xml"/>
  <Override PartName="/word/footer15.xml" ContentType="application/vnd.openxmlformats-officedocument.wordprocessingml.footer+xml"/>
  <Override PartName="/word/header8.xml" ContentType="application/vnd.openxmlformats-officedocument.wordprocessingml.header+xml"/>
  <Override PartName="/word/footer14.xml" ContentType="application/vnd.openxmlformats-officedocument.wordprocessingml.footer+xml"/>
  <Override PartName="/word/header7.xml" ContentType="application/vnd.openxmlformats-officedocument.wordprocessingml.header+xml"/>
  <Override PartName="/word/header14.xml" ContentType="application/vnd.openxmlformats-officedocument.wordprocessingml.header+xml"/>
  <Override PartName="/word/footer4.xml" ContentType="application/vnd.openxmlformats-officedocument.wordprocessingml.footer+xml"/>
  <Override PartName="/word/footer20.xml" ContentType="application/vnd.openxmlformats-officedocument.wordprocessingml.footer+xml"/>
  <Override PartName="/word/footer5.xml" ContentType="application/vnd.openxmlformats-officedocument.wordprocessingml.footer+xml"/>
  <Override PartName="/word/header15.xml" ContentType="application/vnd.openxmlformats-officedocument.wordprocessingml.header+xml"/>
  <Override PartName="/word/footer21.xml" ContentType="application/vnd.openxmlformats-officedocument.wordprocessingml.footer+xml"/>
  <Override PartName="/word/_rels/document.xml.rels" ContentType="application/vnd.openxmlformats-package.relationships+xml"/>
  <Override PartName="/word/header16.xml" ContentType="application/vnd.openxmlformats-officedocument.wordprocessingml.header+xml"/>
  <Override PartName="/word/footer6.xml" ContentType="application/vnd.openxmlformats-officedocument.wordprocessingml.footer+xml"/>
  <Override PartName="/word/footer22.xml" ContentType="application/vnd.openxmlformats-officedocument.wordprocessingml.footer+xml"/>
  <Override PartName="/word/header19.xml" ContentType="application/vnd.openxmlformats-officedocument.wordprocessingml.header+xml"/>
  <Override PartName="/word/footer9.xml" ContentType="application/vnd.openxmlformats-officedocument.wordprocessingml.footer+xml"/>
  <Override PartName="/word/footer25.xml" ContentType="application/vnd.openxmlformats-officedocument.wordprocessingml.footer+xml"/>
  <Override PartName="/word/header18.xml" ContentType="application/vnd.openxmlformats-officedocument.wordprocessingml.header+xml"/>
  <Override PartName="/word/footer24.xml" ContentType="application/vnd.openxmlformats-officedocument.wordprocessingml.footer+xml"/>
  <Override PartName="/word/footer8.xml" ContentType="application/vnd.openxmlformats-officedocument.wordprocessingml.footer+xml"/>
  <Override PartName="/word/header22.xml" ContentType="application/vnd.openxmlformats-officedocument.wordprocessingml.header+xml"/>
  <Override PartName="/word/header24.xml" ContentType="application/vnd.openxmlformats-officedocument.wordprocessingml.header+xml"/>
  <Override PartName="/word/header23.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footer23.xml" ContentType="application/vnd.openxmlformats-officedocument.wordprocessingml.footer+xml"/>
  <Override PartName="/word/footer7.xml" ContentType="application/vnd.openxmlformats-officedocument.wordprocessingml.footer+xml"/>
  <Override PartName="/word/header17.xml" ContentType="application/vnd.openxmlformats-officedocument.wordprocessingml.header+xml"/>
  <Override PartName="/word/footer13.xml" ContentType="application/vnd.openxmlformats-officedocument.wordprocessingml.footer+xml"/>
  <Override PartName="/word/header6.xml" ContentType="application/vnd.openxmlformats-officedocument.wordprocessingml.header+xml"/>
  <Override PartName="/word/numbering.xml" ContentType="application/vnd.openxmlformats-officedocument.wordprocessingml.numbering+xml"/>
  <Override PartName="/word/header2.xml" ContentType="application/vnd.openxmlformats-officedocument.wordprocessingml.header+xml"/>
  <Override PartName="/word/footer3.xml" ContentType="application/vnd.openxmlformats-officedocument.wordprocessingml.footer+xml"/>
  <Override PartName="/word/header13.xml" ContentType="application/vnd.openxmlformats-officedocument.wordprocessingml.header+xml"/>
  <Override PartName="/word/header25.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header12.xml" ContentType="application/vnd.openxmlformats-officedocument.wordprocessingml.header+xml"/>
  <Override PartName="/word/styles.xml" ContentType="application/vnd.openxmlformats-officedocument.wordprocessingml.styles+xml"/>
  <Override PartName="/word/charts/chart1.xml" ContentType="application/vnd.openxmlformats-officedocument.drawingml.chart+xml"/>
  <Override PartName="/word/document.xml" ContentType="application/vnd.openxmlformats-officedocument.wordprocessingml.document.main+xml"/>
  <Override PartName="/word/header10.xml" ContentType="application/vnd.openxmlformats-officedocument.wordprocessingml.header+xml"/>
  <Override PartName="/word/header11.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media/image4.png" ContentType="image/png"/>
  <Override PartName="/word/media/image2.png" ContentType="image/png"/>
  <Override PartName="/word/media/image3.png" ContentType="image/png"/>
  <Override PartName="/word/media/image5.png" ContentType="image/png"/>
  <Override PartName="/word/media/image7.wmf" ContentType="image/x-wmf"/>
  <Override PartName="/word/media/image6.png" ContentType="image/png"/>
  <Override PartName="/word/media/image1.jpeg" ContentType="image/jpeg"/>
  <Override PartName="/word/footer11.xml" ContentType="application/vnd.openxmlformats-officedocument.wordprocessingml.footer+xml"/>
  <Override PartName="/word/header5.xml" ContentType="application/vnd.openxmlformats-officedocument.wordprocessingml.header+xml"/>
  <Override PartName="/word/embeddings/oleObject1.bin" ContentType="application/vnd.openxmlformats-officedocument.oleObject"/>
  <Override PartName="/word/footer12.xml" ContentType="application/vnd.openxmlformats-officedocument.wordprocessingml.foot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jc w:val="right"/>
        <w:rPr>
          <w:b/>
          <w:b/>
          <w:bCs/>
        </w:rPr>
      </w:pPr>
      <w:r>
        <w:rPr>
          <w:b/>
          <w:bCs/>
        </w:rPr>
      </w:r>
      <w:bookmarkStart w:id="0" w:name="_GoBack"/>
      <w:bookmarkStart w:id="1" w:name="_GoBack"/>
      <w:bookmarkEnd w:id="1"/>
    </w:p>
    <w:p>
      <w:pPr>
        <w:pStyle w:val="Normal"/>
        <w:jc w:val="right"/>
        <w:rPr>
          <w:b/>
          <w:b/>
          <w:bCs/>
        </w:rPr>
      </w:pPr>
      <w:r>
        <w:rPr>
          <w:b/>
          <w:bCs/>
        </w:rPr>
      </w:r>
    </w:p>
    <w:p>
      <w:pPr>
        <w:pStyle w:val="Normal"/>
        <w:jc w:val="right"/>
        <w:rPr>
          <w:b/>
          <w:b/>
          <w:bCs/>
          <w:color w:val="FF0000"/>
          <w:sz w:val="20"/>
          <w:lang w:eastAsia="ru-RU"/>
        </w:rPr>
      </w:pPr>
      <w:r>
        <w:rPr>
          <w:b/>
          <w:bCs/>
          <w:color w:val="FF0000"/>
          <w:sz w:val="20"/>
          <w:lang w:eastAsia="ru-RU"/>
        </w:rPr>
        <w:drawing>
          <wp:anchor behindDoc="0" distT="0" distB="0" distL="0" distR="0" simplePos="0" locked="0" layoutInCell="1" allowOverlap="1" relativeHeight="2">
            <wp:simplePos x="0" y="0"/>
            <wp:positionH relativeFrom="column">
              <wp:posOffset>2819400</wp:posOffset>
            </wp:positionH>
            <wp:positionV relativeFrom="paragraph">
              <wp:posOffset>-457200</wp:posOffset>
            </wp:positionV>
            <wp:extent cx="488950" cy="603250"/>
            <wp:effectExtent l="0" t="0" r="0" b="0"/>
            <wp:wrapNone/>
            <wp:docPr id="1" name="Изображение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descr=""/>
                    <pic:cNvPicPr>
                      <a:picLocks noChangeAspect="1" noChangeArrowheads="1"/>
                    </pic:cNvPicPr>
                  </pic:nvPicPr>
                  <pic:blipFill>
                    <a:blip r:embed="rId2"/>
                    <a:srcRect l="-1368" t="-1098" r="-1368" b="-1098"/>
                    <a:stretch>
                      <a:fillRect/>
                    </a:stretch>
                  </pic:blipFill>
                  <pic:spPr bwMode="auto">
                    <a:xfrm>
                      <a:off x="0" y="0"/>
                      <a:ext cx="488950" cy="603250"/>
                    </a:xfrm>
                    <a:prstGeom prst="rect">
                      <a:avLst/>
                    </a:prstGeom>
                  </pic:spPr>
                </pic:pic>
              </a:graphicData>
            </a:graphic>
          </wp:anchor>
        </w:drawing>
      </w:r>
    </w:p>
    <w:tbl>
      <w:tblPr>
        <w:tblW w:w="9872" w:type="dxa"/>
        <w:jc w:val="center"/>
        <w:tblInd w:w="0" w:type="dxa"/>
        <w:tblCellMar>
          <w:top w:w="0" w:type="dxa"/>
          <w:left w:w="108" w:type="dxa"/>
          <w:bottom w:w="0" w:type="dxa"/>
          <w:right w:w="108" w:type="dxa"/>
        </w:tblCellMar>
        <w:tblLook w:val="0000" w:noVBand="0" w:noHBand="0" w:lastColumn="0" w:firstColumn="0" w:lastRow="0" w:firstRow="0"/>
      </w:tblPr>
      <w:tblGrid>
        <w:gridCol w:w="336"/>
        <w:gridCol w:w="579"/>
        <w:gridCol w:w="332"/>
        <w:gridCol w:w="1377"/>
        <w:gridCol w:w="364"/>
        <w:gridCol w:w="767"/>
        <w:gridCol w:w="374"/>
        <w:gridCol w:w="3350"/>
        <w:gridCol w:w="446"/>
        <w:gridCol w:w="1946"/>
      </w:tblGrid>
      <w:tr>
        <w:trPr>
          <w:trHeight w:val="1134" w:hRule="exact"/>
        </w:trPr>
        <w:tc>
          <w:tcPr>
            <w:tcW w:w="9871" w:type="dxa"/>
            <w:gridSpan w:val="10"/>
            <w:tcBorders/>
          </w:tcPr>
          <w:p>
            <w:pPr>
              <w:pStyle w:val="Normal"/>
              <w:jc w:val="center"/>
              <w:rPr>
                <w:rFonts w:ascii="Georgia" w:hAnsi="Georgia" w:cs="Georgia"/>
                <w:b/>
                <w:b/>
              </w:rPr>
            </w:pPr>
            <w:r>
              <w:rPr>
                <w:rFonts w:cs="Georgia" w:ascii="Georgia" w:hAnsi="Georgia"/>
                <w:b/>
              </w:rPr>
              <w:t>Муниципальное образование Октябрьский район</w:t>
            </w:r>
          </w:p>
          <w:p>
            <w:pPr>
              <w:pStyle w:val="Normal"/>
              <w:jc w:val="center"/>
              <w:rPr>
                <w:rFonts w:ascii="Georgia" w:hAnsi="Georgia" w:cs="Georgia"/>
                <w:b/>
                <w:b/>
                <w:sz w:val="12"/>
                <w:szCs w:val="12"/>
              </w:rPr>
            </w:pPr>
            <w:r>
              <w:rPr>
                <w:rFonts w:cs="Georgia" w:ascii="Georgia" w:hAnsi="Georgia"/>
                <w:b/>
                <w:sz w:val="12"/>
                <w:szCs w:val="12"/>
              </w:rPr>
            </w:r>
          </w:p>
          <w:p>
            <w:pPr>
              <w:pStyle w:val="Normal"/>
              <w:jc w:val="center"/>
              <w:rPr>
                <w:b/>
                <w:b/>
                <w:sz w:val="26"/>
                <w:szCs w:val="26"/>
              </w:rPr>
            </w:pPr>
            <w:r>
              <w:rPr>
                <w:b/>
                <w:sz w:val="26"/>
                <w:szCs w:val="26"/>
              </w:rPr>
              <w:t>АДМИНИСТРАЦИЯ ОКТЯБРЬСКОГО РАЙОНА</w:t>
            </w:r>
          </w:p>
          <w:p>
            <w:pPr>
              <w:pStyle w:val="Normal"/>
              <w:jc w:val="center"/>
              <w:rPr>
                <w:b/>
                <w:b/>
                <w:sz w:val="12"/>
                <w:szCs w:val="12"/>
              </w:rPr>
            </w:pPr>
            <w:r>
              <w:rPr>
                <w:b/>
                <w:sz w:val="12"/>
                <w:szCs w:val="12"/>
              </w:rPr>
            </w:r>
          </w:p>
          <w:p>
            <w:pPr>
              <w:pStyle w:val="Normal"/>
              <w:jc w:val="center"/>
              <w:rPr>
                <w:b/>
                <w:b/>
                <w:spacing w:val="20"/>
                <w:sz w:val="26"/>
                <w:szCs w:val="26"/>
              </w:rPr>
            </w:pPr>
            <w:r>
              <w:rPr>
                <w:b/>
                <w:spacing w:val="20"/>
                <w:sz w:val="26"/>
                <w:szCs w:val="26"/>
              </w:rPr>
              <w:t>ПОСТАНОВЛЕНИЕ</w:t>
            </w:r>
          </w:p>
        </w:tc>
      </w:tr>
      <w:tr>
        <w:trPr>
          <w:trHeight w:val="454" w:hRule="atLeast"/>
        </w:trPr>
        <w:tc>
          <w:tcPr>
            <w:tcW w:w="336" w:type="dxa"/>
            <w:tcBorders/>
            <w:vAlign w:val="bottom"/>
          </w:tcPr>
          <w:p>
            <w:pPr>
              <w:pStyle w:val="Normal"/>
              <w:jc w:val="right"/>
              <w:rPr/>
            </w:pPr>
            <w:r>
              <w:rPr/>
              <w:t>«</w:t>
            </w:r>
          </w:p>
        </w:tc>
        <w:tc>
          <w:tcPr>
            <w:tcW w:w="579" w:type="dxa"/>
            <w:tcBorders>
              <w:bottom w:val="single" w:sz="4" w:space="0" w:color="000000"/>
            </w:tcBorders>
            <w:vAlign w:val="bottom"/>
          </w:tcPr>
          <w:p>
            <w:pPr>
              <w:pStyle w:val="Normal"/>
              <w:snapToGrid w:val="false"/>
              <w:jc w:val="center"/>
              <w:rPr>
                <w:lang w:val="en-US"/>
              </w:rPr>
            </w:pPr>
            <w:r>
              <w:rPr>
                <w:lang w:val="en-US"/>
              </w:rPr>
            </w:r>
          </w:p>
        </w:tc>
        <w:tc>
          <w:tcPr>
            <w:tcW w:w="332" w:type="dxa"/>
            <w:tcBorders/>
            <w:vAlign w:val="bottom"/>
          </w:tcPr>
          <w:p>
            <w:pPr>
              <w:pStyle w:val="Normal"/>
              <w:rPr/>
            </w:pPr>
            <w:r>
              <w:rPr/>
              <w:t>»</w:t>
            </w:r>
          </w:p>
        </w:tc>
        <w:tc>
          <w:tcPr>
            <w:tcW w:w="1377" w:type="dxa"/>
            <w:tcBorders>
              <w:bottom w:val="single" w:sz="4" w:space="0" w:color="000000"/>
            </w:tcBorders>
            <w:vAlign w:val="bottom"/>
          </w:tcPr>
          <w:p>
            <w:pPr>
              <w:pStyle w:val="Normal"/>
              <w:snapToGrid w:val="false"/>
              <w:jc w:val="center"/>
              <w:rPr>
                <w:lang w:val="en-US"/>
              </w:rPr>
            </w:pPr>
            <w:r>
              <w:rPr>
                <w:lang w:val="en-US"/>
              </w:rPr>
            </w:r>
          </w:p>
        </w:tc>
        <w:tc>
          <w:tcPr>
            <w:tcW w:w="364" w:type="dxa"/>
            <w:tcBorders/>
            <w:vAlign w:val="bottom"/>
          </w:tcPr>
          <w:p>
            <w:pPr>
              <w:pStyle w:val="Normal"/>
              <w:ind w:right="-108" w:hanging="0"/>
              <w:jc w:val="right"/>
              <w:rPr>
                <w:rFonts w:ascii="Tinos" w:hAnsi="Tinos" w:cs="Tinos"/>
              </w:rPr>
            </w:pPr>
            <w:r>
              <w:rPr>
                <w:rFonts w:cs="Tinos" w:ascii="Tinos" w:hAnsi="Tinos"/>
              </w:rPr>
              <w:t>20</w:t>
            </w:r>
          </w:p>
        </w:tc>
        <w:tc>
          <w:tcPr>
            <w:tcW w:w="767" w:type="dxa"/>
            <w:tcBorders/>
            <w:vAlign w:val="bottom"/>
          </w:tcPr>
          <w:p>
            <w:pPr>
              <w:pStyle w:val="Normal"/>
              <w:ind w:left="-57" w:right="57" w:hanging="0"/>
              <w:rPr>
                <w:rFonts w:ascii="Tinos" w:hAnsi="Tinos" w:cs="Tinos"/>
              </w:rPr>
            </w:pPr>
            <w:r>
              <w:rPr>
                <w:rFonts w:cs="Tinos" w:ascii="Tinos" w:hAnsi="Tinos"/>
              </w:rPr>
              <w:t>25 г.</w:t>
            </w:r>
          </w:p>
        </w:tc>
        <w:tc>
          <w:tcPr>
            <w:tcW w:w="374" w:type="dxa"/>
            <w:tcBorders/>
            <w:vAlign w:val="bottom"/>
          </w:tcPr>
          <w:p>
            <w:pPr>
              <w:pStyle w:val="Normal"/>
              <w:rPr/>
            </w:pPr>
            <w:r>
              <w:rPr/>
              <w:t xml:space="preserve"> </w:t>
            </w:r>
          </w:p>
        </w:tc>
        <w:tc>
          <w:tcPr>
            <w:tcW w:w="3350" w:type="dxa"/>
            <w:tcBorders/>
            <w:vAlign w:val="bottom"/>
          </w:tcPr>
          <w:p>
            <w:pPr>
              <w:pStyle w:val="Normal"/>
              <w:snapToGrid w:val="false"/>
              <w:rPr/>
            </w:pPr>
            <w:r>
              <w:rPr/>
            </w:r>
          </w:p>
        </w:tc>
        <w:tc>
          <w:tcPr>
            <w:tcW w:w="446" w:type="dxa"/>
            <w:tcBorders/>
            <w:vAlign w:val="bottom"/>
          </w:tcPr>
          <w:p>
            <w:pPr>
              <w:pStyle w:val="Normal"/>
              <w:jc w:val="center"/>
              <w:rPr/>
            </w:pPr>
            <w:r>
              <w:rPr/>
              <w:t>№</w:t>
            </w:r>
          </w:p>
        </w:tc>
        <w:tc>
          <w:tcPr>
            <w:tcW w:w="1946" w:type="dxa"/>
            <w:tcBorders>
              <w:bottom w:val="single" w:sz="4" w:space="0" w:color="000000"/>
            </w:tcBorders>
            <w:vAlign w:val="bottom"/>
          </w:tcPr>
          <w:p>
            <w:pPr>
              <w:pStyle w:val="Normal"/>
              <w:snapToGrid w:val="false"/>
              <w:jc w:val="center"/>
              <w:rPr>
                <w:lang w:val="en-US"/>
              </w:rPr>
            </w:pPr>
            <w:r>
              <w:rPr>
                <w:lang w:val="en-US"/>
              </w:rPr>
            </w:r>
          </w:p>
        </w:tc>
      </w:tr>
      <w:tr>
        <w:trPr>
          <w:trHeight w:val="567" w:hRule="exact"/>
        </w:trPr>
        <w:tc>
          <w:tcPr>
            <w:tcW w:w="9871" w:type="dxa"/>
            <w:gridSpan w:val="10"/>
            <w:tcBorders/>
            <w:tcMar>
              <w:top w:w="227" w:type="dxa"/>
            </w:tcMar>
          </w:tcPr>
          <w:p>
            <w:pPr>
              <w:pStyle w:val="Normal"/>
              <w:rPr>
                <w:rFonts w:ascii="Tinos" w:hAnsi="Tinos"/>
              </w:rPr>
            </w:pPr>
            <w:r>
              <w:rPr>
                <w:rFonts w:ascii="Tinos" w:hAnsi="Tinos"/>
              </w:rPr>
              <w:t>пгт. Октябрьское</w:t>
            </w:r>
          </w:p>
        </w:tc>
      </w:tr>
    </w:tbl>
    <w:p>
      <w:pPr>
        <w:pStyle w:val="NormalWeb"/>
        <w:spacing w:before="0" w:after="0"/>
        <w:rPr>
          <w:lang w:val="en-US"/>
        </w:rPr>
      </w:pPr>
      <w:r>
        <w:rPr>
          <w:lang w:val="en-US"/>
        </w:rPr>
      </w:r>
    </w:p>
    <w:p>
      <w:pPr>
        <w:pStyle w:val="NormalWeb"/>
        <w:spacing w:before="0" w:after="0"/>
        <w:rPr>
          <w:rFonts w:ascii="Tinos" w:hAnsi="Tinos"/>
        </w:rPr>
      </w:pPr>
      <w:r>
        <w:rPr>
          <w:rFonts w:ascii="Tinos" w:hAnsi="Tinos"/>
        </w:rPr>
        <w:t xml:space="preserve">Об утверждении схемы теплоснабжения </w:t>
      </w:r>
    </w:p>
    <w:p>
      <w:pPr>
        <w:pStyle w:val="NormalWeb"/>
        <w:spacing w:before="0" w:after="0"/>
        <w:rPr>
          <w:rFonts w:ascii="Tinos" w:hAnsi="Tinos"/>
        </w:rPr>
      </w:pPr>
      <w:r>
        <w:rPr>
          <w:rFonts w:ascii="Tinos" w:hAnsi="Tinos"/>
          <w:color w:val="000000"/>
          <w:lang w:eastAsia="ru-RU"/>
        </w:rPr>
        <w:t>городского</w:t>
      </w:r>
      <w:r>
        <w:rPr>
          <w:rFonts w:ascii="Tinos" w:hAnsi="Tinos"/>
        </w:rPr>
        <w:t xml:space="preserve"> поселения </w:t>
      </w:r>
      <w:r>
        <w:rPr>
          <w:rFonts w:ascii="Tinos" w:hAnsi="Tinos"/>
          <w:color w:val="000000"/>
          <w:lang w:eastAsia="ru-RU"/>
        </w:rPr>
        <w:t>Октябрьское</w:t>
      </w:r>
      <w:r>
        <w:rPr>
          <w:rFonts w:ascii="Tinos" w:hAnsi="Tinos"/>
        </w:rPr>
        <w:t xml:space="preserve"> на период до 2035 года</w:t>
      </w:r>
    </w:p>
    <w:p>
      <w:pPr>
        <w:pStyle w:val="NormalWeb"/>
        <w:spacing w:before="0" w:after="0"/>
        <w:rPr>
          <w:rFonts w:ascii="Tinos" w:hAnsi="Tinos"/>
        </w:rPr>
      </w:pPr>
      <w:r>
        <w:rPr>
          <w:rFonts w:ascii="Tinos" w:hAnsi="Tinos"/>
        </w:rPr>
        <w:t>(актуализация на 2025 год)</w:t>
      </w:r>
    </w:p>
    <w:p>
      <w:pPr>
        <w:pStyle w:val="Normal"/>
        <w:jc w:val="both"/>
        <w:rPr>
          <w:rFonts w:ascii="Tinos" w:hAnsi="Tinos"/>
        </w:rPr>
      </w:pPr>
      <w:r>
        <w:rPr>
          <w:rFonts w:ascii="Tinos" w:hAnsi="Tinos"/>
        </w:rPr>
      </w:r>
    </w:p>
    <w:p>
      <w:pPr>
        <w:pStyle w:val="Normal"/>
        <w:jc w:val="both"/>
        <w:rPr>
          <w:rFonts w:ascii="Tinos" w:hAnsi="Tinos"/>
        </w:rPr>
      </w:pPr>
      <w:r>
        <w:rPr>
          <w:rFonts w:ascii="Tinos" w:hAnsi="Tinos"/>
        </w:rPr>
      </w:r>
    </w:p>
    <w:p>
      <w:pPr>
        <w:pStyle w:val="Normal"/>
        <w:ind w:firstLine="709"/>
        <w:jc w:val="both"/>
        <w:rPr>
          <w:rFonts w:ascii="Tinos" w:hAnsi="Tinos"/>
        </w:rPr>
      </w:pPr>
      <w:r>
        <w:rPr>
          <w:rFonts w:ascii="Tinos" w:hAnsi="Tinos"/>
        </w:rPr>
        <w:t>В соответствии с Федеральными законами от 27.07.2010 № 190-ФЗ                                         «</w:t>
      </w:r>
      <w:r>
        <w:rPr>
          <w:rFonts w:eastAsia="Tahoma" w:ascii="Tinos" w:hAnsi="Tinos"/>
        </w:rPr>
        <w:t xml:space="preserve">О теплоснабжении», от </w:t>
      </w:r>
      <w:r>
        <w:rPr>
          <w:rFonts w:ascii="Tinos" w:hAnsi="Tinos"/>
        </w:rPr>
        <w:t xml:space="preserve">20.03.2025 № </w:t>
      </w:r>
      <w:r>
        <w:rPr>
          <w:rStyle w:val="Style58"/>
          <w:rFonts w:ascii="Tinos" w:hAnsi="Tinos"/>
          <w:i w:val="false"/>
        </w:rPr>
        <w:t>33</w:t>
      </w:r>
      <w:r>
        <w:rPr>
          <w:rFonts w:ascii="Tinos" w:hAnsi="Tinos"/>
        </w:rPr>
        <w:t>-</w:t>
      </w:r>
      <w:r>
        <w:rPr>
          <w:rStyle w:val="Style58"/>
          <w:rFonts w:ascii="Tinos" w:hAnsi="Tinos"/>
          <w:i w:val="false"/>
        </w:rPr>
        <w:t>ФЗ «</w:t>
      </w:r>
      <w:r>
        <w:rPr>
          <w:rFonts w:ascii="Tinos" w:hAnsi="Tinos"/>
        </w:rPr>
        <w:t>Об общих принципах организации местного самоуправления в единой системе публичной власти», постановлением Правительства Российской Федерации от 22.02.2012 № 154 «О требованиях к схемам теплоснабжения, порядку их разработки и утверждения», учитывая результаты публичных слушаний:</w:t>
      </w:r>
    </w:p>
    <w:p>
      <w:pPr>
        <w:pStyle w:val="Normal"/>
        <w:ind w:firstLine="709"/>
        <w:jc w:val="both"/>
        <w:rPr>
          <w:rFonts w:ascii="Tinos" w:hAnsi="Tinos"/>
        </w:rPr>
      </w:pPr>
      <w:r>
        <w:rPr>
          <w:rFonts w:ascii="Tinos" w:hAnsi="Tinos"/>
        </w:rPr>
        <w:t xml:space="preserve">1. Утвердить схему теплоснабжения </w:t>
      </w:r>
      <w:r>
        <w:rPr>
          <w:rFonts w:ascii="Tinos" w:hAnsi="Tinos"/>
          <w:color w:val="000000"/>
          <w:lang w:eastAsia="ru-RU"/>
        </w:rPr>
        <w:t>городского</w:t>
      </w:r>
      <w:r>
        <w:rPr>
          <w:rFonts w:ascii="Tinos" w:hAnsi="Tinos"/>
        </w:rPr>
        <w:t xml:space="preserve"> поселения </w:t>
      </w:r>
      <w:r>
        <w:rPr>
          <w:rFonts w:ascii="Tinos" w:hAnsi="Tinos"/>
          <w:color w:val="000000"/>
          <w:lang w:eastAsia="ru-RU"/>
        </w:rPr>
        <w:t>Октябрьское</w:t>
      </w:r>
      <w:r>
        <w:rPr>
          <w:rFonts w:ascii="Tinos" w:hAnsi="Tinos"/>
        </w:rPr>
        <w:t xml:space="preserve"> на период              до 2035 года (актуализация на 2025 год) в составе:</w:t>
      </w:r>
    </w:p>
    <w:p>
      <w:pPr>
        <w:pStyle w:val="Normal"/>
        <w:ind w:firstLine="709"/>
        <w:jc w:val="both"/>
        <w:rPr>
          <w:rFonts w:ascii="Tinos" w:hAnsi="Tinos"/>
        </w:rPr>
      </w:pPr>
      <w:r>
        <w:rPr>
          <w:rFonts w:ascii="Tinos" w:hAnsi="Tinos"/>
        </w:rPr>
        <w:t>1.1. Том 1. «Утверждаемая часть», согласно приложению № 1.</w:t>
      </w:r>
    </w:p>
    <w:p>
      <w:pPr>
        <w:pStyle w:val="Normal"/>
        <w:ind w:firstLine="709"/>
        <w:jc w:val="both"/>
        <w:rPr>
          <w:rFonts w:ascii="Tinos" w:hAnsi="Tinos"/>
        </w:rPr>
      </w:pPr>
      <w:r>
        <w:rPr>
          <w:rFonts w:ascii="Tinos" w:hAnsi="Tinos"/>
        </w:rPr>
        <w:t>1.2. Том 2. «Обосновывающие материалы», согласно приложению № 2.</w:t>
      </w:r>
    </w:p>
    <w:p>
      <w:pPr>
        <w:pStyle w:val="Normal"/>
        <w:ind w:firstLine="709"/>
        <w:jc w:val="both"/>
        <w:rPr/>
      </w:pPr>
      <w:r>
        <w:rPr>
          <w:rFonts w:ascii="Tinos" w:hAnsi="Tinos"/>
        </w:rPr>
        <w:t xml:space="preserve">2. Признать утратившим силу постановление администрации Октябрьского района                от </w:t>
      </w:r>
      <w:r>
        <w:rPr>
          <w:rFonts w:eastAsia="Times New Roman" w:cs="Times New Roman" w:ascii="Tinos" w:hAnsi="Tinos"/>
          <w:sz w:val="24"/>
          <w:lang w:bidi="ar-SA"/>
        </w:rPr>
        <w:t>17</w:t>
      </w:r>
      <w:r>
        <w:rPr>
          <w:rFonts w:ascii="Tinos" w:hAnsi="Tinos"/>
        </w:rPr>
        <w:t xml:space="preserve">.04.2025 № </w:t>
      </w:r>
      <w:r>
        <w:rPr>
          <w:rFonts w:eastAsia="Times New Roman" w:cs="Times New Roman" w:ascii="Tinos" w:hAnsi="Tinos"/>
          <w:sz w:val="24"/>
          <w:lang w:bidi="ar-SA"/>
        </w:rPr>
        <w:t>567</w:t>
      </w:r>
      <w:r>
        <w:rPr>
          <w:rFonts w:ascii="Tinos" w:hAnsi="Tinos"/>
        </w:rPr>
        <w:t xml:space="preserve"> «Об утверждении схемы теплоснабжения </w:t>
      </w:r>
      <w:r>
        <w:rPr>
          <w:rFonts w:eastAsia="Times New Roman" w:cs="Times New Roman" w:ascii="Tinos" w:hAnsi="Tinos"/>
          <w:sz w:val="24"/>
          <w:lang w:bidi="ar-SA"/>
        </w:rPr>
        <w:t>городского</w:t>
      </w:r>
      <w:r>
        <w:rPr>
          <w:rFonts w:ascii="Tinos" w:hAnsi="Tinos"/>
        </w:rPr>
        <w:t xml:space="preserve"> поселения </w:t>
      </w:r>
      <w:r>
        <w:rPr>
          <w:rFonts w:eastAsia="Times New Roman" w:cs="Times New Roman" w:ascii="Tinos" w:hAnsi="Tinos"/>
          <w:sz w:val="24"/>
          <w:lang w:bidi="ar-SA"/>
        </w:rPr>
        <w:t>Октябрьское</w:t>
      </w:r>
      <w:r>
        <w:rPr>
          <w:rFonts w:ascii="Tinos" w:hAnsi="Tinos"/>
        </w:rPr>
        <w:t xml:space="preserve"> на период до 2035 года (актуализация на 2025 год) ».</w:t>
      </w:r>
    </w:p>
    <w:p>
      <w:pPr>
        <w:pStyle w:val="Normal"/>
        <w:ind w:firstLine="709"/>
        <w:jc w:val="both"/>
        <w:rPr>
          <w:rFonts w:ascii="Tinos" w:hAnsi="Tinos"/>
        </w:rPr>
      </w:pPr>
      <w:r>
        <w:rPr>
          <w:rFonts w:ascii="Tinos" w:hAnsi="Tinos"/>
        </w:rPr>
        <w:t xml:space="preserve">3. </w:t>
      </w:r>
      <w:r>
        <w:rPr>
          <w:rStyle w:val="Strong"/>
          <w:rFonts w:ascii="Tinos" w:hAnsi="Tinos"/>
          <w:b w:val="false"/>
        </w:rPr>
        <w:t>Опубликовать постановление в официальном сетевом издании «</w:t>
      </w:r>
      <w:r>
        <w:rPr>
          <w:rFonts w:ascii="Tinos" w:hAnsi="Tinos"/>
        </w:rPr>
        <w:t xml:space="preserve">Официальный сайт Октябрьского района» и разместить в подразделе «Схемы теплоснабжения городских                          и сельских поселений Октябрьского района» раздела «Жилищно-коммунальное хозяйство                    и капитальное строительство» официального сайта Октябрьского района. </w:t>
      </w:r>
    </w:p>
    <w:p>
      <w:pPr>
        <w:pStyle w:val="Normal"/>
        <w:ind w:firstLine="709"/>
        <w:jc w:val="both"/>
        <w:rPr>
          <w:rFonts w:ascii="Tinos" w:hAnsi="Tinos"/>
        </w:rPr>
      </w:pPr>
      <w:r>
        <w:rPr>
          <w:rFonts w:ascii="Tinos" w:hAnsi="Tinos"/>
        </w:rPr>
        <w:t xml:space="preserve">4. Контроль за выполнением постановления возложить на первого заместителя главы Октябрьского района </w:t>
      </w:r>
      <w:r>
        <w:rPr>
          <w:rFonts w:ascii="Tinos" w:hAnsi="Tinos"/>
          <w:bCs/>
          <w:iCs/>
        </w:rPr>
        <w:t>по жизнеобеспечению Тимофеева В.Г.</w:t>
      </w:r>
    </w:p>
    <w:p>
      <w:pPr>
        <w:pStyle w:val="Normal"/>
        <w:ind w:firstLine="540"/>
        <w:jc w:val="both"/>
        <w:rPr>
          <w:rFonts w:ascii="Tinos" w:hAnsi="Tinos"/>
        </w:rPr>
      </w:pPr>
      <w:r>
        <w:rPr>
          <w:rFonts w:ascii="Tinos" w:hAnsi="Tinos"/>
        </w:rPr>
      </w:r>
    </w:p>
    <w:p>
      <w:pPr>
        <w:pStyle w:val="Normal"/>
        <w:jc w:val="both"/>
        <w:rPr>
          <w:rFonts w:ascii="Tinos" w:hAnsi="Tinos"/>
        </w:rPr>
      </w:pPr>
      <w:r>
        <w:rPr>
          <w:rFonts w:ascii="Tinos" w:hAnsi="Tinos"/>
        </w:rPr>
      </w:r>
    </w:p>
    <w:p>
      <w:pPr>
        <w:pStyle w:val="Normal"/>
        <w:rPr/>
      </w:pPr>
      <w:hyperlink r:id="rId3">
        <w:r>
          <w:rPr>
            <w:rFonts w:ascii="Tinos" w:hAnsi="Tinos"/>
            <w:color w:val="000000"/>
          </w:rPr>
          <w:t>Глава Октябрьского района</w:t>
          <w:tab/>
          <w:tab/>
          <w:tab/>
          <w:tab/>
          <w:tab/>
          <w:tab/>
          <w:tab/>
          <w:t xml:space="preserve">    </w:t>
          <w:tab/>
          <w:t xml:space="preserve">                                         С.В. Заплатин</w:t>
        </w:r>
      </w:hyperlink>
    </w:p>
    <w:p>
      <w:pPr>
        <w:pStyle w:val="Normal"/>
        <w:rPr>
          <w:rFonts w:ascii="Tinos" w:hAnsi="Tinos"/>
        </w:rPr>
      </w:pPr>
      <w:r>
        <w:rPr>
          <w:rFonts w:ascii="Tinos" w:hAnsi="Tinos"/>
        </w:rPr>
      </w:r>
    </w:p>
    <w:p>
      <w:pPr>
        <w:pStyle w:val="Normal"/>
        <w:rPr>
          <w:rFonts w:ascii="Tinos" w:hAnsi="Tinos"/>
        </w:rPr>
      </w:pPr>
      <w:r>
        <w:rPr>
          <w:rFonts w:ascii="Tinos" w:hAnsi="Tinos"/>
        </w:rPr>
      </w:r>
    </w:p>
    <w:p>
      <w:pPr>
        <w:pStyle w:val="Normal"/>
        <w:rPr>
          <w:rFonts w:ascii="Tinos" w:hAnsi="Tinos"/>
        </w:rPr>
      </w:pPr>
      <w:r>
        <w:rPr>
          <w:rFonts w:ascii="Tinos" w:hAnsi="Tinos"/>
        </w:rPr>
      </w:r>
    </w:p>
    <w:p>
      <w:pPr>
        <w:pStyle w:val="Normal"/>
        <w:rPr>
          <w:rFonts w:ascii="Tinos" w:hAnsi="Tinos"/>
        </w:rPr>
      </w:pPr>
      <w:r>
        <w:rPr>
          <w:rFonts w:ascii="Tinos" w:hAnsi="Tinos"/>
        </w:rPr>
      </w:r>
    </w:p>
    <w:p>
      <w:pPr>
        <w:pStyle w:val="Normal"/>
        <w:rPr>
          <w:rFonts w:ascii="Tinos" w:hAnsi="Tinos"/>
        </w:rPr>
      </w:pPr>
      <w:r>
        <w:rPr>
          <w:rFonts w:ascii="Tinos" w:hAnsi="Tinos"/>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hyperlink r:id="rId4">
        <w:r>
          <w:rPr>
            <w:rFonts w:cs="Tinos" w:ascii="Tinos" w:hAnsi="Tinos"/>
            <w:color w:val="000000"/>
          </w:rPr>
          <w:t>Исполнитель:</w:t>
        </w:r>
      </w:hyperlink>
    </w:p>
    <w:p>
      <w:pPr>
        <w:pStyle w:val="Normal"/>
        <w:rPr/>
      </w:pPr>
      <w:hyperlink r:id="rId5">
        <w:r>
          <w:rPr>
            <w:rFonts w:cs="Tinos" w:ascii="Tinos" w:hAnsi="Tinos"/>
            <w:color w:val="000000"/>
          </w:rPr>
          <w:t>главный специалист отдела по вопросам жизнеобеспечения</w:t>
        </w:r>
      </w:hyperlink>
    </w:p>
    <w:p>
      <w:pPr>
        <w:pStyle w:val="Normal"/>
        <w:rPr/>
      </w:pPr>
      <w:hyperlink r:id="rId6">
        <w:r>
          <w:rPr>
            <w:rFonts w:cs="Tinos" w:ascii="Tinos" w:hAnsi="Tinos"/>
            <w:color w:val="000000"/>
          </w:rPr>
          <w:t>Комитета по САЖ администрации Октябрьского района</w:t>
        </w:r>
      </w:hyperlink>
    </w:p>
    <w:p>
      <w:pPr>
        <w:pStyle w:val="Normal"/>
        <w:rPr/>
      </w:pPr>
      <w:hyperlink r:id="rId7">
        <w:r>
          <w:rPr>
            <w:rFonts w:cs="Tinos" w:ascii="Tinos" w:hAnsi="Tinos"/>
            <w:color w:val="000000"/>
          </w:rPr>
          <w:t>Ковальских С.В., тел.: 8(34678) 28-047, 348</w:t>
        </w:r>
      </w:hyperlink>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rFonts w:ascii="Tinos" w:hAnsi="Tinos"/>
        </w:rPr>
      </w:pPr>
      <w:r>
        <w:rPr>
          <w:rFonts w:ascii="Tinos" w:hAnsi="Tinos"/>
        </w:rPr>
      </w:r>
    </w:p>
    <w:p>
      <w:pPr>
        <w:pStyle w:val="Normal"/>
        <w:rPr>
          <w:rFonts w:ascii="Tinos" w:hAnsi="Tinos"/>
        </w:rPr>
      </w:pPr>
      <w:r>
        <w:rPr>
          <w:rFonts w:ascii="Tinos" w:hAnsi="Tinos"/>
        </w:rPr>
      </w:r>
    </w:p>
    <w:p>
      <w:pPr>
        <w:pStyle w:val="Normal"/>
        <w:rPr>
          <w:rFonts w:ascii="Tinos" w:hAnsi="Tinos"/>
        </w:rPr>
      </w:pPr>
      <w:r>
        <w:rPr>
          <w:rFonts w:ascii="Tinos" w:hAnsi="Tinos"/>
        </w:rPr>
      </w:r>
    </w:p>
    <w:p>
      <w:pPr>
        <w:pStyle w:val="Normal"/>
        <w:rPr>
          <w:rFonts w:ascii="Tinos" w:hAnsi="Tinos"/>
        </w:rPr>
      </w:pPr>
      <w:r>
        <w:rPr>
          <w:rFonts w:ascii="Tinos" w:hAnsi="Tinos"/>
        </w:rPr>
      </w:r>
    </w:p>
    <w:p>
      <w:pPr>
        <w:pStyle w:val="Normal"/>
        <w:rPr>
          <w:rFonts w:ascii="Tinos" w:hAnsi="Tinos"/>
        </w:rPr>
      </w:pPr>
      <w:r>
        <w:rPr>
          <w:rFonts w:ascii="Tinos" w:hAnsi="Tinos"/>
        </w:rPr>
      </w:r>
    </w:p>
    <w:p>
      <w:pPr>
        <w:pStyle w:val="Normal"/>
        <w:rPr>
          <w:rFonts w:ascii="Tinos" w:hAnsi="Tinos"/>
        </w:rPr>
      </w:pPr>
      <w:r>
        <w:rPr>
          <w:rFonts w:ascii="Tinos" w:hAnsi="Tinos"/>
        </w:rPr>
      </w:r>
    </w:p>
    <w:p>
      <w:pPr>
        <w:pStyle w:val="Normal"/>
        <w:rPr>
          <w:rFonts w:ascii="Tinos" w:hAnsi="Tinos"/>
        </w:rPr>
      </w:pPr>
      <w:r>
        <w:rPr>
          <w:rFonts w:ascii="Tinos" w:hAnsi="Tinos"/>
        </w:rPr>
      </w:r>
    </w:p>
    <w:p>
      <w:pPr>
        <w:pStyle w:val="Normal"/>
        <w:rPr>
          <w:rFonts w:ascii="Tinos" w:hAnsi="Tinos"/>
        </w:rPr>
      </w:pPr>
      <w:r>
        <w:rPr>
          <w:rFonts w:ascii="Tinos" w:hAnsi="Tinos"/>
        </w:rPr>
        <w:t>Согласовано:</w:t>
      </w:r>
    </w:p>
    <w:p>
      <w:pPr>
        <w:pStyle w:val="Normal"/>
        <w:rPr>
          <w:rFonts w:ascii="Tinos" w:hAnsi="Tinos"/>
        </w:rPr>
      </w:pPr>
      <w:r>
        <w:rPr>
          <w:rFonts w:ascii="Tinos" w:hAnsi="Tinos"/>
        </w:rPr>
      </w:r>
    </w:p>
    <w:p>
      <w:pPr>
        <w:pStyle w:val="Normal"/>
        <w:tabs>
          <w:tab w:val="clear" w:pos="408"/>
          <w:tab w:val="left" w:pos="990" w:leader="none"/>
        </w:tabs>
        <w:rPr>
          <w:rFonts w:ascii="Tinos" w:hAnsi="Tinos"/>
        </w:rPr>
      </w:pPr>
      <w:r>
        <w:rPr>
          <w:rFonts w:ascii="Tinos" w:hAnsi="Tinos"/>
          <w:bCs/>
          <w:iCs/>
        </w:rPr>
        <w:t xml:space="preserve">Исполняющий обязанности заместителя главы </w:t>
      </w:r>
    </w:p>
    <w:p>
      <w:pPr>
        <w:pStyle w:val="Normal"/>
        <w:tabs>
          <w:tab w:val="clear" w:pos="408"/>
          <w:tab w:val="left" w:pos="990" w:leader="none"/>
        </w:tabs>
        <w:rPr>
          <w:rFonts w:ascii="Tinos" w:hAnsi="Tinos"/>
        </w:rPr>
      </w:pPr>
      <w:r>
        <w:rPr>
          <w:rFonts w:ascii="Tinos" w:hAnsi="Tinos"/>
          <w:bCs/>
          <w:iCs/>
        </w:rPr>
        <w:t xml:space="preserve">Октябрьского района по внутренней политике                                              </w:t>
      </w:r>
      <w:r>
        <w:rPr>
          <w:rFonts w:eastAsia="Times New Roman" w:cs="Times New Roman" w:ascii="Tinos" w:hAnsi="Tinos"/>
          <w:bCs/>
          <w:iCs/>
          <w:sz w:val="24"/>
          <w:lang w:bidi="ar-SA"/>
        </w:rPr>
        <w:t>А.А. Габдулисманов</w:t>
      </w:r>
      <w:r>
        <w:rPr>
          <w:rFonts w:ascii="Tinos" w:hAnsi="Tinos"/>
          <w:bCs/>
          <w:iCs/>
        </w:rPr>
        <w:t xml:space="preserve">                                                      </w:t>
      </w:r>
    </w:p>
    <w:p>
      <w:pPr>
        <w:pStyle w:val="Normal"/>
        <w:rPr>
          <w:rFonts w:ascii="Tinos" w:hAnsi="Tinos"/>
        </w:rPr>
      </w:pPr>
      <w:r>
        <w:rPr>
          <w:rFonts w:ascii="Tinos" w:hAnsi="Tinos"/>
        </w:rPr>
      </w:r>
    </w:p>
    <w:p>
      <w:pPr>
        <w:pStyle w:val="Normal"/>
        <w:rPr/>
      </w:pPr>
      <w:hyperlink r:id="rId8">
        <w:r>
          <w:rPr>
            <w:rFonts w:cs="Tinos" w:ascii="Tinos" w:hAnsi="Tinos"/>
            <w:color w:val="000000"/>
          </w:rPr>
          <w:t xml:space="preserve">Первый заместитель главы Октябрьского района </w:t>
        </w:r>
      </w:hyperlink>
    </w:p>
    <w:p>
      <w:pPr>
        <w:pStyle w:val="Normal"/>
        <w:rPr/>
      </w:pPr>
      <w:hyperlink r:id="rId9">
        <w:r>
          <w:rPr>
            <w:rFonts w:cs="Tinos" w:ascii="Tinos" w:hAnsi="Tinos"/>
            <w:color w:val="000000"/>
          </w:rPr>
          <w:t>по жизнеобеспечению</w:t>
          <w:tab/>
          <w:tab/>
          <w:tab/>
          <w:tab/>
          <w:tab/>
          <w:tab/>
          <w:tab/>
          <w:t xml:space="preserve">                                             В.Г. Тимофеев</w:t>
        </w:r>
      </w:hyperlink>
    </w:p>
    <w:p>
      <w:pPr>
        <w:pStyle w:val="Normal"/>
        <w:rPr>
          <w:rStyle w:val="Style11"/>
          <w:rFonts w:ascii="Tinos" w:hAnsi="Tinos" w:cs="Tinos"/>
          <w:bCs/>
          <w:iCs/>
          <w:color w:val="000000"/>
          <w:u w:val="none"/>
        </w:rPr>
      </w:pPr>
      <w:r>
        <w:rPr>
          <w:rFonts w:cs="Tinos" w:ascii="Tinos" w:hAnsi="Tinos"/>
          <w:bCs/>
          <w:iCs/>
          <w:color w:val="000000"/>
          <w:u w:val="none"/>
        </w:rPr>
      </w:r>
    </w:p>
    <w:p>
      <w:pPr>
        <w:pStyle w:val="Normal"/>
        <w:rPr/>
      </w:pPr>
      <w:r>
        <w:rPr>
          <w:rStyle w:val="Style11"/>
          <w:rFonts w:cs="Tinos" w:ascii="Tinos" w:hAnsi="Tinos"/>
          <w:bCs/>
          <w:iCs/>
          <w:color w:val="000000"/>
          <w:u w:val="none"/>
        </w:rPr>
        <w:t xml:space="preserve">Председатель Комитета по строительству, архитектуре </w:t>
      </w:r>
    </w:p>
    <w:p>
      <w:pPr>
        <w:pStyle w:val="Normal"/>
        <w:rPr/>
      </w:pPr>
      <w:r>
        <w:rPr>
          <w:rStyle w:val="Style11"/>
          <w:rFonts w:cs="Tinos" w:ascii="Tinos" w:hAnsi="Tinos"/>
          <w:bCs/>
          <w:iCs/>
          <w:color w:val="000000"/>
          <w:u w:val="none"/>
        </w:rPr>
        <w:t>и жизнеобеспечению  администрации Октябрьского района</w:t>
        <w:tab/>
        <w:tab/>
        <w:tab/>
        <w:t xml:space="preserve">    В.В. Карайченцев</w:t>
      </w:r>
    </w:p>
    <w:p>
      <w:pPr>
        <w:pStyle w:val="Normal"/>
        <w:rPr>
          <w:rStyle w:val="Style11"/>
          <w:rFonts w:ascii="Tinos" w:hAnsi="Tinos" w:cs="Tinos"/>
          <w:bCs/>
          <w:iCs/>
          <w:color w:val="000000"/>
          <w:u w:val="none"/>
        </w:rPr>
      </w:pPr>
      <w:r>
        <w:rPr>
          <w:rFonts w:cs="Tinos" w:ascii="Tinos" w:hAnsi="Tinos"/>
          <w:bCs/>
          <w:iCs/>
          <w:color w:val="000000"/>
          <w:u w:val="none"/>
        </w:rPr>
      </w:r>
    </w:p>
    <w:p>
      <w:pPr>
        <w:pStyle w:val="Normal"/>
        <w:rPr>
          <w:rFonts w:ascii="Tinos" w:hAnsi="Tinos"/>
        </w:rPr>
      </w:pPr>
      <w:r>
        <w:rPr>
          <w:rFonts w:ascii="Tinos" w:hAnsi="Tinos"/>
        </w:rPr>
        <w:t xml:space="preserve">Юридический отдел администрации Октябрьского района  </w:t>
      </w:r>
    </w:p>
    <w:p>
      <w:pPr>
        <w:pStyle w:val="Normal"/>
        <w:ind w:right="152" w:hanging="0"/>
        <w:rPr>
          <w:rFonts w:ascii="Tinos" w:hAnsi="Tinos"/>
        </w:rPr>
      </w:pPr>
      <w:r>
        <w:rPr>
          <w:rFonts w:ascii="Tinos" w:hAnsi="Tinos"/>
        </w:rPr>
      </w:r>
    </w:p>
    <w:p>
      <w:pPr>
        <w:pStyle w:val="Normal"/>
        <w:ind w:right="152" w:hanging="0"/>
        <w:rPr>
          <w:rFonts w:ascii="Tinos" w:hAnsi="Tinos"/>
        </w:rPr>
      </w:pPr>
      <w:r>
        <w:rPr>
          <w:rFonts w:ascii="Tinos" w:hAnsi="Tinos"/>
        </w:rPr>
      </w:r>
    </w:p>
    <w:p>
      <w:pPr>
        <w:pStyle w:val="Normal"/>
        <w:ind w:right="152" w:hanging="0"/>
        <w:rPr>
          <w:rFonts w:ascii="Tinos" w:hAnsi="Tinos"/>
        </w:rPr>
      </w:pPr>
      <w:r>
        <w:rPr>
          <w:rFonts w:ascii="Tinos" w:hAnsi="Tinos"/>
        </w:rPr>
        <w:t>Степень публичности – 1</w:t>
      </w:r>
    </w:p>
    <w:p>
      <w:pPr>
        <w:pStyle w:val="Normal"/>
        <w:rPr/>
      </w:pPr>
      <w:r>
        <w:rPr/>
      </w:r>
    </w:p>
    <w:p>
      <w:pPr>
        <w:pStyle w:val="Normal"/>
        <w:tabs>
          <w:tab w:val="clear" w:pos="408"/>
          <w:tab w:val="left" w:pos="8460" w:leader="none"/>
          <w:tab w:val="left" w:pos="8820" w:leader="none"/>
        </w:tabs>
        <w:ind w:right="666" w:hanging="0"/>
        <w:jc w:val="both"/>
        <w:rPr/>
      </w:pPr>
      <w:r>
        <w:rPr/>
      </w:r>
    </w:p>
    <w:p>
      <w:pPr>
        <w:pStyle w:val="Normal"/>
        <w:tabs>
          <w:tab w:val="clear" w:pos="408"/>
          <w:tab w:val="left" w:pos="8460" w:leader="none"/>
          <w:tab w:val="left" w:pos="8820" w:leader="none"/>
        </w:tabs>
        <w:ind w:right="666" w:hanging="0"/>
        <w:jc w:val="both"/>
        <w:rPr/>
      </w:pPr>
      <w:r>
        <w:rPr/>
      </w:r>
    </w:p>
    <w:p>
      <w:pPr>
        <w:pStyle w:val="Normal"/>
        <w:tabs>
          <w:tab w:val="clear" w:pos="408"/>
          <w:tab w:val="left" w:pos="8460" w:leader="none"/>
          <w:tab w:val="left" w:pos="8820" w:leader="none"/>
        </w:tabs>
        <w:ind w:right="666" w:hanging="0"/>
        <w:jc w:val="both"/>
        <w:rPr/>
      </w:pPr>
      <w:hyperlink r:id="rId10">
        <w:r>
          <w:rPr>
            <w:rFonts w:cs="Tinos" w:ascii="Tinos" w:hAnsi="Tinos"/>
            <w:color w:val="000000"/>
          </w:rPr>
          <w:t>Разослать:</w:t>
        </w:r>
      </w:hyperlink>
    </w:p>
    <w:p>
      <w:pPr>
        <w:pStyle w:val="Normal"/>
        <w:tabs>
          <w:tab w:val="clear" w:pos="408"/>
          <w:tab w:val="left" w:pos="8460" w:leader="none"/>
          <w:tab w:val="left" w:pos="8820" w:leader="none"/>
        </w:tabs>
        <w:ind w:right="666" w:hanging="0"/>
        <w:jc w:val="both"/>
        <w:rPr>
          <w:rFonts w:ascii="Tinos" w:hAnsi="Tinos"/>
        </w:rPr>
      </w:pPr>
      <w:r>
        <w:rPr>
          <w:rFonts w:ascii="Tinos" w:hAnsi="Tinos"/>
        </w:rPr>
      </w:r>
    </w:p>
    <w:p>
      <w:pPr>
        <w:pStyle w:val="Normal"/>
        <w:widowControl w:val="false"/>
        <w:numPr>
          <w:ilvl w:val="0"/>
          <w:numId w:val="1"/>
        </w:numPr>
        <w:tabs>
          <w:tab w:val="clear" w:pos="408"/>
          <w:tab w:val="left" w:pos="720" w:leader="none"/>
        </w:tabs>
        <w:rPr/>
      </w:pPr>
      <w:hyperlink r:id="rId11">
        <w:r>
          <w:rPr>
            <w:rFonts w:ascii="Tinos" w:hAnsi="Tinos"/>
            <w:color w:val="000000"/>
          </w:rPr>
          <w:t>Комитет по САЖ администрации Октябрьского – 1 экз.</w:t>
        </w:r>
      </w:hyperlink>
    </w:p>
    <w:p>
      <w:pPr>
        <w:pStyle w:val="Normal"/>
        <w:widowControl w:val="false"/>
        <w:numPr>
          <w:ilvl w:val="0"/>
          <w:numId w:val="1"/>
        </w:numPr>
        <w:tabs>
          <w:tab w:val="clear" w:pos="408"/>
          <w:tab w:val="left" w:pos="720" w:leader="none"/>
        </w:tabs>
        <w:rPr/>
      </w:pPr>
      <w:r>
        <w:rPr/>
        <w:t>Администрация городского поселения Октябрьское – 1 экз. в эл.виде</w:t>
      </w:r>
    </w:p>
    <w:p>
      <w:pPr>
        <w:pStyle w:val="Normal"/>
        <w:widowControl w:val="false"/>
        <w:numPr>
          <w:ilvl w:val="0"/>
          <w:numId w:val="1"/>
        </w:numPr>
        <w:tabs>
          <w:tab w:val="clear" w:pos="408"/>
          <w:tab w:val="left" w:pos="720" w:leader="none"/>
        </w:tabs>
        <w:rPr/>
      </w:pPr>
      <w:hyperlink r:id="rId12">
        <w:r>
          <w:rPr>
            <w:rFonts w:ascii="Tinos" w:hAnsi="Tinos"/>
            <w:color w:val="000000"/>
          </w:rPr>
          <w:t>МП МО Октябрьский район «ОКС»</w:t>
        </w:r>
        <w:r>
          <w:rPr>
            <w:rFonts w:ascii="Tinos" w:hAnsi="Tinos"/>
            <w:bCs/>
            <w:iCs/>
            <w:color w:val="000000"/>
          </w:rPr>
          <w:t xml:space="preserve"> - 1</w:t>
        </w:r>
        <w:r>
          <w:rPr>
            <w:rFonts w:ascii="Tinos" w:hAnsi="Tinos"/>
            <w:color w:val="000000"/>
          </w:rPr>
          <w:t xml:space="preserve"> экз. (в эл.виде)</w:t>
        </w:r>
      </w:hyperlink>
    </w:p>
    <w:p>
      <w:pPr>
        <w:pStyle w:val="Normal"/>
        <w:widowControl w:val="false"/>
        <w:tabs>
          <w:tab w:val="clear" w:pos="408"/>
          <w:tab w:val="left" w:pos="720" w:leader="none"/>
        </w:tabs>
        <w:ind w:left="360" w:hanging="0"/>
        <w:rPr>
          <w:rFonts w:ascii="Calibri" w:hAnsi="Calibri" w:cs="Calibri"/>
          <w:sz w:val="22"/>
          <w:szCs w:val="22"/>
        </w:rPr>
      </w:pPr>
      <w:r>
        <w:rPr>
          <w:rFonts w:cs="Calibri" w:ascii="Calibri" w:hAnsi="Calibri"/>
          <w:sz w:val="22"/>
          <w:szCs w:val="22"/>
        </w:rPr>
      </w:r>
    </w:p>
    <w:p>
      <w:pPr>
        <w:pStyle w:val="Normal"/>
        <w:widowControl w:val="false"/>
        <w:tabs>
          <w:tab w:val="clear" w:pos="408"/>
          <w:tab w:val="left" w:pos="720" w:leader="none"/>
        </w:tabs>
        <w:ind w:left="360" w:hanging="0"/>
        <w:rPr>
          <w:rFonts w:ascii="Tinos" w:hAnsi="Tinos" w:cs="Tinos"/>
          <w:color w:val="000000"/>
        </w:rPr>
      </w:pPr>
      <w:hyperlink r:id="rId13">
        <w:r>
          <w:rPr>
            <w:rFonts w:cs="Tinos" w:ascii="Tinos" w:hAnsi="Tinos"/>
            <w:color w:val="000000"/>
          </w:rPr>
          <w:t>Итого: 3 экз.</w:t>
        </w:r>
      </w:hyperlink>
    </w:p>
    <w:p>
      <w:pPr>
        <w:pStyle w:val="Normal"/>
        <w:widowControl w:val="false"/>
        <w:tabs>
          <w:tab w:val="clear" w:pos="408"/>
          <w:tab w:val="left" w:pos="720" w:leader="none"/>
        </w:tabs>
        <w:ind w:left="720" w:hanging="0"/>
        <w:rPr>
          <w:rFonts w:ascii="Tinos" w:hAnsi="Tinos" w:cs="Tinos"/>
          <w:color w:val="000000"/>
        </w:rPr>
      </w:pPr>
      <w:r>
        <w:rPr>
          <w:rFonts w:cs="Tinos" w:ascii="Tinos" w:hAnsi="Tinos"/>
          <w:color w:val="000000"/>
        </w:rPr>
      </w:r>
    </w:p>
    <w:p>
      <w:pPr>
        <w:pStyle w:val="Normal"/>
        <w:widowControl w:val="false"/>
        <w:tabs>
          <w:tab w:val="clear" w:pos="408"/>
          <w:tab w:val="left" w:pos="720" w:leader="none"/>
        </w:tabs>
        <w:rPr>
          <w:rFonts w:ascii="Tinos" w:hAnsi="Tinos" w:cs="Tinos"/>
          <w:color w:val="000000"/>
        </w:rPr>
      </w:pPr>
      <w:r>
        <w:rPr>
          <w:rFonts w:cs="Tinos" w:ascii="Tinos" w:hAnsi="Tinos"/>
          <w:color w:val="000000"/>
        </w:rPr>
      </w:r>
    </w:p>
    <w:p>
      <w:pPr>
        <w:pStyle w:val="Normal"/>
        <w:widowControl w:val="false"/>
        <w:tabs>
          <w:tab w:val="clear" w:pos="408"/>
          <w:tab w:val="left" w:pos="720" w:leader="none"/>
        </w:tabs>
        <w:rPr>
          <w:rFonts w:ascii="Tinos" w:hAnsi="Tinos" w:cs="Tinos"/>
          <w:color w:val="000000"/>
        </w:rPr>
      </w:pPr>
      <w:r>
        <w:rPr>
          <w:rFonts w:cs="Tinos" w:ascii="Tinos" w:hAnsi="Tinos"/>
          <w:color w:val="000000"/>
        </w:rPr>
      </w:r>
    </w:p>
    <w:p>
      <w:pPr>
        <w:pStyle w:val="Normal"/>
        <w:ind w:firstLine="709"/>
        <w:jc w:val="right"/>
        <w:rPr>
          <w:rFonts w:eastAsia="Calibri" w:cs="Calibri"/>
          <w:bCs/>
          <w:szCs w:val="22"/>
          <w:lang w:eastAsia="en-US"/>
        </w:rPr>
      </w:pPr>
      <w:r>
        <w:rPr>
          <w:rFonts w:eastAsia="Calibri" w:cs="Calibri"/>
          <w:bCs/>
          <w:szCs w:val="22"/>
          <w:lang w:eastAsia="en-US"/>
        </w:rPr>
      </w:r>
    </w:p>
    <w:p>
      <w:pPr>
        <w:pStyle w:val="Normal"/>
        <w:ind w:firstLine="709"/>
        <w:jc w:val="right"/>
        <w:rPr>
          <w:rFonts w:eastAsia="Calibri" w:cs="Calibri"/>
          <w:bCs/>
          <w:szCs w:val="22"/>
          <w:lang w:eastAsia="en-US"/>
        </w:rPr>
      </w:pPr>
      <w:r>
        <w:rPr>
          <w:rFonts w:eastAsia="Calibri" w:cs="Calibri"/>
          <w:bCs/>
          <w:szCs w:val="22"/>
          <w:lang w:eastAsia="en-US"/>
        </w:rPr>
      </w:r>
    </w:p>
    <w:p>
      <w:pPr>
        <w:pStyle w:val="Normal"/>
        <w:ind w:firstLine="709"/>
        <w:jc w:val="right"/>
        <w:rPr>
          <w:rFonts w:eastAsia="Calibri" w:cs="Calibri"/>
          <w:bCs/>
          <w:szCs w:val="22"/>
          <w:lang w:eastAsia="en-US"/>
        </w:rPr>
      </w:pPr>
      <w:r>
        <w:rPr>
          <w:rFonts w:eastAsia="Calibri" w:cs="Calibri"/>
          <w:bCs/>
          <w:szCs w:val="22"/>
          <w:lang w:eastAsia="en-US"/>
        </w:rPr>
      </w:r>
    </w:p>
    <w:p>
      <w:pPr>
        <w:pStyle w:val="Normal"/>
        <w:ind w:firstLine="709"/>
        <w:jc w:val="right"/>
        <w:rPr>
          <w:rFonts w:eastAsia="Calibri" w:cs="Calibri"/>
          <w:bCs/>
          <w:szCs w:val="22"/>
          <w:lang w:eastAsia="en-US"/>
        </w:rPr>
      </w:pPr>
      <w:r>
        <w:rPr>
          <w:rFonts w:eastAsia="Calibri" w:cs="Calibri"/>
          <w:bCs/>
          <w:szCs w:val="22"/>
          <w:lang w:eastAsia="en-US"/>
        </w:rPr>
        <w:t xml:space="preserve">Приложение № 1 </w:t>
      </w:r>
    </w:p>
    <w:p>
      <w:pPr>
        <w:pStyle w:val="Normal"/>
        <w:ind w:firstLine="709"/>
        <w:jc w:val="right"/>
        <w:rPr>
          <w:rFonts w:eastAsia="Calibri" w:cs="Calibri"/>
          <w:bCs/>
          <w:szCs w:val="22"/>
          <w:lang w:eastAsia="en-US"/>
        </w:rPr>
      </w:pPr>
      <w:r>
        <w:rPr>
          <w:rFonts w:eastAsia="Calibri" w:cs="Calibri"/>
          <w:bCs/>
          <w:szCs w:val="22"/>
          <w:lang w:eastAsia="en-US"/>
        </w:rPr>
        <w:t>к постановлению администрации Октябрьского района</w:t>
      </w:r>
    </w:p>
    <w:p>
      <w:pPr>
        <w:pStyle w:val="Normal"/>
        <w:jc w:val="right"/>
        <w:rPr>
          <w:rFonts w:eastAsia="Calibri" w:cs="Calibri"/>
          <w:bCs/>
          <w:szCs w:val="22"/>
          <w:lang w:eastAsia="en-US"/>
        </w:rPr>
      </w:pPr>
      <w:r>
        <w:rPr>
          <w:rFonts w:eastAsia="Calibri"/>
          <w:bCs/>
          <w:lang w:eastAsia="en-US"/>
        </w:rPr>
        <w:t>от «____»___________ 2025 г. № ____</w:t>
      </w:r>
    </w:p>
    <w:p>
      <w:pPr>
        <w:pStyle w:val="Normal"/>
        <w:jc w:val="right"/>
        <w:rPr>
          <w:rFonts w:eastAsia="Calibri" w:cs="Calibri"/>
          <w:bCs/>
          <w:szCs w:val="22"/>
          <w:lang w:eastAsia="en-US"/>
        </w:rPr>
      </w:pPr>
      <w:r>
        <w:rPr>
          <w:rFonts w:eastAsia="Calibri" w:cs="Calibri"/>
          <w:bCs/>
          <w:szCs w:val="22"/>
          <w:lang w:eastAsia="en-US"/>
        </w:rPr>
      </w:r>
    </w:p>
    <w:p>
      <w:pPr>
        <w:pStyle w:val="Normal"/>
        <w:ind w:firstLine="709"/>
        <w:jc w:val="center"/>
        <w:rPr>
          <w:b/>
          <w:b/>
        </w:rPr>
      </w:pPr>
      <w:r>
        <w:rPr>
          <w:b/>
        </w:rPr>
        <w:t xml:space="preserve">Схема теплоснабжения городского поселения Октябрьское </w:t>
      </w:r>
    </w:p>
    <w:p>
      <w:pPr>
        <w:pStyle w:val="Normal"/>
        <w:ind w:firstLine="709"/>
        <w:jc w:val="center"/>
        <w:rPr>
          <w:b/>
          <w:b/>
        </w:rPr>
      </w:pPr>
      <w:r>
        <w:rPr>
          <w:b/>
        </w:rPr>
        <w:t xml:space="preserve">на период до 2035 года (актуализация на 2025 год) </w:t>
      </w:r>
    </w:p>
    <w:p>
      <w:pPr>
        <w:pStyle w:val="Normal"/>
        <w:jc w:val="center"/>
        <w:rPr>
          <w:b/>
          <w:b/>
          <w:bCs/>
          <w:lang w:eastAsia="ru-RU"/>
        </w:rPr>
      </w:pPr>
      <w:r>
        <w:rPr>
          <w:b/>
          <w:bCs/>
          <w:lang w:eastAsia="ru-RU"/>
        </w:rPr>
        <w:t>Том 1 «Утверждаемая часть»</w:t>
      </w:r>
      <w:bookmarkStart w:id="2" w:name="_Toc160530671"/>
      <w:bookmarkStart w:id="3" w:name="_Toc181366947"/>
      <w:bookmarkStart w:id="4" w:name="_Toc230340921"/>
      <w:bookmarkEnd w:id="4"/>
    </w:p>
    <w:p>
      <w:pPr>
        <w:pStyle w:val="Normal"/>
        <w:rPr>
          <w:b/>
          <w:b/>
          <w:bCs/>
          <w:lang w:eastAsia="ru-RU"/>
        </w:rPr>
      </w:pPr>
      <w:r>
        <w:rPr>
          <w:b/>
          <w:bCs/>
          <w:lang w:eastAsia="ru-RU"/>
        </w:rPr>
      </w:r>
    </w:p>
    <w:p>
      <w:pPr>
        <w:pStyle w:val="Normal"/>
        <w:ind w:firstLine="709"/>
        <w:jc w:val="both"/>
        <w:rPr>
          <w:b/>
          <w:b/>
          <w:bCs/>
          <w:lang w:eastAsia="ru-RU"/>
        </w:rPr>
      </w:pPr>
      <w:r>
        <w:rPr>
          <w:b/>
        </w:rPr>
        <w:t>Р</w:t>
      </w:r>
      <w:bookmarkStart w:id="5" w:name="_Toc23034092"/>
      <w:bookmarkStart w:id="6" w:name="_Toc181366548"/>
      <w:r>
        <w:rPr>
          <w:b/>
        </w:rPr>
        <w:t>аздел 1 «Показатели существующего и перспективного спроса на тепловую энергию (мощность) и теплоноситель в установленных границах территории поселения»</w:t>
      </w:r>
      <w:bookmarkEnd w:id="5"/>
      <w:bookmarkEnd w:id="6"/>
    </w:p>
    <w:p>
      <w:pPr>
        <w:pStyle w:val="Normal"/>
        <w:ind w:firstLine="709"/>
        <w:jc w:val="both"/>
        <w:rPr>
          <w:b/>
          <w:b/>
          <w:bCs/>
          <w:lang w:eastAsia="ru-RU"/>
        </w:rPr>
      </w:pPr>
      <w:r>
        <w:rPr/>
        <w:t>Муниципальное образование городское поселение Октябрьское (далее – городское поселение, поселение) в соответствии с Законом Ханты-Мансийского автономного округа – Югры от 25.11.2004 № 63-оз «О статусе и границах муниципальных образований Ханты-Мансийского автономного округа – Югры» наделено статусом городского поселения.</w:t>
      </w:r>
    </w:p>
    <w:p>
      <w:pPr>
        <w:pStyle w:val="Normal"/>
        <w:ind w:firstLine="709"/>
        <w:jc w:val="both"/>
        <w:rPr/>
      </w:pPr>
      <w:r>
        <w:rPr/>
        <w:t>Городское поселение входит в состав Октябрьского района Ханты-Мансийского автономного округа – Югры Российской Федерации. В состав территории городского поселения входит 3 населенных пункта: село Большой Камень, поселок Кормужиханка, поселок городского типа Октябрьское (административный центр), а также территории, предназначенные для развития его социальной, транспортной и иной инфраструктуры.</w:t>
      </w:r>
    </w:p>
    <w:p>
      <w:pPr>
        <w:pStyle w:val="Normal"/>
        <w:ind w:firstLine="709"/>
        <w:jc w:val="both"/>
        <w:rPr/>
      </w:pPr>
      <w:r>
        <w:rPr/>
        <w:t xml:space="preserve">В соответствии с Генеральным планом городского поселения, утвержденным решением Совета депутатов городского поселения Октябрьское от </w:t>
      </w:r>
      <w:r>
        <w:rPr>
          <w:rFonts w:eastAsia="Calibri" w:cs="" w:cstheme="minorBidi" w:eastAsiaTheme="minorHAnsi"/>
          <w:szCs w:val="22"/>
          <w:lang w:eastAsia="en-US"/>
        </w:rPr>
        <w:t>24</w:t>
      </w:r>
      <w:r>
        <w:rPr/>
        <w:t>.</w:t>
      </w:r>
      <w:r>
        <w:rPr>
          <w:rFonts w:eastAsia="Calibri" w:cs="" w:cstheme="minorBidi" w:eastAsiaTheme="minorHAnsi"/>
          <w:szCs w:val="22"/>
          <w:lang w:eastAsia="en-US"/>
        </w:rPr>
        <w:t>01</w:t>
      </w:r>
      <w:r>
        <w:rPr/>
        <w:t>.20</w:t>
      </w:r>
      <w:r>
        <w:rPr>
          <w:rFonts w:eastAsia="Calibri" w:cs="" w:cstheme="minorBidi" w:eastAsiaTheme="minorHAnsi"/>
          <w:szCs w:val="22"/>
          <w:lang w:eastAsia="en-US"/>
        </w:rPr>
        <w:t>24</w:t>
      </w:r>
      <w:r>
        <w:rPr/>
        <w:t xml:space="preserve"> № 25 на срок до 20</w:t>
      </w:r>
      <w:r>
        <w:rPr>
          <w:rFonts w:eastAsia="Calibri" w:cs="" w:cstheme="minorBidi" w:eastAsiaTheme="minorHAnsi"/>
          <w:szCs w:val="22"/>
          <w:lang w:eastAsia="en-US"/>
        </w:rPr>
        <w:t>44</w:t>
      </w:r>
      <w:r>
        <w:rPr/>
        <w:t xml:space="preserve"> года общая площадь действующего жилищного фонда городского поселения Октябрьское на 20</w:t>
      </w:r>
      <w:r>
        <w:rPr>
          <w:rFonts w:eastAsia="Calibri" w:cs="" w:cstheme="minorBidi" w:eastAsiaTheme="minorHAnsi"/>
          <w:szCs w:val="22"/>
          <w:lang w:eastAsia="en-US"/>
        </w:rPr>
        <w:t>24</w:t>
      </w:r>
      <w:r>
        <w:rPr/>
        <w:t xml:space="preserve"> г. составляла 86,092 тыс. кв. м. При численности населения городского поселения Октябрьское в количестве 3,039 тыс. человек средняя жилищная обеспеченность составила 27 кв. м общей площади жилых помещений на человека. Убыль жилищного фонда в настоящее время превышает новое жилищное строительство. Имеется ветхий и аварийный жилищный фонд.</w:t>
      </w:r>
    </w:p>
    <w:p>
      <w:pPr>
        <w:pStyle w:val="Normal"/>
        <w:ind w:firstLine="709"/>
        <w:jc w:val="both"/>
        <w:rPr/>
      </w:pPr>
      <w:r>
        <w:rPr/>
        <w:t>Функциональная структура теплоснабжения городского поселения Октябрьское представляет собой централизованную и индивидуальную системы теплоснабжения для передачи по тепловым сетям тепловой энергии до потребителя.</w:t>
      </w:r>
    </w:p>
    <w:p>
      <w:pPr>
        <w:pStyle w:val="Normal"/>
        <w:ind w:firstLine="709"/>
        <w:jc w:val="both"/>
        <w:rPr/>
      </w:pPr>
      <w:r>
        <w:rPr/>
        <w:t>Тепловые сети от котельных в городском поселении состоят из 4-х трубной и 3-х трубной  системы для передачи теплоты (теплоносителя) для целей отопления и горячего водоснабжения потребителей.</w:t>
      </w:r>
    </w:p>
    <w:p>
      <w:pPr>
        <w:pStyle w:val="Normal"/>
        <w:ind w:firstLine="709"/>
        <w:jc w:val="both"/>
        <w:rPr/>
      </w:pPr>
      <w:r>
        <w:rPr>
          <w:rFonts w:eastAsia="Calibri" w:cs="Calibri"/>
          <w:szCs w:val="22"/>
          <w:lang w:eastAsia="en-US"/>
        </w:rPr>
        <w:t>Теплоснабжающей организацией на территории поселения является муниципальное предприятие муниципального образования Октябрьский район «</w:t>
      </w:r>
      <w:r>
        <w:rPr>
          <w:rFonts w:eastAsia="Calibri" w:cs="Calibri"/>
          <w:sz w:val="24"/>
          <w:szCs w:val="22"/>
          <w:lang w:eastAsia="en-US" w:bidi="ar-SA"/>
        </w:rPr>
        <w:t>Октябрьские</w:t>
      </w:r>
      <w:r>
        <w:rPr>
          <w:rFonts w:eastAsia="Calibri" w:cs="Calibri"/>
          <w:szCs w:val="22"/>
          <w:lang w:eastAsia="en-US"/>
        </w:rPr>
        <w:t xml:space="preserve"> коммунальные системы» (далее – МП МО Октябрьский район «ОКС»).</w:t>
      </w:r>
    </w:p>
    <w:p>
      <w:pPr>
        <w:pStyle w:val="Normal"/>
        <w:ind w:firstLine="709"/>
        <w:jc w:val="both"/>
        <w:rPr/>
      </w:pPr>
      <w:r>
        <w:rPr/>
        <w:t xml:space="preserve">На территории </w:t>
      </w:r>
      <w:r>
        <w:rPr>
          <w:rFonts w:eastAsia="Calibri" w:cs="Calibri"/>
          <w:szCs w:val="22"/>
          <w:lang w:eastAsia="en-US"/>
        </w:rPr>
        <w:t>поселения</w:t>
      </w:r>
      <w:r>
        <w:rPr/>
        <w:t xml:space="preserve"> теплоснабжение потребителей осуществляется 7 котельными</w:t>
      </w:r>
      <w:r>
        <w:rPr>
          <w:rFonts w:eastAsia="Calibri" w:cs="Calibri"/>
          <w:szCs w:val="22"/>
          <w:lang w:eastAsia="en-US"/>
        </w:rPr>
        <w:t>, находящихся в хозяйственном ведении</w:t>
      </w:r>
      <w:r>
        <w:rPr/>
        <w:t xml:space="preserve"> МП МО Октябрьский район «ОКС». Данная система теплоснабжения, обеспечивает централизованное теплоснабжение населения, а также объектов социальной сферы и административных зданий. В качестве основного топлива на котельных используется природный газ. Существующие тепловые сети – подземные, надземные, в четырехтрубном и трехтрубном исполнении. Подземные тепловые сети проложены в непроходных каналах из различных материалов (кирпич, ж/бетон). Для транспортировки теплоносителя используются стальные изолированные трубопроводы диаметром 32 – 325 мм. Общая протяженность сетей составляет 27,931 км в двухтрубном исполнении. Схема присоединения потребителей тепловой энергии осуществлена по закрытой схеме теплоснабжения.</w:t>
      </w:r>
    </w:p>
    <w:p>
      <w:pPr>
        <w:pStyle w:val="Normal"/>
        <w:ind w:firstLine="709"/>
        <w:jc w:val="both"/>
        <w:rPr/>
      </w:pPr>
      <w:r>
        <w:rPr/>
        <w:t xml:space="preserve">Поставщиком тепла и горячей воды для населения и предприятий поселения является МП МО Октябрьский район «ОКС», выступая для абонентов, подключённых к тепловым сетям их котельных теплоснабжающей организацией. </w:t>
      </w:r>
    </w:p>
    <w:p>
      <w:pPr>
        <w:pStyle w:val="Normal"/>
        <w:ind w:firstLine="709"/>
        <w:jc w:val="both"/>
        <w:rPr/>
      </w:pPr>
      <w:r>
        <w:rPr/>
        <w:t>В системе теплоснабжения поселения производственные котельные, предназначенные для обеспечения технологических процессов промышленных предприятий отсутствуют.</w:t>
      </w:r>
      <w:bookmarkStart w:id="7" w:name="_Toc160516805"/>
      <w:bookmarkStart w:id="8" w:name="_Toc181366549"/>
    </w:p>
    <w:p>
      <w:pPr>
        <w:pStyle w:val="Normal"/>
        <w:ind w:firstLine="709"/>
        <w:jc w:val="both"/>
        <w:rPr>
          <w:b/>
          <w:b/>
        </w:rPr>
      </w:pPr>
      <w:r>
        <w:rPr>
          <w:b/>
        </w:rPr>
        <w:t>1.1.</w:t>
        <w:tab/>
        <w:t>Величины существующей отапливаемой площади строительных фондов и приросты отапливаемой площади строительных фондов по расчетным элементам территориального деления с разделением объектов строительства на многоквартирные дома, индивидуальные жилые дома, общественные здания и производственные здания промышленных предприятий по этапам – на каждый год первого 5-летнего периода и на последующие 5-летние периоды (далее – этапы)</w:t>
      </w:r>
      <w:bookmarkStart w:id="9" w:name="_Hlk34382618"/>
      <w:bookmarkEnd w:id="7"/>
      <w:bookmarkEnd w:id="8"/>
      <w:bookmarkEnd w:id="9"/>
    </w:p>
    <w:p>
      <w:pPr>
        <w:pStyle w:val="Normal"/>
        <w:ind w:firstLine="709"/>
        <w:jc w:val="both"/>
        <w:rPr/>
      </w:pPr>
      <w:r>
        <w:rPr/>
        <w:t xml:space="preserve">Планом развития поселения предусматривается новое жилищное строительство, размещаемое на территориях существующей застройки путем реконструкции и создания новой современной застройки, обеспечивающей комфортные условия проживания. В соответствии с планами развития на территории поселения планируется строительство жилых и общественных зданий, а также индивидуальных жилых домов. </w:t>
      </w:r>
    </w:p>
    <w:p>
      <w:pPr>
        <w:pStyle w:val="Normal"/>
        <w:ind w:firstLine="709"/>
        <w:jc w:val="both"/>
        <w:rPr/>
      </w:pPr>
      <w:r>
        <w:rPr/>
        <w:t xml:space="preserve">В настоящее время строительство жилья на территории поселения представлено преимущественно индивидуальной жилой застройкой. </w:t>
      </w:r>
    </w:p>
    <w:p>
      <w:pPr>
        <w:pStyle w:val="Normal"/>
        <w:ind w:firstLine="709"/>
        <w:jc w:val="both"/>
        <w:rPr/>
      </w:pPr>
      <w:r>
        <w:rPr/>
        <w:t>Для отопления и горячего водоснабжения индивидуальных домов рекомендуется применение индивидуальных двухконтурных котлов, работающих на природном газе и твердом топливе. Выбор индивидуальных источников тепла объясняется тем, что объекты имеют незначительную тепловую нагрузку и находятся на значительном расстоянии друг от друга, что влечет за собой большие потери в тепловых сетях и значительные капвложения по их прокладке.</w:t>
      </w:r>
    </w:p>
    <w:p>
      <w:pPr>
        <w:pStyle w:val="Normal"/>
        <w:ind w:firstLine="709"/>
        <w:jc w:val="both"/>
        <w:rPr/>
      </w:pPr>
      <w:r>
        <w:rPr/>
        <w:t xml:space="preserve">Для теплоснабжения вновь строящихся зданий (группы зданий) с небольшим теплопотреблением и промышленных объектов рекомендуется использовать автономные источники тепла: отдельностоящие и пристроенные блочно-модульные котельные малой мощности. </w:t>
      </w:r>
    </w:p>
    <w:p>
      <w:pPr>
        <w:pStyle w:val="Normal"/>
        <w:ind w:firstLine="709"/>
        <w:jc w:val="both"/>
        <w:rPr/>
      </w:pPr>
      <w:r>
        <w:rPr/>
        <w:t>На основании вышесказанного, можно сделать вывод, что увеличение отапливаемой площади в зонах действия источников централизованного теплоснабжения, не планируется.</w:t>
      </w:r>
      <w:bookmarkStart w:id="10" w:name="_Toc160516806"/>
      <w:bookmarkStart w:id="11" w:name="_Toc181366550"/>
      <w:bookmarkStart w:id="12" w:name="_Hlk343826181"/>
      <w:bookmarkEnd w:id="12"/>
    </w:p>
    <w:p>
      <w:pPr>
        <w:pStyle w:val="Normal"/>
        <w:ind w:firstLine="709"/>
        <w:jc w:val="both"/>
        <w:rPr/>
      </w:pPr>
      <w:r>
        <w:rPr/>
      </w:r>
    </w:p>
    <w:p>
      <w:pPr>
        <w:pStyle w:val="Normal"/>
        <w:ind w:firstLine="709"/>
        <w:jc w:val="both"/>
        <w:rPr>
          <w:b/>
          <w:b/>
        </w:rPr>
      </w:pPr>
      <w:r>
        <w:rPr>
          <w:b/>
        </w:rPr>
        <w:t>1.2. Существующие и перспективные объемы потребления тепловой энергии (мощности) и теплоносителя с разделением по видам теплопотребления в каждом расчетном элементе территориального деления на каждом этапе</w:t>
      </w:r>
      <w:bookmarkEnd w:id="10"/>
      <w:bookmarkEnd w:id="11"/>
    </w:p>
    <w:p>
      <w:pPr>
        <w:pStyle w:val="Normal"/>
        <w:ind w:firstLine="709"/>
        <w:jc w:val="both"/>
        <w:rPr>
          <w:b/>
          <w:b/>
        </w:rPr>
      </w:pPr>
      <w:r>
        <w:rPr/>
        <w:t>В зоне действия существующих источников тепловой энергии прироста объемов потребления тепловой энергии за счет подключения перспективных потребителей не планируется. Проектов строительства новых источников тепловой энергии не выявлено.</w:t>
      </w:r>
    </w:p>
    <w:p>
      <w:pPr>
        <w:pStyle w:val="Normal"/>
        <w:ind w:firstLine="709"/>
        <w:jc w:val="both"/>
        <w:rPr>
          <w:b/>
          <w:b/>
        </w:rPr>
      </w:pPr>
      <w:r>
        <w:rPr>
          <w:lang w:eastAsia="ru-RU"/>
        </w:rPr>
        <w:t xml:space="preserve">За базовый уровень потребления тепла принят уровень потребления тепловой энергии в 2024 году. Базовый уровень потребления тепловой энергии с разделением по источникам теплоснабжения представлен в таблице 1. </w:t>
      </w:r>
    </w:p>
    <w:p>
      <w:pPr>
        <w:pStyle w:val="Normal"/>
        <w:jc w:val="right"/>
        <w:rPr>
          <w:rFonts w:cs="Calibri"/>
          <w:lang w:eastAsia="ru-RU"/>
        </w:rPr>
      </w:pPr>
      <w:bookmarkStart w:id="13" w:name="_Hlk160711485"/>
      <w:bookmarkEnd w:id="2"/>
      <w:bookmarkEnd w:id="3"/>
      <w:bookmarkEnd w:id="13"/>
      <w:r>
        <w:rPr>
          <w:rFonts w:eastAsia="Calibri" w:cs="Calibri"/>
          <w:iCs/>
          <w:szCs w:val="18"/>
          <w:lang w:eastAsia="en-US"/>
        </w:rPr>
        <w:t>Таблица 1 – Базовый уровень потребления</w:t>
      </w:r>
      <w:r>
        <w:rPr>
          <w:rFonts w:cs="Calibri"/>
          <w:lang w:eastAsia="ru-RU"/>
        </w:rPr>
        <w:t xml:space="preserve"> тепловой энергии</w:t>
      </w:r>
    </w:p>
    <w:tbl>
      <w:tblPr>
        <w:tblW w:w="5000" w:type="pct"/>
        <w:jc w:val="left"/>
        <w:tblInd w:w="0" w:type="dxa"/>
        <w:tblCellMar>
          <w:top w:w="0" w:type="dxa"/>
          <w:left w:w="108" w:type="dxa"/>
          <w:bottom w:w="0" w:type="dxa"/>
          <w:right w:w="108" w:type="dxa"/>
        </w:tblCellMar>
        <w:tblLook w:val="04a0" w:noVBand="1" w:noHBand="0" w:lastColumn="0" w:firstColumn="1" w:lastRow="0" w:firstRow="1"/>
      </w:tblPr>
      <w:tblGrid>
        <w:gridCol w:w="900"/>
        <w:gridCol w:w="3699"/>
        <w:gridCol w:w="2614"/>
        <w:gridCol w:w="2424"/>
      </w:tblGrid>
      <w:tr>
        <w:trPr>
          <w:tblHeader w:val="true"/>
        </w:trPr>
        <w:tc>
          <w:tcPr>
            <w:tcW w:w="9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xml:space="preserve">№ </w:t>
            </w:r>
          </w:p>
          <w:p>
            <w:pPr>
              <w:pStyle w:val="Normal"/>
              <w:jc w:val="center"/>
              <w:rPr>
                <w:sz w:val="20"/>
                <w:szCs w:val="20"/>
                <w:lang w:eastAsia="ru-RU"/>
              </w:rPr>
            </w:pPr>
            <w:r>
              <w:rPr>
                <w:sz w:val="20"/>
                <w:szCs w:val="20"/>
                <w:lang w:eastAsia="ru-RU"/>
              </w:rPr>
              <w:t xml:space="preserve">п/п </w:t>
            </w:r>
          </w:p>
        </w:tc>
        <w:tc>
          <w:tcPr>
            <w:tcW w:w="369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Наименование и адрес котельной</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Потребление тепловой энергии за отопительный период, Гкал/год</w:t>
            </w:r>
          </w:p>
        </w:tc>
        <w:tc>
          <w:tcPr>
            <w:tcW w:w="242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Потребление тепловой энергии за год, Гкал/год</w:t>
            </w:r>
          </w:p>
        </w:tc>
      </w:tr>
      <w:tr>
        <w:trPr/>
        <w:tc>
          <w:tcPr>
            <w:tcW w:w="9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r>
          </w:p>
        </w:tc>
        <w:tc>
          <w:tcPr>
            <w:tcW w:w="8737"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городское поселение Октябрьское</w:t>
            </w:r>
          </w:p>
        </w:tc>
      </w:tr>
      <w:tr>
        <w:trPr/>
        <w:tc>
          <w:tcPr>
            <w:tcW w:w="9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w:t>
            </w:r>
          </w:p>
        </w:tc>
        <w:tc>
          <w:tcPr>
            <w:tcW w:w="369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котельная № 1, пгт.Октябрьское, ул.Сенькина, 46б</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nos" w:hAnsi="Tinos" w:cs="Tinos"/>
                <w:color w:val="000000"/>
              </w:rPr>
            </w:pPr>
            <w:r>
              <w:rPr>
                <w:sz w:val="20"/>
                <w:szCs w:val="20"/>
                <w:lang w:eastAsia="ru-RU"/>
              </w:rPr>
              <w:t>4,27</w:t>
            </w:r>
          </w:p>
        </w:tc>
        <w:tc>
          <w:tcPr>
            <w:tcW w:w="242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nos" w:hAnsi="Tinos" w:cs="Tinos"/>
                <w:color w:val="000000"/>
              </w:rPr>
            </w:pPr>
            <w:r>
              <w:rPr>
                <w:bCs/>
                <w:sz w:val="20"/>
                <w:szCs w:val="20"/>
              </w:rPr>
              <w:t>10 568,33</w:t>
            </w:r>
          </w:p>
        </w:tc>
      </w:tr>
      <w:tr>
        <w:trPr/>
        <w:tc>
          <w:tcPr>
            <w:tcW w:w="9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2</w:t>
            </w:r>
          </w:p>
        </w:tc>
        <w:tc>
          <w:tcPr>
            <w:tcW w:w="369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котельная № 2, пгт.Октябрьское, ул.Пионерская, 17б</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nos" w:hAnsi="Tinos" w:cs="Tinos"/>
                <w:color w:val="000000"/>
              </w:rPr>
            </w:pPr>
            <w:r>
              <w:rPr>
                <w:sz w:val="20"/>
                <w:szCs w:val="20"/>
                <w:lang w:eastAsia="ru-RU"/>
              </w:rPr>
              <w:t>1,12</w:t>
            </w:r>
          </w:p>
        </w:tc>
        <w:tc>
          <w:tcPr>
            <w:tcW w:w="242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nos" w:hAnsi="Tinos" w:cs="Tinos"/>
                <w:color w:val="000000"/>
              </w:rPr>
            </w:pPr>
            <w:r>
              <w:rPr>
                <w:bCs/>
                <w:sz w:val="20"/>
                <w:szCs w:val="20"/>
              </w:rPr>
              <w:t>2 785,318</w:t>
            </w:r>
          </w:p>
        </w:tc>
      </w:tr>
      <w:tr>
        <w:trPr/>
        <w:tc>
          <w:tcPr>
            <w:tcW w:w="9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3</w:t>
            </w:r>
          </w:p>
        </w:tc>
        <w:tc>
          <w:tcPr>
            <w:tcW w:w="369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котельная № 3, пгт.Октябрьское, ул.Чапаева, 6б</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nos" w:hAnsi="Tinos" w:cs="Tinos"/>
                <w:color w:val="000000"/>
              </w:rPr>
            </w:pPr>
            <w:r>
              <w:rPr>
                <w:sz w:val="20"/>
                <w:szCs w:val="20"/>
                <w:lang w:eastAsia="ru-RU"/>
              </w:rPr>
              <w:t>0,50</w:t>
            </w:r>
          </w:p>
        </w:tc>
        <w:tc>
          <w:tcPr>
            <w:tcW w:w="242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nos" w:hAnsi="Tinos" w:cs="Tinos"/>
                <w:color w:val="000000"/>
              </w:rPr>
            </w:pPr>
            <w:r>
              <w:rPr>
                <w:bCs/>
                <w:sz w:val="20"/>
                <w:szCs w:val="20"/>
              </w:rPr>
              <w:t>1 242,094</w:t>
            </w:r>
          </w:p>
        </w:tc>
      </w:tr>
      <w:tr>
        <w:trPr/>
        <w:tc>
          <w:tcPr>
            <w:tcW w:w="9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4</w:t>
            </w:r>
          </w:p>
        </w:tc>
        <w:tc>
          <w:tcPr>
            <w:tcW w:w="369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котельная № 6, пгт.Октябрьское, ул.Дзержинского, 2б</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nos" w:hAnsi="Tinos" w:cs="Tinos"/>
                <w:color w:val="000000"/>
              </w:rPr>
            </w:pPr>
            <w:r>
              <w:rPr>
                <w:sz w:val="20"/>
                <w:szCs w:val="20"/>
                <w:lang w:eastAsia="ru-RU"/>
              </w:rPr>
              <w:t>0,33</w:t>
            </w:r>
          </w:p>
        </w:tc>
        <w:tc>
          <w:tcPr>
            <w:tcW w:w="242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nos" w:hAnsi="Tinos" w:cs="Tinos"/>
                <w:color w:val="000000"/>
              </w:rPr>
            </w:pPr>
            <w:r>
              <w:rPr>
                <w:bCs/>
                <w:sz w:val="20"/>
                <w:szCs w:val="20"/>
              </w:rPr>
              <w:t>808,304</w:t>
            </w:r>
          </w:p>
        </w:tc>
      </w:tr>
      <w:tr>
        <w:trPr/>
        <w:tc>
          <w:tcPr>
            <w:tcW w:w="9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5</w:t>
            </w:r>
          </w:p>
        </w:tc>
        <w:tc>
          <w:tcPr>
            <w:tcW w:w="369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котельная № 7,пгт.Октябрьское, ул.Медицинская, 3Б</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nos" w:hAnsi="Tinos" w:cs="Tinos"/>
                <w:color w:val="000000"/>
              </w:rPr>
            </w:pPr>
            <w:r>
              <w:rPr>
                <w:sz w:val="20"/>
                <w:szCs w:val="20"/>
                <w:lang w:eastAsia="ru-RU"/>
              </w:rPr>
              <w:t>0,102</w:t>
            </w:r>
          </w:p>
        </w:tc>
        <w:tc>
          <w:tcPr>
            <w:tcW w:w="242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nos" w:hAnsi="Tinos" w:cs="Tinos"/>
                <w:color w:val="000000"/>
              </w:rPr>
            </w:pPr>
            <w:r>
              <w:rPr>
                <w:bCs/>
                <w:sz w:val="20"/>
                <w:szCs w:val="20"/>
              </w:rPr>
              <w:t>253,680</w:t>
            </w:r>
          </w:p>
        </w:tc>
      </w:tr>
      <w:tr>
        <w:trPr/>
        <w:tc>
          <w:tcPr>
            <w:tcW w:w="9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6</w:t>
            </w:r>
          </w:p>
        </w:tc>
        <w:tc>
          <w:tcPr>
            <w:tcW w:w="369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котельная № 12, пгт.Октябрьское, ул.Медицинская, 3к</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nos" w:hAnsi="Tinos" w:cs="Tinos"/>
                <w:color w:val="000000"/>
              </w:rPr>
            </w:pPr>
            <w:r>
              <w:rPr>
                <w:sz w:val="20"/>
                <w:szCs w:val="20"/>
                <w:lang w:eastAsia="ru-RU"/>
              </w:rPr>
              <w:t>2,50</w:t>
            </w:r>
          </w:p>
        </w:tc>
        <w:tc>
          <w:tcPr>
            <w:tcW w:w="242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nos" w:hAnsi="Tinos" w:cs="Tinos"/>
                <w:color w:val="000000"/>
              </w:rPr>
            </w:pPr>
            <w:r>
              <w:rPr>
                <w:bCs/>
                <w:sz w:val="20"/>
                <w:szCs w:val="20"/>
              </w:rPr>
              <w:t>6 184,17</w:t>
            </w:r>
          </w:p>
        </w:tc>
      </w:tr>
      <w:tr>
        <w:trPr/>
        <w:tc>
          <w:tcPr>
            <w:tcW w:w="9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7</w:t>
            </w:r>
          </w:p>
        </w:tc>
        <w:tc>
          <w:tcPr>
            <w:tcW w:w="369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xml:space="preserve">котельная № 8, пгт.Октябрьское, </w:t>
            </w:r>
          </w:p>
          <w:p>
            <w:pPr>
              <w:pStyle w:val="Normal"/>
              <w:jc w:val="center"/>
              <w:rPr>
                <w:sz w:val="20"/>
                <w:szCs w:val="20"/>
                <w:lang w:eastAsia="ru-RU"/>
              </w:rPr>
            </w:pPr>
            <w:r>
              <w:rPr>
                <w:sz w:val="20"/>
                <w:szCs w:val="20"/>
                <w:lang w:eastAsia="ru-RU"/>
              </w:rPr>
              <w:t>ул.50 лет, 38А</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nos" w:hAnsi="Tinos" w:cs="Tinos"/>
                <w:color w:val="000000"/>
              </w:rPr>
            </w:pPr>
            <w:r>
              <w:rPr>
                <w:sz w:val="20"/>
                <w:szCs w:val="20"/>
                <w:lang w:eastAsia="ru-RU"/>
              </w:rPr>
              <w:t>0,07</w:t>
            </w:r>
          </w:p>
        </w:tc>
        <w:tc>
          <w:tcPr>
            <w:tcW w:w="242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nos" w:hAnsi="Tinos" w:cs="Tinos"/>
                <w:color w:val="000000"/>
              </w:rPr>
            </w:pPr>
            <w:r>
              <w:rPr>
                <w:bCs/>
                <w:sz w:val="20"/>
                <w:szCs w:val="20"/>
              </w:rPr>
              <w:t>179,096</w:t>
            </w:r>
          </w:p>
        </w:tc>
      </w:tr>
    </w:tbl>
    <w:p>
      <w:pPr>
        <w:pStyle w:val="Normal"/>
        <w:jc w:val="right"/>
        <w:rPr>
          <w:rFonts w:cs="Calibri"/>
          <w:lang w:eastAsia="ru-RU"/>
        </w:rPr>
      </w:pPr>
      <w:r>
        <w:rPr>
          <w:rFonts w:cs="Calibri"/>
          <w:lang w:eastAsia="ru-RU"/>
        </w:rPr>
      </w:r>
    </w:p>
    <w:p>
      <w:pPr>
        <w:pStyle w:val="Normal"/>
        <w:jc w:val="right"/>
        <w:rPr>
          <w:rFonts w:eastAsia="Calibri" w:cs="Calibri"/>
          <w:iCs/>
          <w:szCs w:val="18"/>
          <w:lang w:eastAsia="en-US"/>
        </w:rPr>
      </w:pPr>
      <w:r>
        <w:rPr>
          <w:rFonts w:cs="Calibri"/>
          <w:lang w:eastAsia="ru-RU"/>
        </w:rPr>
        <w:t xml:space="preserve"> </w:t>
      </w:r>
    </w:p>
    <w:p>
      <w:pPr>
        <w:pStyle w:val="Normal"/>
        <w:ind w:firstLine="709"/>
        <w:jc w:val="both"/>
        <w:rPr>
          <w:rFonts w:eastAsia="Calibri" w:cs="Calibri"/>
          <w:szCs w:val="22"/>
          <w:lang w:eastAsia="en-US"/>
        </w:rPr>
      </w:pPr>
      <w:r>
        <w:rPr>
          <w:rFonts w:eastAsia="Calibri" w:cs="Calibri"/>
          <w:szCs w:val="22"/>
          <w:lang w:eastAsia="en-US"/>
        </w:rPr>
      </w:r>
    </w:p>
    <w:p>
      <w:pPr>
        <w:pStyle w:val="A2"/>
        <w:ind w:firstLine="709"/>
        <w:rPr>
          <w:rFonts w:ascii="Tinos" w:hAnsi="Tinos" w:cs="Tinos"/>
          <w:color w:val="000000"/>
        </w:rPr>
      </w:pPr>
      <w:r>
        <w:rPr/>
        <w:t>Прирост объемов потребления тепловой энергии (мощности) и теплоносителя с разделением по видам теплопотребления по сельскому поселению на протяжении рассматриваемого периода не прогнозируется.</w:t>
      </w:r>
      <w:bookmarkStart w:id="14" w:name="_Hlk160530554"/>
      <w:bookmarkEnd w:id="14"/>
    </w:p>
    <w:p>
      <w:pPr>
        <w:pStyle w:val="A2"/>
        <w:ind w:firstLine="709"/>
        <w:rPr/>
      </w:pPr>
      <w:r>
        <w:rPr/>
        <w:t>Существующая и перспективная тепловая нагрузка источников централизованного теплоснабжения приведена в таблице 2. Перспективная тепловая нагрузка источников теплоснабжения была рассчитана с учетом планов по реконструкции системы теплоснабжения, рассмотренных в Разделах 5, 6 и 7 настоящей Схемы.</w:t>
      </w:r>
    </w:p>
    <w:p>
      <w:pPr>
        <w:pStyle w:val="A2"/>
        <w:ind w:firstLine="709"/>
        <w:jc w:val="right"/>
        <w:rPr>
          <w:rFonts w:ascii="Tinos" w:hAnsi="Tinos" w:cs="Tinos"/>
          <w:color w:val="000000"/>
        </w:rPr>
      </w:pPr>
      <w:r>
        <w:rPr/>
        <w:t>Таблица 2 – Перспективная нагрузка системы теплоснабжения, Гкал/час</w:t>
      </w:r>
    </w:p>
    <w:tbl>
      <w:tblPr>
        <w:tblW w:w="4900" w:type="pct"/>
        <w:jc w:val="left"/>
        <w:tblInd w:w="108" w:type="dxa"/>
        <w:tblCellMar>
          <w:top w:w="0" w:type="dxa"/>
          <w:left w:w="108" w:type="dxa"/>
          <w:bottom w:w="0" w:type="dxa"/>
          <w:right w:w="108" w:type="dxa"/>
        </w:tblCellMar>
        <w:tblLook w:val="04a0" w:noVBand="1" w:noHBand="0" w:lastColumn="0" w:firstColumn="1" w:lastRow="0" w:firstRow="1"/>
      </w:tblPr>
      <w:tblGrid>
        <w:gridCol w:w="471"/>
        <w:gridCol w:w="2749"/>
        <w:gridCol w:w="716"/>
        <w:gridCol w:w="693"/>
        <w:gridCol w:w="765"/>
        <w:gridCol w:w="951"/>
        <w:gridCol w:w="748"/>
        <w:gridCol w:w="748"/>
        <w:gridCol w:w="802"/>
        <w:gridCol w:w="801"/>
      </w:tblGrid>
      <w:tr>
        <w:trPr>
          <w:tblHeader w:val="true"/>
          <w:cantSplit w:val="true"/>
        </w:trPr>
        <w:tc>
          <w:tcPr>
            <w:tcW w:w="47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rPr>
              <w:t xml:space="preserve">№ </w:t>
            </w:r>
            <w:r>
              <w:rPr>
                <w:sz w:val="20"/>
                <w:szCs w:val="20"/>
              </w:rPr>
              <w:t>п/п</w:t>
            </w:r>
          </w:p>
        </w:tc>
        <w:tc>
          <w:tcPr>
            <w:tcW w:w="27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rPr>
              <w:t>котельная</w:t>
            </w:r>
          </w:p>
        </w:tc>
        <w:tc>
          <w:tcPr>
            <w:tcW w:w="7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iCs/>
                <w:sz w:val="20"/>
                <w:szCs w:val="20"/>
              </w:rPr>
            </w:pPr>
            <w:r>
              <w:rPr>
                <w:iCs/>
                <w:sz w:val="20"/>
                <w:szCs w:val="20"/>
              </w:rPr>
              <w:t>2023 год</w:t>
            </w:r>
          </w:p>
        </w:tc>
        <w:tc>
          <w:tcPr>
            <w:tcW w:w="69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iCs/>
                <w:sz w:val="20"/>
                <w:szCs w:val="20"/>
              </w:rPr>
            </w:pPr>
            <w:r>
              <w:rPr>
                <w:iCs/>
                <w:sz w:val="20"/>
                <w:szCs w:val="20"/>
              </w:rPr>
              <w:t>2024 год</w:t>
            </w:r>
          </w:p>
        </w:tc>
        <w:tc>
          <w:tcPr>
            <w:tcW w:w="76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iCs/>
                <w:sz w:val="20"/>
                <w:szCs w:val="20"/>
              </w:rPr>
            </w:pPr>
            <w:r>
              <w:rPr>
                <w:iCs/>
                <w:sz w:val="20"/>
                <w:szCs w:val="20"/>
              </w:rPr>
              <w:t>2025 год</w:t>
            </w:r>
          </w:p>
        </w:tc>
        <w:tc>
          <w:tcPr>
            <w:tcW w:w="951" w:type="dxa"/>
            <w:tcBorders>
              <w:top w:val="single" w:sz="8" w:space="0" w:color="000000"/>
              <w:left w:val="single" w:sz="8" w:space="0" w:color="000000"/>
              <w:bottom w:val="single" w:sz="4" w:space="0" w:color="000000"/>
              <w:right w:val="single" w:sz="4" w:space="0" w:color="000000"/>
            </w:tcBorders>
            <w:shd w:color="auto" w:fill="auto" w:val="clear"/>
            <w:vAlign w:val="center"/>
          </w:tcPr>
          <w:p>
            <w:pPr>
              <w:pStyle w:val="Normal"/>
              <w:jc w:val="center"/>
              <w:rPr>
                <w:iCs/>
                <w:sz w:val="20"/>
                <w:szCs w:val="20"/>
              </w:rPr>
            </w:pPr>
            <w:r>
              <w:rPr>
                <w:iCs/>
                <w:sz w:val="20"/>
                <w:szCs w:val="20"/>
              </w:rPr>
              <w:t>2026 год</w:t>
            </w:r>
          </w:p>
        </w:tc>
        <w:tc>
          <w:tcPr>
            <w:tcW w:w="748" w:type="dxa"/>
            <w:tcBorders>
              <w:top w:val="single" w:sz="8" w:space="0" w:color="000000"/>
              <w:left w:val="single" w:sz="4" w:space="0" w:color="000000"/>
              <w:bottom w:val="single" w:sz="4" w:space="0" w:color="000000"/>
              <w:right w:val="single" w:sz="4" w:space="0" w:color="000000"/>
            </w:tcBorders>
            <w:shd w:color="auto" w:fill="auto" w:val="clear"/>
            <w:vAlign w:val="center"/>
          </w:tcPr>
          <w:p>
            <w:pPr>
              <w:pStyle w:val="Normal"/>
              <w:jc w:val="center"/>
              <w:rPr>
                <w:iCs/>
                <w:sz w:val="20"/>
                <w:szCs w:val="20"/>
              </w:rPr>
            </w:pPr>
            <w:r>
              <w:rPr>
                <w:iCs/>
                <w:sz w:val="20"/>
                <w:szCs w:val="20"/>
              </w:rPr>
              <w:t>2027 год</w:t>
            </w:r>
          </w:p>
        </w:tc>
        <w:tc>
          <w:tcPr>
            <w:tcW w:w="74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iCs/>
                <w:sz w:val="20"/>
                <w:szCs w:val="20"/>
              </w:rPr>
            </w:pPr>
            <w:r>
              <w:rPr>
                <w:iCs/>
                <w:sz w:val="20"/>
                <w:szCs w:val="20"/>
              </w:rPr>
              <w:t>2028 год</w:t>
            </w:r>
          </w:p>
        </w:tc>
        <w:tc>
          <w:tcPr>
            <w:tcW w:w="8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rPr>
              <w:t>2029-2034 год</w:t>
            </w:r>
          </w:p>
        </w:tc>
        <w:tc>
          <w:tcPr>
            <w:tcW w:w="8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iCs/>
                <w:sz w:val="20"/>
                <w:szCs w:val="20"/>
              </w:rPr>
            </w:pPr>
            <w:r>
              <w:rPr>
                <w:sz w:val="20"/>
                <w:szCs w:val="20"/>
              </w:rPr>
              <w:t xml:space="preserve">2035 – 2040 </w:t>
            </w:r>
            <w:r>
              <w:rPr>
                <w:iCs/>
                <w:sz w:val="20"/>
                <w:szCs w:val="20"/>
              </w:rPr>
              <w:t>годы</w:t>
            </w:r>
          </w:p>
        </w:tc>
      </w:tr>
      <w:tr>
        <w:trPr>
          <w:cantSplit w:val="true"/>
        </w:trPr>
        <w:tc>
          <w:tcPr>
            <w:tcW w:w="47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spacing w:before="0" w:after="200"/>
              <w:ind w:left="0" w:hanging="0"/>
              <w:jc w:val="center"/>
              <w:rPr>
                <w:rFonts w:ascii="Times New Roman" w:hAnsi="Times New Roman" w:cs="Times New Roman"/>
                <w:sz w:val="20"/>
                <w:szCs w:val="20"/>
              </w:rPr>
            </w:pPr>
            <w:r>
              <w:rPr>
                <w:rFonts w:cs="Times New Roman" w:ascii="Times New Roman" w:hAnsi="Times New Roman"/>
                <w:sz w:val="20"/>
                <w:szCs w:val="20"/>
                <w:lang w:eastAsia="ru-RU"/>
              </w:rPr>
              <w:t>1</w:t>
            </w:r>
          </w:p>
        </w:tc>
        <w:tc>
          <w:tcPr>
            <w:tcW w:w="27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xml:space="preserve">котельная № 1, </w:t>
            </w:r>
          </w:p>
          <w:p>
            <w:pPr>
              <w:pStyle w:val="Normal"/>
              <w:jc w:val="center"/>
              <w:rPr>
                <w:sz w:val="20"/>
                <w:szCs w:val="20"/>
              </w:rPr>
            </w:pPr>
            <w:r>
              <w:rPr>
                <w:sz w:val="20"/>
                <w:szCs w:val="20"/>
                <w:lang w:eastAsia="ru-RU"/>
              </w:rPr>
              <w:t>пгт.Октябрьское, ул.Сенькина, 46б</w:t>
            </w:r>
          </w:p>
        </w:tc>
        <w:tc>
          <w:tcPr>
            <w:tcW w:w="716" w:type="dxa"/>
            <w:tcBorders>
              <w:bottom w:val="single" w:sz="8" w:space="0" w:color="000000"/>
              <w:right w:val="single" w:sz="8" w:space="0" w:color="000000"/>
            </w:tcBorders>
            <w:shd w:color="auto" w:fill="auto" w:val="clear"/>
            <w:vAlign w:val="center"/>
          </w:tcPr>
          <w:p>
            <w:pPr>
              <w:pStyle w:val="Normal"/>
              <w:jc w:val="center"/>
              <w:rPr>
                <w:color w:val="000000"/>
                <w:sz w:val="20"/>
                <w:szCs w:val="20"/>
              </w:rPr>
            </w:pPr>
            <w:r>
              <w:rPr>
                <w:sz w:val="20"/>
                <w:szCs w:val="20"/>
                <w:lang w:eastAsia="ru-RU"/>
              </w:rPr>
              <w:t>4,27</w:t>
            </w:r>
          </w:p>
        </w:tc>
        <w:tc>
          <w:tcPr>
            <w:tcW w:w="693" w:type="dxa"/>
            <w:tcBorders>
              <w:bottom w:val="single" w:sz="8" w:space="0" w:color="000000"/>
              <w:right w:val="single" w:sz="8" w:space="0" w:color="000000"/>
            </w:tcBorders>
            <w:shd w:color="auto" w:fill="auto" w:val="clear"/>
            <w:vAlign w:val="center"/>
          </w:tcPr>
          <w:p>
            <w:pPr>
              <w:pStyle w:val="Normal"/>
              <w:jc w:val="center"/>
              <w:rPr>
                <w:color w:val="000000"/>
                <w:sz w:val="20"/>
                <w:szCs w:val="20"/>
              </w:rPr>
            </w:pPr>
            <w:r>
              <w:rPr>
                <w:sz w:val="20"/>
                <w:szCs w:val="20"/>
                <w:lang w:eastAsia="ru-RU"/>
              </w:rPr>
              <w:t>4,27</w:t>
            </w:r>
          </w:p>
        </w:tc>
        <w:tc>
          <w:tcPr>
            <w:tcW w:w="765" w:type="dxa"/>
            <w:tcBorders>
              <w:bottom w:val="single" w:sz="8" w:space="0" w:color="000000"/>
              <w:right w:val="single" w:sz="8" w:space="0" w:color="000000"/>
            </w:tcBorders>
            <w:shd w:color="auto" w:fill="auto" w:val="clear"/>
            <w:vAlign w:val="center"/>
          </w:tcPr>
          <w:p>
            <w:pPr>
              <w:pStyle w:val="Normal"/>
              <w:jc w:val="center"/>
              <w:rPr>
                <w:color w:val="000000"/>
                <w:sz w:val="20"/>
                <w:szCs w:val="20"/>
              </w:rPr>
            </w:pPr>
            <w:r>
              <w:rPr>
                <w:sz w:val="20"/>
                <w:szCs w:val="20"/>
                <w:lang w:eastAsia="ru-RU"/>
              </w:rPr>
              <w:t>4,27</w:t>
            </w:r>
          </w:p>
        </w:tc>
        <w:tc>
          <w:tcPr>
            <w:tcW w:w="951" w:type="dxa"/>
            <w:tcBorders>
              <w:bottom w:val="single" w:sz="8" w:space="0" w:color="000000"/>
              <w:right w:val="single" w:sz="8" w:space="0" w:color="000000"/>
            </w:tcBorders>
            <w:shd w:color="auto" w:fill="auto" w:val="clear"/>
            <w:vAlign w:val="center"/>
          </w:tcPr>
          <w:p>
            <w:pPr>
              <w:pStyle w:val="Normal"/>
              <w:jc w:val="center"/>
              <w:rPr>
                <w:color w:val="000000"/>
                <w:sz w:val="20"/>
                <w:szCs w:val="20"/>
              </w:rPr>
            </w:pPr>
            <w:r>
              <w:rPr>
                <w:sz w:val="20"/>
                <w:szCs w:val="20"/>
                <w:lang w:eastAsia="ru-RU"/>
              </w:rPr>
              <w:t>4,27</w:t>
            </w:r>
          </w:p>
        </w:tc>
        <w:tc>
          <w:tcPr>
            <w:tcW w:w="748" w:type="dxa"/>
            <w:tcBorders>
              <w:bottom w:val="single" w:sz="8" w:space="0" w:color="000000"/>
              <w:right w:val="single" w:sz="8" w:space="0" w:color="000000"/>
            </w:tcBorders>
            <w:shd w:color="auto" w:fill="auto" w:val="clear"/>
            <w:vAlign w:val="center"/>
          </w:tcPr>
          <w:p>
            <w:pPr>
              <w:pStyle w:val="Normal"/>
              <w:jc w:val="center"/>
              <w:rPr>
                <w:color w:val="000000"/>
                <w:sz w:val="20"/>
                <w:szCs w:val="20"/>
              </w:rPr>
            </w:pPr>
            <w:r>
              <w:rPr>
                <w:sz w:val="20"/>
                <w:szCs w:val="20"/>
                <w:lang w:eastAsia="ru-RU"/>
              </w:rPr>
              <w:t>4,766</w:t>
            </w:r>
          </w:p>
        </w:tc>
        <w:tc>
          <w:tcPr>
            <w:tcW w:w="748" w:type="dxa"/>
            <w:tcBorders>
              <w:bottom w:val="single" w:sz="8" w:space="0" w:color="000000"/>
              <w:right w:val="single" w:sz="8" w:space="0" w:color="000000"/>
            </w:tcBorders>
            <w:shd w:color="auto" w:fill="auto" w:val="clear"/>
            <w:vAlign w:val="center"/>
          </w:tcPr>
          <w:p>
            <w:pPr>
              <w:pStyle w:val="Normal"/>
              <w:jc w:val="center"/>
              <w:rPr>
                <w:color w:val="000000"/>
                <w:sz w:val="20"/>
                <w:szCs w:val="20"/>
              </w:rPr>
            </w:pPr>
            <w:r>
              <w:rPr>
                <w:sz w:val="20"/>
                <w:szCs w:val="20"/>
                <w:lang w:eastAsia="ru-RU"/>
              </w:rPr>
              <w:t>4,766</w:t>
            </w:r>
          </w:p>
        </w:tc>
        <w:tc>
          <w:tcPr>
            <w:tcW w:w="802" w:type="dxa"/>
            <w:tcBorders>
              <w:bottom w:val="single" w:sz="8" w:space="0" w:color="000000"/>
              <w:right w:val="single" w:sz="8" w:space="0" w:color="000000"/>
            </w:tcBorders>
            <w:shd w:color="auto" w:fill="auto" w:val="clear"/>
            <w:vAlign w:val="center"/>
          </w:tcPr>
          <w:p>
            <w:pPr>
              <w:pStyle w:val="Normal"/>
              <w:jc w:val="center"/>
              <w:rPr>
                <w:color w:val="000000"/>
                <w:sz w:val="20"/>
                <w:szCs w:val="20"/>
              </w:rPr>
            </w:pPr>
            <w:r>
              <w:rPr>
                <w:sz w:val="20"/>
                <w:szCs w:val="20"/>
                <w:lang w:eastAsia="ru-RU"/>
              </w:rPr>
              <w:t>4,766</w:t>
            </w:r>
          </w:p>
        </w:tc>
        <w:tc>
          <w:tcPr>
            <w:tcW w:w="801" w:type="dxa"/>
            <w:tcBorders>
              <w:bottom w:val="single" w:sz="8" w:space="0" w:color="000000"/>
              <w:right w:val="single" w:sz="8" w:space="0" w:color="000000"/>
            </w:tcBorders>
            <w:shd w:color="auto" w:fill="auto" w:val="clear"/>
            <w:vAlign w:val="center"/>
          </w:tcPr>
          <w:p>
            <w:pPr>
              <w:pStyle w:val="Normal"/>
              <w:jc w:val="center"/>
              <w:rPr>
                <w:color w:val="000000"/>
                <w:sz w:val="20"/>
                <w:szCs w:val="20"/>
              </w:rPr>
            </w:pPr>
            <w:r>
              <w:rPr>
                <w:sz w:val="20"/>
                <w:szCs w:val="20"/>
                <w:lang w:eastAsia="ru-RU"/>
              </w:rPr>
              <w:t>4,766</w:t>
            </w:r>
          </w:p>
        </w:tc>
      </w:tr>
      <w:tr>
        <w:trPr>
          <w:cantSplit w:val="true"/>
        </w:trPr>
        <w:tc>
          <w:tcPr>
            <w:tcW w:w="47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spacing w:before="0" w:after="200"/>
              <w:ind w:left="0" w:hanging="0"/>
              <w:jc w:val="center"/>
              <w:rPr>
                <w:rFonts w:ascii="Times New Roman" w:hAnsi="Times New Roman" w:cs="Times New Roman"/>
                <w:sz w:val="20"/>
                <w:szCs w:val="20"/>
                <w:lang w:eastAsia="ru-RU"/>
              </w:rPr>
            </w:pPr>
            <w:r>
              <w:rPr>
                <w:rFonts w:cs="Times New Roman" w:ascii="Times New Roman" w:hAnsi="Times New Roman"/>
                <w:sz w:val="20"/>
                <w:szCs w:val="20"/>
                <w:lang w:eastAsia="ru-RU"/>
              </w:rPr>
              <w:t>2</w:t>
            </w:r>
          </w:p>
        </w:tc>
        <w:tc>
          <w:tcPr>
            <w:tcW w:w="27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xml:space="preserve">котельная № 2, </w:t>
            </w:r>
          </w:p>
          <w:p>
            <w:pPr>
              <w:pStyle w:val="Normal"/>
              <w:jc w:val="center"/>
              <w:rPr>
                <w:sz w:val="20"/>
                <w:szCs w:val="20"/>
                <w:lang w:eastAsia="ru-RU"/>
              </w:rPr>
            </w:pPr>
            <w:r>
              <w:rPr>
                <w:sz w:val="20"/>
                <w:szCs w:val="20"/>
                <w:lang w:eastAsia="ru-RU"/>
              </w:rPr>
              <w:t>пгт.Октябрьское, ул.Пионерская, 17б</w:t>
            </w:r>
          </w:p>
        </w:tc>
        <w:tc>
          <w:tcPr>
            <w:tcW w:w="716" w:type="dxa"/>
            <w:tcBorders>
              <w:bottom w:val="single" w:sz="8" w:space="0" w:color="000000"/>
              <w:right w:val="single" w:sz="8" w:space="0" w:color="000000"/>
            </w:tcBorders>
            <w:shd w:color="auto" w:fill="auto" w:val="clear"/>
            <w:vAlign w:val="center"/>
          </w:tcPr>
          <w:p>
            <w:pPr>
              <w:pStyle w:val="Normal"/>
              <w:jc w:val="center"/>
              <w:rPr>
                <w:color w:val="000000"/>
                <w:sz w:val="20"/>
                <w:szCs w:val="20"/>
              </w:rPr>
            </w:pPr>
            <w:r>
              <w:rPr>
                <w:sz w:val="20"/>
                <w:szCs w:val="20"/>
                <w:lang w:eastAsia="ru-RU"/>
              </w:rPr>
              <w:t>1,12</w:t>
            </w:r>
          </w:p>
        </w:tc>
        <w:tc>
          <w:tcPr>
            <w:tcW w:w="693" w:type="dxa"/>
            <w:tcBorders>
              <w:bottom w:val="single" w:sz="8" w:space="0" w:color="000000"/>
              <w:right w:val="single" w:sz="8" w:space="0" w:color="000000"/>
            </w:tcBorders>
            <w:shd w:color="auto" w:fill="auto" w:val="clear"/>
            <w:vAlign w:val="center"/>
          </w:tcPr>
          <w:p>
            <w:pPr>
              <w:pStyle w:val="Normal"/>
              <w:jc w:val="center"/>
              <w:rPr>
                <w:color w:val="000000"/>
                <w:sz w:val="20"/>
                <w:szCs w:val="20"/>
              </w:rPr>
            </w:pPr>
            <w:r>
              <w:rPr>
                <w:sz w:val="20"/>
                <w:szCs w:val="20"/>
                <w:lang w:eastAsia="ru-RU"/>
              </w:rPr>
              <w:t>1,12</w:t>
            </w:r>
          </w:p>
        </w:tc>
        <w:tc>
          <w:tcPr>
            <w:tcW w:w="765" w:type="dxa"/>
            <w:tcBorders>
              <w:bottom w:val="single" w:sz="8" w:space="0" w:color="000000"/>
              <w:right w:val="single" w:sz="8" w:space="0" w:color="000000"/>
            </w:tcBorders>
            <w:shd w:color="auto" w:fill="auto" w:val="clear"/>
            <w:vAlign w:val="center"/>
          </w:tcPr>
          <w:p>
            <w:pPr>
              <w:pStyle w:val="Normal"/>
              <w:jc w:val="center"/>
              <w:rPr>
                <w:color w:val="000000"/>
                <w:sz w:val="20"/>
                <w:szCs w:val="20"/>
              </w:rPr>
            </w:pPr>
            <w:r>
              <w:rPr>
                <w:sz w:val="20"/>
                <w:szCs w:val="20"/>
                <w:lang w:eastAsia="ru-RU"/>
              </w:rPr>
              <w:t>1,12</w:t>
            </w:r>
          </w:p>
        </w:tc>
        <w:tc>
          <w:tcPr>
            <w:tcW w:w="951" w:type="dxa"/>
            <w:tcBorders>
              <w:bottom w:val="single" w:sz="8" w:space="0" w:color="000000"/>
              <w:right w:val="single" w:sz="8" w:space="0" w:color="000000"/>
            </w:tcBorders>
            <w:shd w:color="auto" w:fill="auto" w:val="clear"/>
            <w:vAlign w:val="center"/>
          </w:tcPr>
          <w:p>
            <w:pPr>
              <w:pStyle w:val="Normal"/>
              <w:jc w:val="center"/>
              <w:rPr>
                <w:color w:val="000000"/>
                <w:sz w:val="20"/>
                <w:szCs w:val="20"/>
              </w:rPr>
            </w:pPr>
            <w:r>
              <w:rPr>
                <w:sz w:val="20"/>
                <w:szCs w:val="20"/>
                <w:lang w:eastAsia="ru-RU"/>
              </w:rPr>
              <w:t>1,12</w:t>
            </w:r>
          </w:p>
        </w:tc>
        <w:tc>
          <w:tcPr>
            <w:tcW w:w="748" w:type="dxa"/>
            <w:tcBorders>
              <w:bottom w:val="single" w:sz="8" w:space="0" w:color="000000"/>
              <w:right w:val="single" w:sz="8" w:space="0" w:color="000000"/>
            </w:tcBorders>
            <w:shd w:color="auto" w:fill="auto" w:val="clear"/>
            <w:vAlign w:val="center"/>
          </w:tcPr>
          <w:p>
            <w:pPr>
              <w:pStyle w:val="Normal"/>
              <w:jc w:val="center"/>
              <w:rPr>
                <w:color w:val="000000"/>
                <w:sz w:val="20"/>
                <w:szCs w:val="20"/>
              </w:rPr>
            </w:pPr>
            <w:r>
              <w:rPr>
                <w:sz w:val="20"/>
                <w:szCs w:val="20"/>
                <w:lang w:eastAsia="ru-RU"/>
              </w:rPr>
              <w:t>-</w:t>
            </w:r>
          </w:p>
        </w:tc>
        <w:tc>
          <w:tcPr>
            <w:tcW w:w="748" w:type="dxa"/>
            <w:tcBorders>
              <w:bottom w:val="single" w:sz="8" w:space="0" w:color="000000"/>
              <w:right w:val="single" w:sz="8" w:space="0" w:color="000000"/>
            </w:tcBorders>
            <w:shd w:color="auto" w:fill="auto" w:val="clear"/>
            <w:vAlign w:val="center"/>
          </w:tcPr>
          <w:p>
            <w:pPr>
              <w:pStyle w:val="Normal"/>
              <w:jc w:val="center"/>
              <w:rPr>
                <w:color w:val="000000"/>
                <w:sz w:val="20"/>
                <w:szCs w:val="20"/>
              </w:rPr>
            </w:pPr>
            <w:r>
              <w:rPr>
                <w:sz w:val="20"/>
                <w:szCs w:val="20"/>
                <w:lang w:eastAsia="ru-RU"/>
              </w:rPr>
              <w:t>-</w:t>
            </w:r>
          </w:p>
        </w:tc>
        <w:tc>
          <w:tcPr>
            <w:tcW w:w="802" w:type="dxa"/>
            <w:tcBorders>
              <w:bottom w:val="single" w:sz="8" w:space="0" w:color="000000"/>
              <w:right w:val="single" w:sz="8" w:space="0" w:color="000000"/>
            </w:tcBorders>
            <w:shd w:color="auto" w:fill="auto" w:val="clear"/>
            <w:vAlign w:val="center"/>
          </w:tcPr>
          <w:p>
            <w:pPr>
              <w:pStyle w:val="Normal"/>
              <w:jc w:val="center"/>
              <w:rPr>
                <w:color w:val="000000"/>
                <w:sz w:val="20"/>
                <w:szCs w:val="20"/>
              </w:rPr>
            </w:pPr>
            <w:r>
              <w:rPr>
                <w:sz w:val="20"/>
                <w:szCs w:val="20"/>
                <w:lang w:eastAsia="ru-RU"/>
              </w:rPr>
              <w:t>-</w:t>
            </w:r>
          </w:p>
        </w:tc>
        <w:tc>
          <w:tcPr>
            <w:tcW w:w="801" w:type="dxa"/>
            <w:tcBorders>
              <w:bottom w:val="single" w:sz="8" w:space="0" w:color="000000"/>
              <w:right w:val="single" w:sz="8" w:space="0" w:color="000000"/>
            </w:tcBorders>
            <w:shd w:color="auto" w:fill="auto" w:val="clear"/>
            <w:vAlign w:val="center"/>
          </w:tcPr>
          <w:p>
            <w:pPr>
              <w:pStyle w:val="Normal"/>
              <w:jc w:val="center"/>
              <w:rPr>
                <w:color w:val="000000"/>
                <w:sz w:val="20"/>
                <w:szCs w:val="20"/>
              </w:rPr>
            </w:pPr>
            <w:r>
              <w:rPr>
                <w:sz w:val="20"/>
                <w:szCs w:val="20"/>
                <w:lang w:eastAsia="ru-RU"/>
              </w:rPr>
              <w:t>-</w:t>
            </w:r>
          </w:p>
        </w:tc>
      </w:tr>
      <w:tr>
        <w:trPr>
          <w:cantSplit w:val="true"/>
        </w:trPr>
        <w:tc>
          <w:tcPr>
            <w:tcW w:w="47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spacing w:before="0" w:after="200"/>
              <w:ind w:left="0" w:hanging="0"/>
              <w:jc w:val="center"/>
              <w:rPr>
                <w:rFonts w:ascii="Times New Roman" w:hAnsi="Times New Roman" w:cs="Times New Roman"/>
                <w:sz w:val="20"/>
                <w:szCs w:val="20"/>
                <w:lang w:eastAsia="ru-RU"/>
              </w:rPr>
            </w:pPr>
            <w:r>
              <w:rPr>
                <w:rFonts w:cs="Times New Roman" w:ascii="Times New Roman" w:hAnsi="Times New Roman"/>
                <w:sz w:val="20"/>
                <w:szCs w:val="20"/>
                <w:lang w:eastAsia="ru-RU"/>
              </w:rPr>
              <w:t>3</w:t>
            </w:r>
          </w:p>
        </w:tc>
        <w:tc>
          <w:tcPr>
            <w:tcW w:w="27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xml:space="preserve">котельная № 3, </w:t>
            </w:r>
          </w:p>
          <w:p>
            <w:pPr>
              <w:pStyle w:val="Normal"/>
              <w:jc w:val="center"/>
              <w:rPr>
                <w:sz w:val="20"/>
                <w:szCs w:val="20"/>
                <w:lang w:eastAsia="ru-RU"/>
              </w:rPr>
            </w:pPr>
            <w:r>
              <w:rPr>
                <w:sz w:val="20"/>
                <w:szCs w:val="20"/>
                <w:lang w:eastAsia="ru-RU"/>
              </w:rPr>
              <w:t>пгт.Октябрьское, ул.Чапаева, 6б</w:t>
            </w:r>
          </w:p>
        </w:tc>
        <w:tc>
          <w:tcPr>
            <w:tcW w:w="716" w:type="dxa"/>
            <w:tcBorders>
              <w:bottom w:val="single" w:sz="8" w:space="0" w:color="000000"/>
              <w:right w:val="single" w:sz="8" w:space="0" w:color="000000"/>
            </w:tcBorders>
            <w:shd w:color="auto" w:fill="auto" w:val="clear"/>
            <w:vAlign w:val="center"/>
          </w:tcPr>
          <w:p>
            <w:pPr>
              <w:pStyle w:val="Normal"/>
              <w:jc w:val="center"/>
              <w:rPr>
                <w:color w:val="000000"/>
                <w:sz w:val="20"/>
                <w:szCs w:val="20"/>
              </w:rPr>
            </w:pPr>
            <w:r>
              <w:rPr>
                <w:sz w:val="20"/>
                <w:szCs w:val="20"/>
                <w:lang w:eastAsia="ru-RU"/>
              </w:rPr>
              <w:t>0,50</w:t>
            </w:r>
          </w:p>
        </w:tc>
        <w:tc>
          <w:tcPr>
            <w:tcW w:w="693" w:type="dxa"/>
            <w:tcBorders>
              <w:bottom w:val="single" w:sz="8" w:space="0" w:color="000000"/>
              <w:right w:val="single" w:sz="8" w:space="0" w:color="000000"/>
            </w:tcBorders>
            <w:shd w:color="auto" w:fill="auto" w:val="clear"/>
            <w:vAlign w:val="center"/>
          </w:tcPr>
          <w:p>
            <w:pPr>
              <w:pStyle w:val="Normal"/>
              <w:jc w:val="center"/>
              <w:rPr>
                <w:color w:val="000000"/>
                <w:sz w:val="20"/>
                <w:szCs w:val="20"/>
              </w:rPr>
            </w:pPr>
            <w:r>
              <w:rPr>
                <w:sz w:val="20"/>
                <w:szCs w:val="20"/>
                <w:lang w:eastAsia="ru-RU"/>
              </w:rPr>
              <w:t>0,50</w:t>
            </w:r>
          </w:p>
        </w:tc>
        <w:tc>
          <w:tcPr>
            <w:tcW w:w="765" w:type="dxa"/>
            <w:tcBorders>
              <w:bottom w:val="single" w:sz="8" w:space="0" w:color="000000"/>
              <w:right w:val="single" w:sz="8" w:space="0" w:color="000000"/>
            </w:tcBorders>
            <w:shd w:color="auto" w:fill="auto" w:val="clear"/>
            <w:vAlign w:val="center"/>
          </w:tcPr>
          <w:p>
            <w:pPr>
              <w:pStyle w:val="Normal"/>
              <w:jc w:val="center"/>
              <w:rPr>
                <w:color w:val="000000"/>
                <w:sz w:val="20"/>
                <w:szCs w:val="20"/>
              </w:rPr>
            </w:pPr>
            <w:r>
              <w:rPr>
                <w:sz w:val="20"/>
                <w:szCs w:val="20"/>
                <w:lang w:eastAsia="ru-RU"/>
              </w:rPr>
              <w:t>0,50</w:t>
            </w:r>
          </w:p>
        </w:tc>
        <w:tc>
          <w:tcPr>
            <w:tcW w:w="951" w:type="dxa"/>
            <w:tcBorders>
              <w:bottom w:val="single" w:sz="8" w:space="0" w:color="000000"/>
              <w:right w:val="single" w:sz="8" w:space="0" w:color="000000"/>
            </w:tcBorders>
            <w:shd w:color="auto" w:fill="auto" w:val="clear"/>
            <w:vAlign w:val="center"/>
          </w:tcPr>
          <w:p>
            <w:pPr>
              <w:pStyle w:val="Normal"/>
              <w:jc w:val="center"/>
              <w:rPr>
                <w:color w:val="000000"/>
                <w:sz w:val="20"/>
                <w:szCs w:val="20"/>
              </w:rPr>
            </w:pPr>
            <w:r>
              <w:rPr>
                <w:sz w:val="20"/>
                <w:szCs w:val="20"/>
                <w:lang w:eastAsia="ru-RU"/>
              </w:rPr>
              <w:t>0,50</w:t>
            </w:r>
          </w:p>
        </w:tc>
        <w:tc>
          <w:tcPr>
            <w:tcW w:w="748" w:type="dxa"/>
            <w:tcBorders>
              <w:bottom w:val="single" w:sz="8" w:space="0" w:color="000000"/>
              <w:right w:val="single" w:sz="8" w:space="0" w:color="000000"/>
            </w:tcBorders>
            <w:shd w:color="auto" w:fill="auto" w:val="clear"/>
            <w:vAlign w:val="center"/>
          </w:tcPr>
          <w:p>
            <w:pPr>
              <w:pStyle w:val="Normal"/>
              <w:jc w:val="center"/>
              <w:rPr>
                <w:color w:val="000000"/>
                <w:sz w:val="20"/>
                <w:szCs w:val="20"/>
              </w:rPr>
            </w:pPr>
            <w:r>
              <w:rPr>
                <w:sz w:val="20"/>
                <w:szCs w:val="20"/>
                <w:lang w:eastAsia="ru-RU"/>
              </w:rPr>
              <w:t>-</w:t>
            </w:r>
          </w:p>
        </w:tc>
        <w:tc>
          <w:tcPr>
            <w:tcW w:w="748" w:type="dxa"/>
            <w:tcBorders>
              <w:bottom w:val="single" w:sz="8" w:space="0" w:color="000000"/>
              <w:right w:val="single" w:sz="8" w:space="0" w:color="000000"/>
            </w:tcBorders>
            <w:shd w:color="auto" w:fill="auto" w:val="clear"/>
            <w:vAlign w:val="center"/>
          </w:tcPr>
          <w:p>
            <w:pPr>
              <w:pStyle w:val="Normal"/>
              <w:jc w:val="center"/>
              <w:rPr>
                <w:color w:val="000000"/>
                <w:sz w:val="20"/>
                <w:szCs w:val="20"/>
              </w:rPr>
            </w:pPr>
            <w:r>
              <w:rPr>
                <w:sz w:val="20"/>
                <w:szCs w:val="20"/>
                <w:lang w:eastAsia="ru-RU"/>
              </w:rPr>
              <w:t>-</w:t>
            </w:r>
          </w:p>
        </w:tc>
        <w:tc>
          <w:tcPr>
            <w:tcW w:w="802" w:type="dxa"/>
            <w:tcBorders>
              <w:bottom w:val="single" w:sz="8" w:space="0" w:color="000000"/>
              <w:right w:val="single" w:sz="8" w:space="0" w:color="000000"/>
            </w:tcBorders>
            <w:shd w:color="auto" w:fill="auto" w:val="clear"/>
            <w:vAlign w:val="center"/>
          </w:tcPr>
          <w:p>
            <w:pPr>
              <w:pStyle w:val="Normal"/>
              <w:jc w:val="center"/>
              <w:rPr>
                <w:color w:val="000000"/>
                <w:sz w:val="20"/>
                <w:szCs w:val="20"/>
              </w:rPr>
            </w:pPr>
            <w:r>
              <w:rPr>
                <w:sz w:val="20"/>
                <w:szCs w:val="20"/>
                <w:lang w:eastAsia="ru-RU"/>
              </w:rPr>
              <w:t>-</w:t>
            </w:r>
          </w:p>
        </w:tc>
        <w:tc>
          <w:tcPr>
            <w:tcW w:w="801" w:type="dxa"/>
            <w:tcBorders>
              <w:bottom w:val="single" w:sz="8" w:space="0" w:color="000000"/>
              <w:right w:val="single" w:sz="8" w:space="0" w:color="000000"/>
            </w:tcBorders>
            <w:shd w:color="auto" w:fill="auto" w:val="clear"/>
            <w:vAlign w:val="center"/>
          </w:tcPr>
          <w:p>
            <w:pPr>
              <w:pStyle w:val="Normal"/>
              <w:jc w:val="center"/>
              <w:rPr>
                <w:color w:val="000000"/>
                <w:sz w:val="20"/>
                <w:szCs w:val="20"/>
              </w:rPr>
            </w:pPr>
            <w:r>
              <w:rPr>
                <w:sz w:val="20"/>
                <w:szCs w:val="20"/>
                <w:lang w:eastAsia="ru-RU"/>
              </w:rPr>
              <w:t>-</w:t>
            </w:r>
          </w:p>
        </w:tc>
      </w:tr>
      <w:tr>
        <w:trPr>
          <w:cantSplit w:val="true"/>
        </w:trPr>
        <w:tc>
          <w:tcPr>
            <w:tcW w:w="47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spacing w:before="0" w:after="200"/>
              <w:ind w:left="0" w:hanging="0"/>
              <w:jc w:val="center"/>
              <w:rPr>
                <w:rFonts w:ascii="Times New Roman" w:hAnsi="Times New Roman" w:cs="Times New Roman"/>
                <w:sz w:val="20"/>
                <w:szCs w:val="20"/>
                <w:lang w:eastAsia="ru-RU"/>
              </w:rPr>
            </w:pPr>
            <w:r>
              <w:rPr>
                <w:rFonts w:cs="Times New Roman" w:ascii="Times New Roman" w:hAnsi="Times New Roman"/>
                <w:sz w:val="20"/>
                <w:szCs w:val="20"/>
                <w:lang w:eastAsia="ru-RU"/>
              </w:rPr>
              <w:t>4</w:t>
            </w:r>
          </w:p>
        </w:tc>
        <w:tc>
          <w:tcPr>
            <w:tcW w:w="27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xml:space="preserve">котельная № 6, </w:t>
            </w:r>
          </w:p>
          <w:p>
            <w:pPr>
              <w:pStyle w:val="Normal"/>
              <w:jc w:val="center"/>
              <w:rPr>
                <w:sz w:val="20"/>
                <w:szCs w:val="20"/>
                <w:lang w:eastAsia="ru-RU"/>
              </w:rPr>
            </w:pPr>
            <w:r>
              <w:rPr>
                <w:sz w:val="20"/>
                <w:szCs w:val="20"/>
                <w:lang w:eastAsia="ru-RU"/>
              </w:rPr>
              <w:t>пгт.Октябрьское, ул.Дзержинского, 2б</w:t>
            </w:r>
          </w:p>
        </w:tc>
        <w:tc>
          <w:tcPr>
            <w:tcW w:w="716" w:type="dxa"/>
            <w:tcBorders>
              <w:bottom w:val="single" w:sz="8" w:space="0" w:color="000000"/>
              <w:right w:val="single" w:sz="8" w:space="0" w:color="000000"/>
            </w:tcBorders>
            <w:shd w:color="auto" w:fill="auto" w:val="clear"/>
            <w:vAlign w:val="center"/>
          </w:tcPr>
          <w:p>
            <w:pPr>
              <w:pStyle w:val="Normal"/>
              <w:jc w:val="center"/>
              <w:rPr>
                <w:color w:val="000000"/>
                <w:sz w:val="20"/>
                <w:szCs w:val="20"/>
              </w:rPr>
            </w:pPr>
            <w:r>
              <w:rPr>
                <w:sz w:val="20"/>
                <w:szCs w:val="20"/>
                <w:lang w:eastAsia="ru-RU"/>
              </w:rPr>
              <w:t>0,33</w:t>
            </w:r>
          </w:p>
        </w:tc>
        <w:tc>
          <w:tcPr>
            <w:tcW w:w="693" w:type="dxa"/>
            <w:tcBorders>
              <w:bottom w:val="single" w:sz="8" w:space="0" w:color="000000"/>
              <w:right w:val="single" w:sz="8" w:space="0" w:color="000000"/>
            </w:tcBorders>
            <w:shd w:color="auto" w:fill="auto" w:val="clear"/>
            <w:vAlign w:val="center"/>
          </w:tcPr>
          <w:p>
            <w:pPr>
              <w:pStyle w:val="Normal"/>
              <w:jc w:val="center"/>
              <w:rPr>
                <w:color w:val="000000"/>
                <w:sz w:val="20"/>
                <w:szCs w:val="20"/>
              </w:rPr>
            </w:pPr>
            <w:r>
              <w:rPr>
                <w:sz w:val="20"/>
                <w:szCs w:val="20"/>
              </w:rPr>
              <w:t>0,33</w:t>
            </w:r>
          </w:p>
        </w:tc>
        <w:tc>
          <w:tcPr>
            <w:tcW w:w="765" w:type="dxa"/>
            <w:tcBorders>
              <w:bottom w:val="single" w:sz="8" w:space="0" w:color="000000"/>
              <w:right w:val="single" w:sz="8" w:space="0" w:color="000000"/>
            </w:tcBorders>
            <w:shd w:color="auto" w:fill="auto" w:val="clear"/>
            <w:vAlign w:val="center"/>
          </w:tcPr>
          <w:p>
            <w:pPr>
              <w:pStyle w:val="Normal"/>
              <w:jc w:val="center"/>
              <w:rPr>
                <w:color w:val="000000"/>
                <w:sz w:val="20"/>
                <w:szCs w:val="20"/>
              </w:rPr>
            </w:pPr>
            <w:r>
              <w:rPr>
                <w:sz w:val="20"/>
                <w:szCs w:val="20"/>
              </w:rPr>
              <w:t>0,33</w:t>
            </w:r>
          </w:p>
        </w:tc>
        <w:tc>
          <w:tcPr>
            <w:tcW w:w="951" w:type="dxa"/>
            <w:tcBorders>
              <w:bottom w:val="single" w:sz="8" w:space="0" w:color="000000"/>
              <w:right w:val="single" w:sz="8" w:space="0" w:color="000000"/>
            </w:tcBorders>
            <w:shd w:color="auto" w:fill="auto" w:val="clear"/>
            <w:vAlign w:val="center"/>
          </w:tcPr>
          <w:p>
            <w:pPr>
              <w:pStyle w:val="Normal"/>
              <w:jc w:val="center"/>
              <w:rPr>
                <w:color w:val="000000"/>
                <w:sz w:val="20"/>
                <w:szCs w:val="20"/>
              </w:rPr>
            </w:pPr>
            <w:r>
              <w:rPr>
                <w:sz w:val="20"/>
                <w:szCs w:val="20"/>
              </w:rPr>
              <w:t>0,33</w:t>
            </w:r>
          </w:p>
        </w:tc>
        <w:tc>
          <w:tcPr>
            <w:tcW w:w="748" w:type="dxa"/>
            <w:tcBorders>
              <w:bottom w:val="single" w:sz="8" w:space="0" w:color="000000"/>
              <w:right w:val="single" w:sz="8" w:space="0" w:color="000000"/>
            </w:tcBorders>
            <w:shd w:color="auto" w:fill="auto" w:val="clear"/>
            <w:vAlign w:val="center"/>
          </w:tcPr>
          <w:p>
            <w:pPr>
              <w:pStyle w:val="Normal"/>
              <w:jc w:val="center"/>
              <w:rPr>
                <w:color w:val="000000"/>
                <w:sz w:val="20"/>
                <w:szCs w:val="20"/>
              </w:rPr>
            </w:pPr>
            <w:r>
              <w:rPr>
                <w:sz w:val="20"/>
                <w:szCs w:val="20"/>
                <w:lang w:eastAsia="ru-RU"/>
              </w:rPr>
              <w:t>-</w:t>
            </w:r>
          </w:p>
        </w:tc>
        <w:tc>
          <w:tcPr>
            <w:tcW w:w="748" w:type="dxa"/>
            <w:tcBorders>
              <w:bottom w:val="single" w:sz="8" w:space="0" w:color="000000"/>
              <w:right w:val="single" w:sz="8" w:space="0" w:color="000000"/>
            </w:tcBorders>
            <w:shd w:color="auto" w:fill="auto" w:val="clear"/>
            <w:vAlign w:val="center"/>
          </w:tcPr>
          <w:p>
            <w:pPr>
              <w:pStyle w:val="Normal"/>
              <w:jc w:val="center"/>
              <w:rPr>
                <w:color w:val="000000"/>
                <w:sz w:val="20"/>
                <w:szCs w:val="20"/>
              </w:rPr>
            </w:pPr>
            <w:r>
              <w:rPr>
                <w:sz w:val="20"/>
                <w:szCs w:val="20"/>
                <w:lang w:eastAsia="ru-RU"/>
              </w:rPr>
              <w:t>-</w:t>
            </w:r>
          </w:p>
        </w:tc>
        <w:tc>
          <w:tcPr>
            <w:tcW w:w="802" w:type="dxa"/>
            <w:tcBorders>
              <w:bottom w:val="single" w:sz="8" w:space="0" w:color="000000"/>
              <w:right w:val="single" w:sz="8" w:space="0" w:color="000000"/>
            </w:tcBorders>
            <w:shd w:color="auto" w:fill="auto" w:val="clear"/>
            <w:vAlign w:val="center"/>
          </w:tcPr>
          <w:p>
            <w:pPr>
              <w:pStyle w:val="Normal"/>
              <w:jc w:val="center"/>
              <w:rPr>
                <w:color w:val="000000"/>
                <w:sz w:val="20"/>
                <w:szCs w:val="20"/>
              </w:rPr>
            </w:pPr>
            <w:r>
              <w:rPr>
                <w:sz w:val="20"/>
                <w:szCs w:val="20"/>
                <w:lang w:eastAsia="ru-RU"/>
              </w:rPr>
              <w:t>-</w:t>
            </w:r>
          </w:p>
        </w:tc>
        <w:tc>
          <w:tcPr>
            <w:tcW w:w="801" w:type="dxa"/>
            <w:tcBorders>
              <w:bottom w:val="single" w:sz="8" w:space="0" w:color="000000"/>
              <w:right w:val="single" w:sz="8" w:space="0" w:color="000000"/>
            </w:tcBorders>
            <w:shd w:color="auto" w:fill="auto" w:val="clear"/>
            <w:vAlign w:val="center"/>
          </w:tcPr>
          <w:p>
            <w:pPr>
              <w:pStyle w:val="Normal"/>
              <w:jc w:val="center"/>
              <w:rPr>
                <w:color w:val="000000"/>
                <w:sz w:val="20"/>
                <w:szCs w:val="20"/>
              </w:rPr>
            </w:pPr>
            <w:r>
              <w:rPr>
                <w:sz w:val="20"/>
                <w:szCs w:val="20"/>
                <w:lang w:eastAsia="ru-RU"/>
              </w:rPr>
              <w:t>-</w:t>
            </w:r>
          </w:p>
        </w:tc>
      </w:tr>
      <w:tr>
        <w:trPr>
          <w:cantSplit w:val="true"/>
        </w:trPr>
        <w:tc>
          <w:tcPr>
            <w:tcW w:w="47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spacing w:before="0" w:after="200"/>
              <w:ind w:left="0" w:hanging="0"/>
              <w:jc w:val="center"/>
              <w:rPr>
                <w:rFonts w:ascii="Times New Roman" w:hAnsi="Times New Roman" w:cs="Times New Roman"/>
                <w:sz w:val="20"/>
                <w:szCs w:val="20"/>
                <w:lang w:eastAsia="ru-RU"/>
              </w:rPr>
            </w:pPr>
            <w:r>
              <w:rPr>
                <w:rFonts w:cs="Times New Roman" w:ascii="Times New Roman" w:hAnsi="Times New Roman"/>
                <w:sz w:val="20"/>
                <w:szCs w:val="20"/>
                <w:lang w:eastAsia="ru-RU"/>
              </w:rPr>
              <w:t>5</w:t>
            </w:r>
          </w:p>
        </w:tc>
        <w:tc>
          <w:tcPr>
            <w:tcW w:w="27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котельная № 7,</w:t>
            </w:r>
          </w:p>
          <w:p>
            <w:pPr>
              <w:pStyle w:val="Normal"/>
              <w:jc w:val="center"/>
              <w:rPr>
                <w:sz w:val="20"/>
                <w:szCs w:val="20"/>
                <w:lang w:eastAsia="ru-RU"/>
              </w:rPr>
            </w:pPr>
            <w:r>
              <w:rPr>
                <w:sz w:val="20"/>
                <w:szCs w:val="20"/>
                <w:lang w:eastAsia="ru-RU"/>
              </w:rPr>
              <w:t>пгт.Октябрьское, ул.Медицинская, 3Б</w:t>
            </w:r>
          </w:p>
        </w:tc>
        <w:tc>
          <w:tcPr>
            <w:tcW w:w="716" w:type="dxa"/>
            <w:tcBorders>
              <w:bottom w:val="single" w:sz="4" w:space="0" w:color="000000"/>
              <w:right w:val="single" w:sz="8" w:space="0" w:color="000000"/>
            </w:tcBorders>
            <w:shd w:color="auto" w:fill="auto" w:val="clear"/>
            <w:vAlign w:val="center"/>
          </w:tcPr>
          <w:p>
            <w:pPr>
              <w:pStyle w:val="Normal"/>
              <w:jc w:val="center"/>
              <w:rPr>
                <w:color w:val="000000"/>
                <w:sz w:val="20"/>
                <w:szCs w:val="20"/>
              </w:rPr>
            </w:pPr>
            <w:r>
              <w:rPr>
                <w:sz w:val="20"/>
                <w:szCs w:val="20"/>
                <w:lang w:eastAsia="ru-RU"/>
              </w:rPr>
              <w:t>0,102</w:t>
            </w:r>
          </w:p>
        </w:tc>
        <w:tc>
          <w:tcPr>
            <w:tcW w:w="693" w:type="dxa"/>
            <w:tcBorders>
              <w:bottom w:val="single" w:sz="4" w:space="0" w:color="000000"/>
              <w:right w:val="single" w:sz="8" w:space="0" w:color="000000"/>
            </w:tcBorders>
            <w:shd w:color="auto" w:fill="auto" w:val="clear"/>
            <w:vAlign w:val="center"/>
          </w:tcPr>
          <w:p>
            <w:pPr>
              <w:pStyle w:val="Normal"/>
              <w:jc w:val="center"/>
              <w:rPr>
                <w:color w:val="000000"/>
                <w:sz w:val="20"/>
                <w:szCs w:val="20"/>
              </w:rPr>
            </w:pPr>
            <w:r>
              <w:rPr>
                <w:sz w:val="20"/>
                <w:szCs w:val="20"/>
              </w:rPr>
              <w:t>0,102</w:t>
            </w:r>
          </w:p>
        </w:tc>
        <w:tc>
          <w:tcPr>
            <w:tcW w:w="765" w:type="dxa"/>
            <w:tcBorders>
              <w:bottom w:val="single" w:sz="4" w:space="0" w:color="000000"/>
              <w:right w:val="single" w:sz="8" w:space="0" w:color="000000"/>
            </w:tcBorders>
            <w:shd w:color="auto" w:fill="auto" w:val="clear"/>
            <w:vAlign w:val="center"/>
          </w:tcPr>
          <w:p>
            <w:pPr>
              <w:pStyle w:val="Normal"/>
              <w:jc w:val="center"/>
              <w:rPr>
                <w:color w:val="000000"/>
                <w:sz w:val="20"/>
                <w:szCs w:val="20"/>
              </w:rPr>
            </w:pPr>
            <w:r>
              <w:rPr>
                <w:sz w:val="20"/>
                <w:szCs w:val="20"/>
              </w:rPr>
              <w:t>0,102</w:t>
            </w:r>
          </w:p>
        </w:tc>
        <w:tc>
          <w:tcPr>
            <w:tcW w:w="951" w:type="dxa"/>
            <w:tcBorders>
              <w:bottom w:val="single" w:sz="4" w:space="0" w:color="000000"/>
              <w:right w:val="single" w:sz="8" w:space="0" w:color="000000"/>
            </w:tcBorders>
            <w:shd w:color="auto" w:fill="auto" w:val="clear"/>
            <w:vAlign w:val="center"/>
          </w:tcPr>
          <w:p>
            <w:pPr>
              <w:pStyle w:val="Normal"/>
              <w:jc w:val="center"/>
              <w:rPr>
                <w:color w:val="000000"/>
                <w:sz w:val="20"/>
                <w:szCs w:val="20"/>
              </w:rPr>
            </w:pPr>
            <w:r>
              <w:rPr>
                <w:sz w:val="20"/>
                <w:szCs w:val="20"/>
              </w:rPr>
              <w:t>0,102</w:t>
            </w:r>
          </w:p>
        </w:tc>
        <w:tc>
          <w:tcPr>
            <w:tcW w:w="748" w:type="dxa"/>
            <w:tcBorders>
              <w:bottom w:val="single" w:sz="4" w:space="0" w:color="000000"/>
              <w:right w:val="single" w:sz="8" w:space="0" w:color="000000"/>
            </w:tcBorders>
            <w:shd w:color="auto" w:fill="auto" w:val="clear"/>
            <w:vAlign w:val="center"/>
          </w:tcPr>
          <w:p>
            <w:pPr>
              <w:pStyle w:val="Normal"/>
              <w:jc w:val="center"/>
              <w:rPr>
                <w:color w:val="000000"/>
                <w:sz w:val="20"/>
                <w:szCs w:val="20"/>
              </w:rPr>
            </w:pPr>
            <w:r>
              <w:rPr>
                <w:sz w:val="20"/>
                <w:szCs w:val="20"/>
                <w:lang w:eastAsia="ru-RU"/>
              </w:rPr>
              <w:t>-</w:t>
            </w:r>
          </w:p>
        </w:tc>
        <w:tc>
          <w:tcPr>
            <w:tcW w:w="748" w:type="dxa"/>
            <w:tcBorders>
              <w:bottom w:val="single" w:sz="4" w:space="0" w:color="000000"/>
              <w:right w:val="single" w:sz="8" w:space="0" w:color="000000"/>
            </w:tcBorders>
            <w:shd w:color="auto" w:fill="auto" w:val="clear"/>
            <w:vAlign w:val="center"/>
          </w:tcPr>
          <w:p>
            <w:pPr>
              <w:pStyle w:val="Normal"/>
              <w:jc w:val="center"/>
              <w:rPr>
                <w:color w:val="000000"/>
                <w:sz w:val="20"/>
                <w:szCs w:val="20"/>
              </w:rPr>
            </w:pPr>
            <w:r>
              <w:rPr>
                <w:sz w:val="20"/>
                <w:szCs w:val="20"/>
                <w:lang w:eastAsia="ru-RU"/>
              </w:rPr>
              <w:t>-</w:t>
            </w:r>
          </w:p>
        </w:tc>
        <w:tc>
          <w:tcPr>
            <w:tcW w:w="802" w:type="dxa"/>
            <w:tcBorders>
              <w:bottom w:val="single" w:sz="4" w:space="0" w:color="000000"/>
              <w:right w:val="single" w:sz="8" w:space="0" w:color="000000"/>
            </w:tcBorders>
            <w:shd w:color="auto" w:fill="auto" w:val="clear"/>
            <w:vAlign w:val="center"/>
          </w:tcPr>
          <w:p>
            <w:pPr>
              <w:pStyle w:val="Normal"/>
              <w:jc w:val="center"/>
              <w:rPr>
                <w:color w:val="000000"/>
                <w:sz w:val="20"/>
                <w:szCs w:val="20"/>
              </w:rPr>
            </w:pPr>
            <w:r>
              <w:rPr>
                <w:sz w:val="20"/>
                <w:szCs w:val="20"/>
                <w:lang w:eastAsia="ru-RU"/>
              </w:rPr>
              <w:t>-</w:t>
            </w:r>
          </w:p>
        </w:tc>
        <w:tc>
          <w:tcPr>
            <w:tcW w:w="801" w:type="dxa"/>
            <w:tcBorders>
              <w:bottom w:val="single" w:sz="4" w:space="0" w:color="000000"/>
              <w:right w:val="single" w:sz="8" w:space="0" w:color="000000"/>
            </w:tcBorders>
            <w:shd w:color="auto" w:fill="auto" w:val="clear"/>
            <w:vAlign w:val="center"/>
          </w:tcPr>
          <w:p>
            <w:pPr>
              <w:pStyle w:val="Normal"/>
              <w:jc w:val="center"/>
              <w:rPr>
                <w:color w:val="000000"/>
                <w:sz w:val="20"/>
                <w:szCs w:val="20"/>
              </w:rPr>
            </w:pPr>
            <w:r>
              <w:rPr>
                <w:sz w:val="20"/>
                <w:szCs w:val="20"/>
                <w:lang w:eastAsia="ru-RU"/>
              </w:rPr>
              <w:t>-</w:t>
            </w:r>
          </w:p>
        </w:tc>
      </w:tr>
      <w:tr>
        <w:trPr>
          <w:cantSplit w:val="true"/>
        </w:trPr>
        <w:tc>
          <w:tcPr>
            <w:tcW w:w="47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spacing w:before="0" w:after="200"/>
              <w:ind w:left="0" w:hanging="0"/>
              <w:jc w:val="center"/>
              <w:rPr>
                <w:rFonts w:ascii="Times New Roman" w:hAnsi="Times New Roman" w:cs="Times New Roman"/>
                <w:sz w:val="20"/>
                <w:szCs w:val="20"/>
                <w:lang w:eastAsia="ru-RU"/>
              </w:rPr>
            </w:pPr>
            <w:r>
              <w:rPr>
                <w:rFonts w:cs="Times New Roman" w:ascii="Times New Roman" w:hAnsi="Times New Roman"/>
                <w:sz w:val="20"/>
                <w:szCs w:val="20"/>
                <w:lang w:eastAsia="ru-RU"/>
              </w:rPr>
              <w:t>6</w:t>
            </w:r>
          </w:p>
        </w:tc>
        <w:tc>
          <w:tcPr>
            <w:tcW w:w="27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xml:space="preserve">котельная № 12, </w:t>
            </w:r>
          </w:p>
          <w:p>
            <w:pPr>
              <w:pStyle w:val="Normal"/>
              <w:jc w:val="center"/>
              <w:rPr>
                <w:sz w:val="20"/>
                <w:szCs w:val="20"/>
                <w:lang w:eastAsia="ru-RU"/>
              </w:rPr>
            </w:pPr>
            <w:r>
              <w:rPr>
                <w:sz w:val="20"/>
                <w:szCs w:val="20"/>
                <w:lang w:eastAsia="ru-RU"/>
              </w:rPr>
              <w:t>пгт.Октябрьское, ул.Медицинская, 3к</w:t>
            </w:r>
          </w:p>
        </w:tc>
        <w:tc>
          <w:tcPr>
            <w:tcW w:w="7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color w:val="000000"/>
                <w:sz w:val="20"/>
                <w:szCs w:val="20"/>
              </w:rPr>
            </w:pPr>
            <w:r>
              <w:rPr>
                <w:sz w:val="20"/>
                <w:szCs w:val="20"/>
                <w:lang w:eastAsia="ru-RU"/>
              </w:rPr>
              <w:t>2,50</w:t>
            </w:r>
          </w:p>
        </w:tc>
        <w:tc>
          <w:tcPr>
            <w:tcW w:w="69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color w:val="000000"/>
                <w:sz w:val="20"/>
                <w:szCs w:val="20"/>
              </w:rPr>
            </w:pPr>
            <w:r>
              <w:rPr>
                <w:sz w:val="20"/>
                <w:szCs w:val="20"/>
                <w:lang w:eastAsia="ru-RU"/>
              </w:rPr>
              <w:t>2,50</w:t>
            </w:r>
          </w:p>
        </w:tc>
        <w:tc>
          <w:tcPr>
            <w:tcW w:w="76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color w:val="000000"/>
                <w:sz w:val="20"/>
                <w:szCs w:val="20"/>
              </w:rPr>
            </w:pPr>
            <w:r>
              <w:rPr>
                <w:sz w:val="20"/>
                <w:szCs w:val="20"/>
                <w:lang w:eastAsia="ru-RU"/>
              </w:rPr>
              <w:t>2,50</w:t>
            </w:r>
          </w:p>
        </w:tc>
        <w:tc>
          <w:tcPr>
            <w:tcW w:w="9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color w:val="000000"/>
                <w:sz w:val="20"/>
                <w:szCs w:val="20"/>
              </w:rPr>
            </w:pPr>
            <w:r>
              <w:rPr>
                <w:sz w:val="20"/>
                <w:szCs w:val="20"/>
                <w:lang w:eastAsia="ru-RU"/>
              </w:rPr>
              <w:t>2,50</w:t>
            </w:r>
          </w:p>
        </w:tc>
        <w:tc>
          <w:tcPr>
            <w:tcW w:w="74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color w:val="000000"/>
                <w:sz w:val="20"/>
                <w:szCs w:val="20"/>
              </w:rPr>
            </w:pPr>
            <w:r>
              <w:rPr>
                <w:sz w:val="20"/>
                <w:szCs w:val="20"/>
                <w:lang w:eastAsia="ru-RU"/>
              </w:rPr>
              <w:t>2,598</w:t>
            </w:r>
          </w:p>
        </w:tc>
        <w:tc>
          <w:tcPr>
            <w:tcW w:w="74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color w:val="000000"/>
                <w:sz w:val="20"/>
                <w:szCs w:val="20"/>
              </w:rPr>
            </w:pPr>
            <w:r>
              <w:rPr>
                <w:sz w:val="20"/>
                <w:szCs w:val="20"/>
                <w:lang w:eastAsia="ru-RU"/>
              </w:rPr>
              <w:t>2,598</w:t>
            </w:r>
          </w:p>
        </w:tc>
        <w:tc>
          <w:tcPr>
            <w:tcW w:w="8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color w:val="000000"/>
                <w:sz w:val="20"/>
                <w:szCs w:val="20"/>
              </w:rPr>
            </w:pPr>
            <w:r>
              <w:rPr>
                <w:sz w:val="20"/>
                <w:szCs w:val="20"/>
                <w:lang w:eastAsia="ru-RU"/>
              </w:rPr>
              <w:t>2,598</w:t>
            </w:r>
          </w:p>
        </w:tc>
        <w:tc>
          <w:tcPr>
            <w:tcW w:w="8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color w:val="000000"/>
                <w:sz w:val="20"/>
                <w:szCs w:val="20"/>
              </w:rPr>
            </w:pPr>
            <w:r>
              <w:rPr>
                <w:sz w:val="20"/>
                <w:szCs w:val="20"/>
                <w:lang w:eastAsia="ru-RU"/>
              </w:rPr>
              <w:t>2,598</w:t>
            </w:r>
          </w:p>
        </w:tc>
      </w:tr>
      <w:tr>
        <w:trPr>
          <w:cantSplit w:val="true"/>
        </w:trPr>
        <w:tc>
          <w:tcPr>
            <w:tcW w:w="47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spacing w:before="0" w:after="200"/>
              <w:ind w:left="0" w:hanging="0"/>
              <w:jc w:val="center"/>
              <w:rPr>
                <w:rFonts w:ascii="Times New Roman" w:hAnsi="Times New Roman" w:cs="Times New Roman"/>
                <w:sz w:val="20"/>
                <w:szCs w:val="20"/>
                <w:lang w:eastAsia="ru-RU"/>
              </w:rPr>
            </w:pPr>
            <w:r>
              <w:rPr>
                <w:rFonts w:cs="Times New Roman" w:ascii="Times New Roman" w:hAnsi="Times New Roman"/>
                <w:sz w:val="20"/>
                <w:szCs w:val="20"/>
                <w:lang w:eastAsia="ru-RU"/>
              </w:rPr>
              <w:t>7</w:t>
            </w:r>
          </w:p>
        </w:tc>
        <w:tc>
          <w:tcPr>
            <w:tcW w:w="27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xml:space="preserve">котельная № 8, </w:t>
            </w:r>
          </w:p>
          <w:p>
            <w:pPr>
              <w:pStyle w:val="Normal"/>
              <w:jc w:val="center"/>
              <w:rPr>
                <w:sz w:val="20"/>
                <w:szCs w:val="20"/>
                <w:lang w:eastAsia="ru-RU"/>
              </w:rPr>
            </w:pPr>
            <w:r>
              <w:rPr>
                <w:sz w:val="20"/>
                <w:szCs w:val="20"/>
                <w:lang w:eastAsia="ru-RU"/>
              </w:rPr>
              <w:t>пгт.Октябрьское, ул.50 лет, 38А</w:t>
            </w:r>
          </w:p>
        </w:tc>
        <w:tc>
          <w:tcPr>
            <w:tcW w:w="7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color w:val="000000"/>
                <w:sz w:val="20"/>
                <w:szCs w:val="20"/>
              </w:rPr>
            </w:pPr>
            <w:r>
              <w:rPr>
                <w:sz w:val="20"/>
                <w:szCs w:val="20"/>
                <w:lang w:eastAsia="ru-RU"/>
              </w:rPr>
              <w:t>0,07</w:t>
            </w:r>
          </w:p>
        </w:tc>
        <w:tc>
          <w:tcPr>
            <w:tcW w:w="69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color w:val="000000"/>
                <w:sz w:val="20"/>
                <w:szCs w:val="20"/>
              </w:rPr>
            </w:pPr>
            <w:r>
              <w:rPr>
                <w:sz w:val="20"/>
                <w:szCs w:val="20"/>
                <w:lang w:eastAsia="ru-RU"/>
              </w:rPr>
              <w:t>0,07</w:t>
            </w:r>
          </w:p>
        </w:tc>
        <w:tc>
          <w:tcPr>
            <w:tcW w:w="76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color w:val="000000"/>
                <w:sz w:val="20"/>
                <w:szCs w:val="20"/>
              </w:rPr>
            </w:pPr>
            <w:r>
              <w:rPr>
                <w:sz w:val="20"/>
                <w:szCs w:val="20"/>
              </w:rPr>
              <w:t>0,07</w:t>
            </w:r>
          </w:p>
        </w:tc>
        <w:tc>
          <w:tcPr>
            <w:tcW w:w="9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color w:val="000000"/>
                <w:sz w:val="20"/>
                <w:szCs w:val="20"/>
              </w:rPr>
            </w:pPr>
            <w:r>
              <w:rPr>
                <w:sz w:val="20"/>
                <w:szCs w:val="20"/>
              </w:rPr>
              <w:t>0,07</w:t>
            </w:r>
          </w:p>
        </w:tc>
        <w:tc>
          <w:tcPr>
            <w:tcW w:w="74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color w:val="000000"/>
                <w:sz w:val="20"/>
                <w:szCs w:val="20"/>
              </w:rPr>
            </w:pPr>
            <w:r>
              <w:rPr>
                <w:sz w:val="20"/>
                <w:szCs w:val="20"/>
              </w:rPr>
              <w:t>-</w:t>
            </w:r>
          </w:p>
        </w:tc>
        <w:tc>
          <w:tcPr>
            <w:tcW w:w="74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color w:val="000000"/>
                <w:sz w:val="20"/>
                <w:szCs w:val="20"/>
              </w:rPr>
            </w:pPr>
            <w:r>
              <w:rPr>
                <w:sz w:val="20"/>
                <w:szCs w:val="20"/>
              </w:rPr>
              <w:t>-</w:t>
            </w:r>
          </w:p>
        </w:tc>
        <w:tc>
          <w:tcPr>
            <w:tcW w:w="8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color w:val="000000"/>
                <w:sz w:val="20"/>
                <w:szCs w:val="20"/>
              </w:rPr>
            </w:pPr>
            <w:r>
              <w:rPr>
                <w:sz w:val="20"/>
                <w:szCs w:val="20"/>
              </w:rPr>
              <w:t>-</w:t>
            </w:r>
          </w:p>
        </w:tc>
        <w:tc>
          <w:tcPr>
            <w:tcW w:w="8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color w:val="000000"/>
                <w:sz w:val="20"/>
                <w:szCs w:val="20"/>
              </w:rPr>
            </w:pPr>
            <w:r>
              <w:rPr>
                <w:sz w:val="20"/>
                <w:szCs w:val="20"/>
              </w:rPr>
              <w:t>-</w:t>
            </w:r>
          </w:p>
        </w:tc>
      </w:tr>
      <w:tr>
        <w:trPr>
          <w:cantSplit w:val="true"/>
        </w:trPr>
        <w:tc>
          <w:tcPr>
            <w:tcW w:w="47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spacing w:before="0" w:after="200"/>
              <w:ind w:left="0" w:hanging="0"/>
              <w:jc w:val="center"/>
              <w:rPr>
                <w:rFonts w:ascii="Times New Roman" w:hAnsi="Times New Roman" w:cs="Times New Roman"/>
                <w:sz w:val="20"/>
                <w:szCs w:val="20"/>
                <w:lang w:eastAsia="ru-RU"/>
              </w:rPr>
            </w:pPr>
            <w:r>
              <w:rPr>
                <w:rFonts w:cs="Times New Roman" w:ascii="Times New Roman" w:hAnsi="Times New Roman"/>
                <w:sz w:val="20"/>
                <w:szCs w:val="20"/>
                <w:lang w:eastAsia="ru-RU"/>
              </w:rPr>
              <w:t>8</w:t>
            </w:r>
          </w:p>
        </w:tc>
        <w:tc>
          <w:tcPr>
            <w:tcW w:w="27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перспективная котельная, пгт.Октябрьское, ул.Дзержинского, 14</w:t>
            </w:r>
          </w:p>
        </w:tc>
        <w:tc>
          <w:tcPr>
            <w:tcW w:w="7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color w:val="000000"/>
                <w:sz w:val="20"/>
                <w:szCs w:val="20"/>
              </w:rPr>
            </w:pPr>
            <w:r>
              <w:rPr>
                <w:sz w:val="20"/>
                <w:szCs w:val="20"/>
                <w:lang w:eastAsia="ru-RU"/>
              </w:rPr>
              <w:t>-</w:t>
            </w:r>
          </w:p>
        </w:tc>
        <w:tc>
          <w:tcPr>
            <w:tcW w:w="69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color w:val="000000"/>
                <w:sz w:val="20"/>
                <w:szCs w:val="20"/>
              </w:rPr>
            </w:pPr>
            <w:r>
              <w:rPr>
                <w:sz w:val="20"/>
                <w:szCs w:val="20"/>
                <w:lang w:eastAsia="ru-RU"/>
              </w:rPr>
              <w:t>-</w:t>
            </w:r>
          </w:p>
        </w:tc>
        <w:tc>
          <w:tcPr>
            <w:tcW w:w="76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color w:val="000000"/>
                <w:sz w:val="20"/>
                <w:szCs w:val="20"/>
              </w:rPr>
            </w:pPr>
            <w:r>
              <w:rPr>
                <w:sz w:val="20"/>
                <w:szCs w:val="20"/>
                <w:lang w:eastAsia="ru-RU"/>
              </w:rPr>
              <w:t>-</w:t>
            </w:r>
          </w:p>
        </w:tc>
        <w:tc>
          <w:tcPr>
            <w:tcW w:w="9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color w:val="000000"/>
                <w:sz w:val="20"/>
                <w:szCs w:val="20"/>
              </w:rPr>
            </w:pPr>
            <w:r>
              <w:rPr>
                <w:sz w:val="20"/>
                <w:szCs w:val="20"/>
                <w:lang w:eastAsia="ru-RU"/>
              </w:rPr>
              <w:t>-</w:t>
            </w:r>
          </w:p>
        </w:tc>
        <w:tc>
          <w:tcPr>
            <w:tcW w:w="74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color w:val="000000"/>
                <w:sz w:val="20"/>
                <w:szCs w:val="20"/>
              </w:rPr>
            </w:pPr>
            <w:r>
              <w:rPr>
                <w:sz w:val="20"/>
                <w:szCs w:val="20"/>
                <w:lang w:eastAsia="ru-RU"/>
              </w:rPr>
              <w:t>8,89</w:t>
            </w:r>
          </w:p>
        </w:tc>
        <w:tc>
          <w:tcPr>
            <w:tcW w:w="74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color w:val="000000"/>
                <w:sz w:val="20"/>
                <w:szCs w:val="20"/>
              </w:rPr>
            </w:pPr>
            <w:r>
              <w:rPr>
                <w:sz w:val="20"/>
                <w:szCs w:val="20"/>
                <w:lang w:eastAsia="ru-RU"/>
              </w:rPr>
              <w:t>8,89</w:t>
            </w:r>
          </w:p>
        </w:tc>
        <w:tc>
          <w:tcPr>
            <w:tcW w:w="8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color w:val="000000"/>
                <w:sz w:val="20"/>
                <w:szCs w:val="20"/>
              </w:rPr>
            </w:pPr>
            <w:r>
              <w:rPr>
                <w:sz w:val="20"/>
                <w:szCs w:val="20"/>
                <w:lang w:eastAsia="ru-RU"/>
              </w:rPr>
              <w:t>8,89</w:t>
            </w:r>
          </w:p>
        </w:tc>
        <w:tc>
          <w:tcPr>
            <w:tcW w:w="8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color w:val="000000"/>
                <w:sz w:val="20"/>
                <w:szCs w:val="20"/>
              </w:rPr>
            </w:pPr>
            <w:r>
              <w:rPr>
                <w:sz w:val="20"/>
                <w:szCs w:val="20"/>
                <w:lang w:eastAsia="ru-RU"/>
              </w:rPr>
              <w:t>8,89</w:t>
            </w:r>
            <w:bookmarkStart w:id="15" w:name="_Hlk159509317"/>
            <w:bookmarkStart w:id="16" w:name="_Hlk129096226"/>
            <w:bookmarkStart w:id="17" w:name="_Hlk158357374"/>
            <w:bookmarkEnd w:id="15"/>
            <w:bookmarkEnd w:id="16"/>
            <w:bookmarkEnd w:id="17"/>
          </w:p>
        </w:tc>
      </w:tr>
    </w:tbl>
    <w:p>
      <w:pPr>
        <w:pStyle w:val="Normal"/>
        <w:jc w:val="both"/>
        <w:rPr>
          <w:rFonts w:eastAsia="Calibri" w:cs="Calibri"/>
          <w:szCs w:val="22"/>
          <w:lang w:eastAsia="en-US"/>
        </w:rPr>
      </w:pPr>
      <w:r>
        <w:rPr>
          <w:rFonts w:eastAsia="Calibri" w:cs="Calibri"/>
          <w:szCs w:val="22"/>
          <w:lang w:eastAsia="en-US"/>
        </w:rPr>
      </w:r>
    </w:p>
    <w:p>
      <w:pPr>
        <w:pStyle w:val="A2"/>
        <w:ind w:firstLine="709"/>
        <w:rPr>
          <w:szCs w:val="24"/>
        </w:rPr>
      </w:pPr>
      <w:r>
        <w:rPr/>
        <w:t>Существующие и перспективные объемы потребления теплоносителя в зонах действия источников централизованного теплоснабжения приведены в Разделе 3.</w:t>
      </w:r>
      <w:r>
        <w:rPr>
          <w:szCs w:val="24"/>
        </w:rPr>
        <w:t xml:space="preserve"> Сведения о тепловой нагрузке потребителей и полезном отпуске тепла локальных котельных не представлены. Изменение тепловой нагрузки локальных котельных не планируется.</w:t>
      </w:r>
      <w:bookmarkStart w:id="18" w:name="_Toc181366551"/>
      <w:bookmarkStart w:id="19" w:name="_Hlk1606023501"/>
      <w:bookmarkEnd w:id="19"/>
    </w:p>
    <w:p>
      <w:pPr>
        <w:pStyle w:val="A2"/>
        <w:ind w:firstLine="709"/>
        <w:rPr>
          <w:szCs w:val="24"/>
        </w:rPr>
      </w:pPr>
      <w:r>
        <w:rPr>
          <w:szCs w:val="24"/>
        </w:rPr>
      </w:r>
    </w:p>
    <w:p>
      <w:pPr>
        <w:pStyle w:val="A2"/>
        <w:ind w:firstLine="709"/>
        <w:rPr>
          <w:b/>
          <w:b/>
          <w:szCs w:val="24"/>
        </w:rPr>
      </w:pPr>
      <w:r>
        <w:rPr>
          <w:b/>
        </w:rPr>
        <w:t>1.3. Существующие и перспективные объемы потребления тепловой энергии (мощности) и теплоносителя объектами, расположенными в производственных зонах, на каждом этапе</w:t>
      </w:r>
      <w:bookmarkEnd w:id="18"/>
    </w:p>
    <w:p>
      <w:pPr>
        <w:pStyle w:val="A2"/>
        <w:ind w:firstLine="709"/>
        <w:rPr>
          <w:b/>
          <w:b/>
          <w:szCs w:val="24"/>
        </w:rPr>
      </w:pPr>
      <w:r>
        <w:rPr/>
        <w:t>Прирост объемов потребления тепловой энергии (мощности) и теплоносителя объектами, расположенными в производственных зонах, от действующих источников централизованного теплоснабжения не предусмотрен.</w:t>
      </w:r>
    </w:p>
    <w:p>
      <w:pPr>
        <w:pStyle w:val="A2"/>
        <w:ind w:firstLine="709"/>
        <w:rPr/>
      </w:pPr>
      <w:r>
        <w:rPr/>
        <w:t>При строительстве отдельных торговых и производственных зданий, удаленных от теплоисточников теплоснабжения, отопление предусматривается от собственных котельных, либо от индивидуальных котлов.</w:t>
      </w:r>
      <w:bookmarkStart w:id="20" w:name="_Toc181366552"/>
    </w:p>
    <w:p>
      <w:pPr>
        <w:pStyle w:val="A2"/>
        <w:ind w:firstLine="709"/>
        <w:rPr/>
      </w:pPr>
      <w:r>
        <w:rPr/>
      </w:r>
    </w:p>
    <w:p>
      <w:pPr>
        <w:pStyle w:val="A2"/>
        <w:ind w:firstLine="709"/>
        <w:rPr/>
      </w:pPr>
      <w:r>
        <w:rPr>
          <w:b/>
        </w:rPr>
        <w:t>1.4. Существующие и перспективные величины средневзвешенной плотности тепловой нагрузки в каждом расчетном элементе территориального деления, зоне действия каждого источника тепловой энергии, каждой системе теплоснабжения и по поселению</w:t>
      </w:r>
      <w:bookmarkEnd w:id="20"/>
    </w:p>
    <w:p>
      <w:pPr>
        <w:pStyle w:val="A2"/>
        <w:ind w:firstLine="709"/>
        <w:rPr>
          <w:b/>
          <w:b/>
          <w:szCs w:val="24"/>
        </w:rPr>
      </w:pPr>
      <w:r>
        <w:rPr/>
        <w:t>Средневзвешенная плотность тепловой нагрузки указывается с учетом площади действия источника тепловой энергии и нагрузки, которая к нему подключена. Существующее и перспективное значения средневзвешенной плотности тепловой нагрузки представлены в таблице 3.</w:t>
      </w:r>
      <w:bookmarkStart w:id="21" w:name="_Hlk160530628"/>
      <w:bookmarkEnd w:id="21"/>
    </w:p>
    <w:p>
      <w:pPr>
        <w:pStyle w:val="Normal"/>
        <w:jc w:val="right"/>
        <w:rPr/>
      </w:pPr>
      <w:bookmarkStart w:id="22" w:name="_Ref83829581"/>
      <w:r>
        <w:rPr/>
        <w:t xml:space="preserve">Таблица </w:t>
      </w:r>
      <w:bookmarkEnd w:id="22"/>
      <w:r>
        <w:rPr>
          <w:rFonts w:eastAsia="Calibri" w:cs="" w:cstheme="minorBidi" w:eastAsiaTheme="minorHAnsi"/>
          <w:szCs w:val="22"/>
          <w:lang w:eastAsia="en-US"/>
        </w:rPr>
        <w:t>3</w:t>
      </w:r>
      <w:r>
        <w:rPr/>
        <w:t xml:space="preserve"> – Существующая и перспективная величина </w:t>
      </w:r>
    </w:p>
    <w:p>
      <w:pPr>
        <w:pStyle w:val="Normal"/>
        <w:jc w:val="right"/>
        <w:rPr>
          <w:rFonts w:ascii="Tinos" w:hAnsi="Tinos" w:cs="Tinos"/>
          <w:color w:val="000000"/>
        </w:rPr>
      </w:pPr>
      <w:r>
        <w:rPr/>
        <w:t>средневзвешенной плотности тепловой нагрузки</w:t>
      </w:r>
    </w:p>
    <w:tbl>
      <w:tblPr>
        <w:tblW w:w="5000" w:type="pct"/>
        <w:jc w:val="left"/>
        <w:tblInd w:w="0" w:type="dxa"/>
        <w:tblCellMar>
          <w:top w:w="0" w:type="dxa"/>
          <w:left w:w="108" w:type="dxa"/>
          <w:bottom w:w="0" w:type="dxa"/>
          <w:right w:w="108" w:type="dxa"/>
        </w:tblCellMar>
        <w:tblLook w:val="04a0" w:noVBand="1" w:noHBand="0" w:lastColumn="0" w:firstColumn="1" w:lastRow="0" w:firstRow="1"/>
      </w:tblPr>
      <w:tblGrid>
        <w:gridCol w:w="664"/>
        <w:gridCol w:w="4200"/>
        <w:gridCol w:w="2387"/>
        <w:gridCol w:w="2386"/>
      </w:tblGrid>
      <w:tr>
        <w:trPr>
          <w:tblHeader w:val="true"/>
          <w:trHeight w:val="20" w:hRule="atLeast"/>
        </w:trPr>
        <w:tc>
          <w:tcPr>
            <w:tcW w:w="6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sz w:val="20"/>
                <w:szCs w:val="20"/>
                <w:lang w:eastAsia="ru-RU"/>
              </w:rPr>
            </w:pPr>
            <w:r>
              <w:rPr>
                <w:sz w:val="20"/>
                <w:szCs w:val="20"/>
                <w:lang w:eastAsia="ru-RU"/>
              </w:rPr>
              <w:t xml:space="preserve">№ </w:t>
            </w:r>
            <w:r>
              <w:rPr>
                <w:sz w:val="20"/>
                <w:szCs w:val="20"/>
                <w:lang w:eastAsia="ru-RU"/>
              </w:rPr>
              <w:t xml:space="preserve">п/п </w:t>
            </w:r>
          </w:p>
        </w:tc>
        <w:tc>
          <w:tcPr>
            <w:tcW w:w="42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sz w:val="20"/>
                <w:szCs w:val="20"/>
                <w:lang w:eastAsia="ru-RU"/>
              </w:rPr>
            </w:pPr>
            <w:r>
              <w:rPr>
                <w:sz w:val="20"/>
                <w:szCs w:val="20"/>
                <w:lang w:eastAsia="ru-RU"/>
              </w:rPr>
              <w:t>Наименование и адрес котельной</w:t>
            </w:r>
          </w:p>
        </w:tc>
        <w:tc>
          <w:tcPr>
            <w:tcW w:w="23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sz w:val="20"/>
                <w:szCs w:val="20"/>
                <w:lang w:eastAsia="ru-RU"/>
              </w:rPr>
            </w:pPr>
            <w:r>
              <w:rPr>
                <w:sz w:val="20"/>
                <w:szCs w:val="20"/>
                <w:lang w:eastAsia="ru-RU"/>
              </w:rPr>
              <w:t>Существующая средневзвешенная плотность тепловой нагрузки, Гкал/час на 1 кв. км.</w:t>
            </w:r>
          </w:p>
        </w:tc>
        <w:tc>
          <w:tcPr>
            <w:tcW w:w="238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sz w:val="20"/>
                <w:szCs w:val="20"/>
                <w:lang w:eastAsia="ru-RU"/>
              </w:rPr>
            </w:pPr>
            <w:r>
              <w:rPr>
                <w:sz w:val="20"/>
                <w:szCs w:val="20"/>
                <w:lang w:eastAsia="ru-RU"/>
              </w:rPr>
              <w:t>Перспективная средневзвешенная плотность тепловой нагрузки, Гкал/час на 1 кв. км.</w:t>
            </w:r>
          </w:p>
        </w:tc>
      </w:tr>
      <w:tr>
        <w:trPr>
          <w:tblHeader w:val="true"/>
          <w:trHeight w:val="20" w:hRule="atLeast"/>
        </w:trPr>
        <w:tc>
          <w:tcPr>
            <w:tcW w:w="664" w:type="dxa"/>
            <w:tcBorders>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w:t>
            </w:r>
          </w:p>
        </w:tc>
        <w:tc>
          <w:tcPr>
            <w:tcW w:w="4200" w:type="dxa"/>
            <w:tcBorders>
              <w:bottom w:val="single" w:sz="4" w:space="0" w:color="000000"/>
              <w:right w:val="single" w:sz="4" w:space="0" w:color="000000"/>
            </w:tcBorders>
            <w:shd w:color="auto" w:fill="auto" w:val="clear"/>
            <w:vAlign w:val="center"/>
          </w:tcPr>
          <w:p>
            <w:pPr>
              <w:pStyle w:val="Normal"/>
              <w:jc w:val="both"/>
              <w:rPr>
                <w:sz w:val="20"/>
                <w:szCs w:val="20"/>
                <w:lang w:eastAsia="ru-RU"/>
              </w:rPr>
            </w:pPr>
            <w:r>
              <w:rPr>
                <w:sz w:val="20"/>
                <w:szCs w:val="20"/>
                <w:lang w:eastAsia="ru-RU"/>
              </w:rPr>
              <w:t>котельная № 1, пгт.Октябрьское, ул.Сенькина, 46б</w:t>
            </w:r>
          </w:p>
        </w:tc>
        <w:tc>
          <w:tcPr>
            <w:tcW w:w="2387"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0,0360</w:t>
            </w:r>
          </w:p>
        </w:tc>
        <w:tc>
          <w:tcPr>
            <w:tcW w:w="2386"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0,0724</w:t>
            </w:r>
          </w:p>
        </w:tc>
      </w:tr>
      <w:tr>
        <w:trPr>
          <w:trHeight w:val="20" w:hRule="atLeast"/>
        </w:trPr>
        <w:tc>
          <w:tcPr>
            <w:tcW w:w="664" w:type="dxa"/>
            <w:tcBorders>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2</w:t>
            </w:r>
          </w:p>
        </w:tc>
        <w:tc>
          <w:tcPr>
            <w:tcW w:w="4200" w:type="dxa"/>
            <w:tcBorders>
              <w:bottom w:val="single" w:sz="4" w:space="0" w:color="000000"/>
              <w:right w:val="single" w:sz="4" w:space="0" w:color="000000"/>
            </w:tcBorders>
            <w:shd w:color="auto" w:fill="auto" w:val="clear"/>
            <w:vAlign w:val="center"/>
          </w:tcPr>
          <w:p>
            <w:pPr>
              <w:pStyle w:val="Normal"/>
              <w:jc w:val="both"/>
              <w:rPr>
                <w:sz w:val="20"/>
                <w:szCs w:val="20"/>
                <w:lang w:eastAsia="ru-RU"/>
              </w:rPr>
            </w:pPr>
            <w:r>
              <w:rPr>
                <w:sz w:val="20"/>
                <w:szCs w:val="20"/>
                <w:lang w:eastAsia="ru-RU"/>
              </w:rPr>
              <w:t>котельная № 2, пгт.Октябрьское, ул.Пионерская, 17б</w:t>
            </w:r>
          </w:p>
        </w:tc>
        <w:tc>
          <w:tcPr>
            <w:tcW w:w="2387"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0,0538</w:t>
            </w:r>
          </w:p>
        </w:tc>
        <w:tc>
          <w:tcPr>
            <w:tcW w:w="2386"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r>
      <w:tr>
        <w:trPr>
          <w:trHeight w:val="20" w:hRule="atLeast"/>
        </w:trPr>
        <w:tc>
          <w:tcPr>
            <w:tcW w:w="664" w:type="dxa"/>
            <w:tcBorders>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3</w:t>
            </w:r>
          </w:p>
        </w:tc>
        <w:tc>
          <w:tcPr>
            <w:tcW w:w="4200" w:type="dxa"/>
            <w:tcBorders>
              <w:bottom w:val="single" w:sz="4" w:space="0" w:color="000000"/>
              <w:right w:val="single" w:sz="4" w:space="0" w:color="000000"/>
            </w:tcBorders>
            <w:shd w:color="auto" w:fill="auto" w:val="clear"/>
            <w:vAlign w:val="center"/>
          </w:tcPr>
          <w:p>
            <w:pPr>
              <w:pStyle w:val="Normal"/>
              <w:jc w:val="both"/>
              <w:rPr>
                <w:sz w:val="20"/>
                <w:szCs w:val="20"/>
                <w:lang w:eastAsia="ru-RU"/>
              </w:rPr>
            </w:pPr>
            <w:r>
              <w:rPr>
                <w:sz w:val="20"/>
                <w:szCs w:val="20"/>
                <w:lang w:eastAsia="ru-RU"/>
              </w:rPr>
              <w:t>котельная № 3, пгт.Октябрьское, ул.Чапаева, 6б</w:t>
            </w:r>
          </w:p>
        </w:tc>
        <w:tc>
          <w:tcPr>
            <w:tcW w:w="2387"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0,0364</w:t>
            </w:r>
          </w:p>
        </w:tc>
        <w:tc>
          <w:tcPr>
            <w:tcW w:w="2386"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r>
      <w:tr>
        <w:trPr>
          <w:trHeight w:val="20" w:hRule="atLeast"/>
        </w:trPr>
        <w:tc>
          <w:tcPr>
            <w:tcW w:w="664" w:type="dxa"/>
            <w:tcBorders>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4</w:t>
            </w:r>
          </w:p>
        </w:tc>
        <w:tc>
          <w:tcPr>
            <w:tcW w:w="4200" w:type="dxa"/>
            <w:tcBorders>
              <w:bottom w:val="single" w:sz="4" w:space="0" w:color="000000"/>
              <w:right w:val="single" w:sz="4" w:space="0" w:color="000000"/>
            </w:tcBorders>
            <w:shd w:color="auto" w:fill="auto" w:val="clear"/>
            <w:vAlign w:val="center"/>
          </w:tcPr>
          <w:p>
            <w:pPr>
              <w:pStyle w:val="Normal"/>
              <w:jc w:val="both"/>
              <w:rPr>
                <w:sz w:val="20"/>
                <w:szCs w:val="20"/>
                <w:lang w:eastAsia="ru-RU"/>
              </w:rPr>
            </w:pPr>
            <w:r>
              <w:rPr>
                <w:sz w:val="20"/>
                <w:szCs w:val="20"/>
                <w:lang w:eastAsia="ru-RU"/>
              </w:rPr>
              <w:t>котельная № 6, пгт.Октябрьское, ул.Дзержинского, 2б</w:t>
            </w:r>
          </w:p>
        </w:tc>
        <w:tc>
          <w:tcPr>
            <w:tcW w:w="2387"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0,0613</w:t>
            </w:r>
          </w:p>
        </w:tc>
        <w:tc>
          <w:tcPr>
            <w:tcW w:w="2386"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r>
      <w:tr>
        <w:trPr>
          <w:trHeight w:val="20" w:hRule="atLeast"/>
        </w:trPr>
        <w:tc>
          <w:tcPr>
            <w:tcW w:w="664" w:type="dxa"/>
            <w:tcBorders>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5</w:t>
            </w:r>
          </w:p>
        </w:tc>
        <w:tc>
          <w:tcPr>
            <w:tcW w:w="4200" w:type="dxa"/>
            <w:tcBorders>
              <w:bottom w:val="single" w:sz="4" w:space="0" w:color="000000"/>
              <w:right w:val="single" w:sz="4" w:space="0" w:color="000000"/>
            </w:tcBorders>
            <w:shd w:color="auto" w:fill="auto" w:val="clear"/>
            <w:vAlign w:val="center"/>
          </w:tcPr>
          <w:p>
            <w:pPr>
              <w:pStyle w:val="Normal"/>
              <w:jc w:val="both"/>
              <w:rPr>
                <w:sz w:val="20"/>
                <w:szCs w:val="20"/>
                <w:lang w:eastAsia="ru-RU"/>
              </w:rPr>
            </w:pPr>
            <w:r>
              <w:rPr>
                <w:sz w:val="20"/>
                <w:szCs w:val="20"/>
                <w:lang w:eastAsia="ru-RU"/>
              </w:rPr>
              <w:t>котельная № 12, пгт.Октябрьское, ул.Медицинская, 3к</w:t>
            </w:r>
          </w:p>
        </w:tc>
        <w:tc>
          <w:tcPr>
            <w:tcW w:w="2387"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0,0106</w:t>
            </w:r>
          </w:p>
        </w:tc>
        <w:tc>
          <w:tcPr>
            <w:tcW w:w="2386"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0,0289</w:t>
            </w:r>
          </w:p>
        </w:tc>
      </w:tr>
      <w:tr>
        <w:trPr>
          <w:trHeight w:val="20" w:hRule="atLeast"/>
        </w:trPr>
        <w:tc>
          <w:tcPr>
            <w:tcW w:w="664" w:type="dxa"/>
            <w:tcBorders>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6</w:t>
            </w:r>
          </w:p>
        </w:tc>
        <w:tc>
          <w:tcPr>
            <w:tcW w:w="4200" w:type="dxa"/>
            <w:tcBorders>
              <w:bottom w:val="single" w:sz="4" w:space="0" w:color="000000"/>
              <w:right w:val="single" w:sz="4" w:space="0" w:color="000000"/>
            </w:tcBorders>
            <w:shd w:color="auto" w:fill="auto" w:val="clear"/>
            <w:vAlign w:val="center"/>
          </w:tcPr>
          <w:p>
            <w:pPr>
              <w:pStyle w:val="Normal"/>
              <w:jc w:val="both"/>
              <w:rPr>
                <w:sz w:val="20"/>
                <w:szCs w:val="20"/>
                <w:lang w:eastAsia="ru-RU"/>
              </w:rPr>
            </w:pPr>
            <w:r>
              <w:rPr>
                <w:sz w:val="20"/>
                <w:szCs w:val="20"/>
                <w:lang w:eastAsia="ru-RU"/>
              </w:rPr>
              <w:t>котельная № 7, пгт.Октябрьское, ул.Медицинская, 3Б</w:t>
            </w:r>
          </w:p>
        </w:tc>
        <w:tc>
          <w:tcPr>
            <w:tcW w:w="2387"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0,0183</w:t>
            </w:r>
          </w:p>
        </w:tc>
        <w:tc>
          <w:tcPr>
            <w:tcW w:w="2386"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r>
      <w:tr>
        <w:trPr>
          <w:trHeight w:val="20" w:hRule="atLeast"/>
        </w:trPr>
        <w:tc>
          <w:tcPr>
            <w:tcW w:w="664" w:type="dxa"/>
            <w:tcBorders>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7</w:t>
            </w:r>
          </w:p>
        </w:tc>
        <w:tc>
          <w:tcPr>
            <w:tcW w:w="4200" w:type="dxa"/>
            <w:tcBorders>
              <w:bottom w:val="single" w:sz="4" w:space="0" w:color="000000"/>
              <w:right w:val="single" w:sz="4" w:space="0" w:color="000000"/>
            </w:tcBorders>
            <w:shd w:color="auto" w:fill="auto" w:val="clear"/>
            <w:vAlign w:val="center"/>
          </w:tcPr>
          <w:p>
            <w:pPr>
              <w:pStyle w:val="Normal"/>
              <w:jc w:val="both"/>
              <w:rPr>
                <w:sz w:val="20"/>
                <w:szCs w:val="20"/>
                <w:lang w:eastAsia="ru-RU"/>
              </w:rPr>
            </w:pPr>
            <w:r>
              <w:rPr>
                <w:sz w:val="20"/>
                <w:szCs w:val="20"/>
                <w:lang w:eastAsia="ru-RU"/>
              </w:rPr>
              <w:t>перспективная котельная, пгт.Октябрьское, ул.Дзержинского, 14</w:t>
            </w:r>
          </w:p>
        </w:tc>
        <w:tc>
          <w:tcPr>
            <w:tcW w:w="2387"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c>
          <w:tcPr>
            <w:tcW w:w="2386"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0,1151</w:t>
            </w:r>
            <w:bookmarkStart w:id="23" w:name="_Hlk160602407"/>
            <w:bookmarkEnd w:id="23"/>
          </w:p>
        </w:tc>
      </w:tr>
    </w:tbl>
    <w:p>
      <w:pPr>
        <w:pStyle w:val="Normal"/>
        <w:keepNext w:val="true"/>
        <w:keepLines/>
        <w:numPr>
          <w:ilvl w:val="0"/>
          <w:numId w:val="0"/>
        </w:numPr>
        <w:ind w:left="0" w:hanging="0"/>
        <w:jc w:val="center"/>
        <w:outlineLvl w:val="0"/>
        <w:rPr>
          <w:rFonts w:eastAsia="Calibri Light" w:cs="Calibri Light"/>
          <w:b/>
          <w:b/>
          <w:lang w:eastAsia="en-US"/>
        </w:rPr>
      </w:pPr>
      <w:bookmarkStart w:id="24" w:name="_Toc160530676"/>
      <w:bookmarkStart w:id="25" w:name="_Toc181366952"/>
      <w:bookmarkStart w:id="26" w:name="_Hlk160649969"/>
      <w:bookmarkEnd w:id="26"/>
      <w:r>
        <w:rPr>
          <w:rFonts w:eastAsia="Calibri Light" w:cs="Calibri Light"/>
          <w:b/>
          <w:lang w:eastAsia="en-US"/>
        </w:rPr>
        <w:t>Раздел 2 «Существующие и перспективные балансы тепловой мощности источников тепловой энергии и тепловой нагрузки потребителей»</w:t>
      </w:r>
      <w:bookmarkEnd w:id="24"/>
      <w:bookmarkEnd w:id="25"/>
    </w:p>
    <w:p>
      <w:pPr>
        <w:pStyle w:val="Normal"/>
        <w:keepNext w:val="true"/>
        <w:keepLines/>
        <w:numPr>
          <w:ilvl w:val="0"/>
          <w:numId w:val="0"/>
        </w:numPr>
        <w:ind w:left="0" w:hanging="0"/>
        <w:jc w:val="center"/>
        <w:outlineLvl w:val="0"/>
        <w:rPr>
          <w:rFonts w:eastAsia="Calibri Light" w:cs="Calibri Light"/>
          <w:b/>
          <w:b/>
          <w:color w:val="000000"/>
          <w:lang w:eastAsia="en-US"/>
        </w:rPr>
      </w:pPr>
      <w:r>
        <w:rPr>
          <w:rFonts w:eastAsia="Calibri Light" w:cs="Calibri Light"/>
          <w:b/>
          <w:color w:val="000000"/>
          <w:lang w:eastAsia="en-US"/>
        </w:rPr>
      </w:r>
    </w:p>
    <w:p>
      <w:pPr>
        <w:pStyle w:val="Normal"/>
        <w:keepNext w:val="true"/>
        <w:keepLines/>
        <w:numPr>
          <w:ilvl w:val="0"/>
          <w:numId w:val="0"/>
        </w:numPr>
        <w:ind w:left="0" w:firstLine="709"/>
        <w:jc w:val="both"/>
        <w:outlineLvl w:val="1"/>
        <w:rPr>
          <w:rFonts w:eastAsia="Calibri Light" w:cs="Calibri Light"/>
          <w:b/>
          <w:b/>
          <w:szCs w:val="26"/>
          <w:lang w:eastAsia="en-US"/>
        </w:rPr>
      </w:pPr>
      <w:bookmarkStart w:id="27" w:name="_Toc160530677"/>
      <w:bookmarkStart w:id="28" w:name="_Toc181366953"/>
      <w:r>
        <w:rPr>
          <w:rFonts w:eastAsia="Calibri Light" w:cs="Calibri Light"/>
          <w:b/>
          <w:szCs w:val="26"/>
          <w:lang w:eastAsia="en-US"/>
        </w:rPr>
        <w:t>2.1. Описание существующих и перспективных зон действия систем теплоснабжения и источников тепловой энергии</w:t>
      </w:r>
      <w:bookmarkStart w:id="29" w:name="_Toc160530678"/>
      <w:bookmarkEnd w:id="27"/>
      <w:bookmarkEnd w:id="28"/>
      <w:bookmarkEnd w:id="29"/>
    </w:p>
    <w:p>
      <w:pPr>
        <w:pStyle w:val="Normal"/>
        <w:keepNext w:val="true"/>
        <w:keepLines/>
        <w:numPr>
          <w:ilvl w:val="0"/>
          <w:numId w:val="0"/>
        </w:numPr>
        <w:ind w:left="0" w:firstLine="709"/>
        <w:jc w:val="both"/>
        <w:outlineLvl w:val="1"/>
        <w:rPr>
          <w:rFonts w:eastAsia="Calibri Light" w:cs="Calibri Light"/>
          <w:b/>
          <w:b/>
          <w:szCs w:val="26"/>
          <w:lang w:eastAsia="en-US"/>
        </w:rPr>
      </w:pPr>
      <w:r>
        <w:rPr>
          <w:rFonts w:cs="Calibri"/>
          <w:lang w:eastAsia="ru-RU"/>
        </w:rPr>
        <w:t>Для отопления и горячего водоснабжения вновь строящихся индивидуальных домов рекомендуется использовать индивидуальные двухконтурные котлы. Для теплоснабжения строящихся зданий (группы зданий) с небольшим теплопотреблением – автономные источники тепла: отдельностоящие и пристроенные блочно-модульные котельные малой мощности. Выбор индивидуальных источников тепла объясняется тем, что объекты имеют незначительную тепловую нагрузку и находятся на значительном расстоянии друг от друга, что влечет за собой большие потери в тепловых сетях и значительные капитальные вложения по их прокладке.</w:t>
      </w:r>
    </w:p>
    <w:p>
      <w:pPr>
        <w:pStyle w:val="Normal"/>
        <w:keepNext w:val="true"/>
        <w:keepLines/>
        <w:numPr>
          <w:ilvl w:val="0"/>
          <w:numId w:val="0"/>
        </w:numPr>
        <w:ind w:left="0" w:firstLine="709"/>
        <w:jc w:val="both"/>
        <w:outlineLvl w:val="1"/>
        <w:rPr>
          <w:rFonts w:eastAsia="Calibri Light" w:cs="Calibri Light"/>
          <w:b/>
          <w:b/>
          <w:szCs w:val="26"/>
          <w:lang w:eastAsia="en-US"/>
        </w:rPr>
      </w:pPr>
      <w:r>
        <w:rPr>
          <w:rFonts w:eastAsia="Calibri" w:cs="Calibri"/>
          <w:szCs w:val="22"/>
          <w:lang w:eastAsia="en-US"/>
        </w:rPr>
        <w:t>Промышленные объекты расположены в промышленной зоне. Теплоснабжение промышленных предприятий осуществляется от существующих котельных и от автономных встроенных или пристроенных источников, входящих в комплекс конкретного объекта. Горячее водоснабжение – от индивидуальных водонагревателей при наличии централизованного холодного водоснабжения. Увеличение расхода тепла на технологические нужды в перспективе не прогнозируется.</w:t>
      </w:r>
      <w:r>
        <w:rPr>
          <w:rFonts w:cs="Calibri"/>
          <w:lang w:eastAsia="ru-RU"/>
        </w:rPr>
        <w:t xml:space="preserve"> </w:t>
      </w:r>
    </w:p>
    <w:p>
      <w:pPr>
        <w:pStyle w:val="Normal"/>
        <w:keepNext w:val="true"/>
        <w:keepLines/>
        <w:numPr>
          <w:ilvl w:val="0"/>
          <w:numId w:val="0"/>
        </w:numPr>
        <w:ind w:left="0" w:firstLine="709"/>
        <w:jc w:val="both"/>
        <w:outlineLvl w:val="1"/>
        <w:rPr>
          <w:rFonts w:eastAsia="Calibri Light" w:cs="Calibri Light"/>
          <w:b/>
          <w:b/>
          <w:szCs w:val="26"/>
          <w:lang w:eastAsia="en-US"/>
        </w:rPr>
      </w:pPr>
      <w:r>
        <w:rPr/>
        <w:t>Планами развития системы теплоснабжения поселения предусматривается:</w:t>
      </w:r>
    </w:p>
    <w:p>
      <w:pPr>
        <w:pStyle w:val="Normal"/>
        <w:keepNext w:val="true"/>
        <w:keepLines/>
        <w:numPr>
          <w:ilvl w:val="0"/>
          <w:numId w:val="0"/>
        </w:numPr>
        <w:ind w:left="0" w:firstLine="709"/>
        <w:jc w:val="both"/>
        <w:outlineLvl w:val="1"/>
        <w:rPr/>
      </w:pPr>
      <w:r>
        <w:rPr>
          <w:rFonts w:eastAsia="Calibri Light" w:cs="Calibri Light"/>
          <w:b/>
          <w:szCs w:val="26"/>
          <w:lang w:eastAsia="en-US"/>
        </w:rPr>
        <w:t xml:space="preserve">- </w:t>
      </w:r>
      <w:r>
        <w:rPr/>
        <w:t>капитальный ремонт (техническое перевооружение) котельной № 12                                   по ул.Медицинская, 3К в пгт.Октябрьское в части замены двух котлов на новые                                           с увеличением установленной мощности с автоматизацией технологического процесса                         с переключением нагрузки на котельную № 12 по ул.Медицинская, 3К котельной № 7                        по ул.Медицинская, 3Б и выводом ее из эксплуатации;</w:t>
      </w:r>
    </w:p>
    <w:p>
      <w:pPr>
        <w:pStyle w:val="Normal"/>
        <w:keepNext w:val="true"/>
        <w:keepLines/>
        <w:numPr>
          <w:ilvl w:val="0"/>
          <w:numId w:val="0"/>
        </w:numPr>
        <w:ind w:left="0" w:firstLine="709"/>
        <w:jc w:val="both"/>
        <w:outlineLvl w:val="1"/>
        <w:rPr/>
      </w:pPr>
      <w:r>
        <w:rPr/>
        <w:t>- строительство котельной по ул.Дзержинского, 14 в пгт.Октябрьское. Вывод из эксплуатации котельной № 2 по ул.Пионерская, 17Б и котельной № 6 по ул.Дзержинского, 2Б с переключением нагрузки на новую котельную по ул.Дзержинского, 14;</w:t>
      </w:r>
    </w:p>
    <w:p>
      <w:pPr>
        <w:pStyle w:val="Normal"/>
        <w:keepNext w:val="true"/>
        <w:keepLines/>
        <w:numPr>
          <w:ilvl w:val="0"/>
          <w:numId w:val="0"/>
        </w:numPr>
        <w:ind w:left="0" w:firstLine="709"/>
        <w:jc w:val="both"/>
        <w:outlineLvl w:val="1"/>
        <w:rPr>
          <w:rFonts w:eastAsia="Calibri Light" w:cs="Calibri Light"/>
          <w:b/>
          <w:b/>
          <w:szCs w:val="26"/>
          <w:lang w:eastAsia="en-US"/>
        </w:rPr>
      </w:pPr>
      <w:r>
        <w:rPr/>
        <w:t>- капитальный ремонт (техническое перевооружение) котельной № 1 по ул.Сенькина, 46б в пгт.Октябрьское. Вывод из эксплуатации котельной № 3 по ул.Чапаева, 6Б с переключением нагрузки на котельную № 1 по ул.Сенькина, 46б.</w:t>
      </w:r>
    </w:p>
    <w:p>
      <w:pPr>
        <w:pStyle w:val="Normal"/>
        <w:keepNext w:val="true"/>
        <w:keepLines/>
        <w:numPr>
          <w:ilvl w:val="0"/>
          <w:numId w:val="0"/>
        </w:numPr>
        <w:ind w:left="0" w:firstLine="709"/>
        <w:jc w:val="both"/>
        <w:outlineLvl w:val="1"/>
        <w:rPr/>
      </w:pPr>
      <w:r>
        <w:rPr/>
        <w:t>Реализация данных мероприятий запланирована на 2024 – 2027 годы и позволит сократить затраты на топливо за счет увеличения КПД котельной, а также обеспечить надежность теплоснабжения.</w:t>
      </w:r>
      <w:bookmarkStart w:id="30" w:name="_Toc160516811"/>
      <w:bookmarkStart w:id="31" w:name="_Toc181366954"/>
    </w:p>
    <w:p>
      <w:pPr>
        <w:pStyle w:val="Normal"/>
        <w:keepNext w:val="true"/>
        <w:keepLines/>
        <w:numPr>
          <w:ilvl w:val="0"/>
          <w:numId w:val="0"/>
        </w:numPr>
        <w:ind w:left="0" w:firstLine="709"/>
        <w:jc w:val="both"/>
        <w:outlineLvl w:val="1"/>
        <w:rPr/>
      </w:pPr>
      <w:r>
        <w:rPr/>
      </w:r>
    </w:p>
    <w:p>
      <w:pPr>
        <w:pStyle w:val="Normal"/>
        <w:keepNext w:val="true"/>
        <w:keepLines/>
        <w:numPr>
          <w:ilvl w:val="0"/>
          <w:numId w:val="0"/>
        </w:numPr>
        <w:ind w:left="0" w:firstLine="709"/>
        <w:jc w:val="both"/>
        <w:outlineLvl w:val="1"/>
        <w:rPr>
          <w:rFonts w:eastAsia="Calibri Light" w:cs="Calibri Light"/>
          <w:b/>
          <w:b/>
          <w:szCs w:val="26"/>
          <w:lang w:eastAsia="en-US"/>
        </w:rPr>
      </w:pPr>
      <w:r>
        <w:rPr>
          <w:rFonts w:eastAsia="Calibri Light" w:cs="Calibri Light"/>
          <w:b/>
          <w:szCs w:val="26"/>
          <w:lang w:eastAsia="en-US"/>
        </w:rPr>
        <w:t>2.2. Описание существующих и перспективных зон действия индивидуальных источников тепловой энергии</w:t>
      </w:r>
    </w:p>
    <w:p>
      <w:pPr>
        <w:pStyle w:val="Normal"/>
        <w:keepNext w:val="true"/>
        <w:keepLines/>
        <w:numPr>
          <w:ilvl w:val="0"/>
          <w:numId w:val="0"/>
        </w:numPr>
        <w:ind w:left="0" w:firstLine="709"/>
        <w:jc w:val="both"/>
        <w:outlineLvl w:val="1"/>
        <w:rPr>
          <w:rFonts w:eastAsia="Calibri Light" w:cs="Calibri Light"/>
          <w:b/>
          <w:b/>
          <w:szCs w:val="26"/>
          <w:lang w:eastAsia="en-US"/>
        </w:rPr>
      </w:pPr>
      <w:r>
        <w:rPr>
          <w:szCs w:val="28"/>
          <w:lang w:eastAsia="ru-RU"/>
        </w:rPr>
        <w:t>На расчетный срок теплоснабжение индивидуальной жилой застройки предусматривается обеспечить от индивидуальных источников тепла на твердом топливе, а также посредствам печного отопления. Подключение объектов индивидуальной жилой застройки к централизованным системам теплоснабжения не планируется.</w:t>
      </w:r>
      <w:bookmarkStart w:id="32" w:name="_Toc181366955"/>
      <w:bookmarkStart w:id="33" w:name="_Toc160516812"/>
      <w:bookmarkStart w:id="34" w:name="_Hlk1606499811"/>
      <w:bookmarkEnd w:id="30"/>
      <w:bookmarkEnd w:id="31"/>
      <w:bookmarkEnd w:id="34"/>
    </w:p>
    <w:p>
      <w:pPr>
        <w:pStyle w:val="Normal"/>
        <w:keepNext w:val="true"/>
        <w:keepLines/>
        <w:numPr>
          <w:ilvl w:val="0"/>
          <w:numId w:val="0"/>
        </w:numPr>
        <w:ind w:left="0" w:firstLine="709"/>
        <w:jc w:val="both"/>
        <w:outlineLvl w:val="1"/>
        <w:rPr>
          <w:rFonts w:eastAsia="Calibri Light" w:cs="Calibri Light"/>
          <w:b/>
          <w:b/>
          <w:szCs w:val="26"/>
          <w:lang w:eastAsia="en-US"/>
        </w:rPr>
      </w:pPr>
      <w:r>
        <w:rPr>
          <w:rFonts w:eastAsia="Calibri Light" w:cs="Calibri Light"/>
          <w:b/>
          <w:szCs w:val="26"/>
          <w:lang w:eastAsia="en-US"/>
        </w:rPr>
        <w:t xml:space="preserve">2.3. </w:t>
      </w:r>
      <w:bookmarkEnd w:id="33"/>
      <w:r>
        <w:rPr>
          <w:rFonts w:eastAsia="Calibri Light" w:cs="Calibri Light"/>
          <w:b/>
          <w:szCs w:val="26"/>
          <w:lang w:eastAsia="en-US"/>
        </w:rPr>
        <w:t>Существующие и перспективные балансы тепловой мощности и тепловой нагрузки потребителей в зонах действия источников тепловой энергии, в том числе работающих на единую тепловую сеть, на каждом этапе</w:t>
      </w:r>
      <w:bookmarkEnd w:id="32"/>
    </w:p>
    <w:p>
      <w:pPr>
        <w:pStyle w:val="Normal"/>
        <w:keepNext w:val="true"/>
        <w:keepLines/>
        <w:numPr>
          <w:ilvl w:val="0"/>
          <w:numId w:val="0"/>
        </w:numPr>
        <w:ind w:left="0" w:firstLine="709"/>
        <w:jc w:val="both"/>
        <w:outlineLvl w:val="1"/>
        <w:rPr>
          <w:rFonts w:eastAsia="Calibri Light" w:cs="Calibri Light"/>
          <w:b/>
          <w:b/>
          <w:szCs w:val="26"/>
          <w:lang w:eastAsia="en-US"/>
        </w:rPr>
      </w:pPr>
      <w:r>
        <w:rPr>
          <w:rFonts w:eastAsia="Calibri" w:cs="Calibri"/>
          <w:szCs w:val="22"/>
          <w:lang w:eastAsia="ru-RU"/>
        </w:rPr>
        <w:t xml:space="preserve">Балансы существующей на базовый период схемы теплоснабжения тепловой мощности в каждой из зон действия источников тепловой энергии с определением резервов (дефицитов) существующей располагаемой тепловой мощности источников тепловой энергии, устанавливаемых на основании величины расчетной тепловой нагрузки приведены в таблице 4. </w:t>
      </w:r>
    </w:p>
    <w:p>
      <w:pPr>
        <w:sectPr>
          <w:headerReference w:type="default" r:id="rId14"/>
          <w:footerReference w:type="default" r:id="rId15"/>
          <w:type w:val="nextPage"/>
          <w:pgSz w:w="11906" w:h="16838"/>
          <w:pgMar w:left="1701" w:right="567" w:header="0" w:top="1134" w:footer="0" w:bottom="851" w:gutter="0"/>
          <w:pgNumType w:fmt="decimal"/>
          <w:formProt w:val="false"/>
          <w:textDirection w:val="lrTb"/>
          <w:docGrid w:type="default" w:linePitch="360" w:charSpace="0"/>
        </w:sectPr>
        <w:pStyle w:val="Normal"/>
        <w:keepNext w:val="true"/>
        <w:keepLines/>
        <w:numPr>
          <w:ilvl w:val="0"/>
          <w:numId w:val="0"/>
        </w:numPr>
        <w:ind w:left="0" w:firstLine="709"/>
        <w:jc w:val="both"/>
        <w:outlineLvl w:val="1"/>
        <w:rPr>
          <w:rFonts w:eastAsia="Calibri" w:cs="Calibri"/>
          <w:szCs w:val="22"/>
          <w:lang w:eastAsia="ru-RU"/>
        </w:rPr>
      </w:pPr>
      <w:r>
        <w:rPr>
          <w:rFonts w:eastAsia="Calibri" w:cs="Calibri"/>
          <w:szCs w:val="22"/>
          <w:lang w:eastAsia="ru-RU"/>
        </w:rPr>
        <w:t>Перспективные балансы тепловой мощности в каждой из зон действия источников тепловой энергии с определением резервов (дефицитов) существующей располагаемой тепловой мощности источников тепловой энергии, устанавливаемых на основании величины расчетной тепловой нагрузки приведены в табли</w:t>
      </w:r>
      <w:bookmarkStart w:id="35" w:name="_Hlk160711603"/>
      <w:bookmarkStart w:id="36" w:name="_Hlk160649989"/>
      <w:bookmarkEnd w:id="35"/>
      <w:bookmarkEnd w:id="36"/>
      <w:r>
        <w:rPr>
          <w:rFonts w:eastAsia="Calibri" w:cs="Calibri"/>
          <w:szCs w:val="22"/>
          <w:lang w:eastAsia="ru-RU"/>
        </w:rPr>
        <w:t>це 5.</w:t>
      </w:r>
    </w:p>
    <w:p>
      <w:pPr>
        <w:pStyle w:val="Normal"/>
        <w:jc w:val="right"/>
        <w:rPr>
          <w:lang w:eastAsia="ru-RU"/>
        </w:rPr>
      </w:pPr>
      <w:bookmarkStart w:id="37" w:name="_Ref19657969"/>
      <w:bookmarkStart w:id="38" w:name="_Hlk50123801"/>
      <w:bookmarkEnd w:id="38"/>
      <w:r>
        <w:rPr>
          <w:rFonts w:eastAsia="Calibri" w:cs="Calibri"/>
          <w:szCs w:val="22"/>
          <w:lang w:eastAsia="en-US"/>
        </w:rPr>
        <w:t>Таблица</w:t>
      </w:r>
      <w:bookmarkEnd w:id="37"/>
      <w:r>
        <w:rPr>
          <w:rFonts w:eastAsia="Calibri" w:cs="Calibri"/>
          <w:szCs w:val="22"/>
          <w:lang w:eastAsia="en-US"/>
        </w:rPr>
        <w:t xml:space="preserve"> 4 – Балансы тепловой мощности и присоединенной тепловой нагрузки, Гкал/ч</w:t>
      </w:r>
      <w:bookmarkStart w:id="39" w:name="_Hlk501238011"/>
      <w:bookmarkEnd w:id="39"/>
    </w:p>
    <w:tbl>
      <w:tblPr>
        <w:tblW w:w="5000" w:type="pct"/>
        <w:jc w:val="left"/>
        <w:tblInd w:w="0" w:type="dxa"/>
        <w:tblCellMar>
          <w:top w:w="0" w:type="dxa"/>
          <w:left w:w="5" w:type="dxa"/>
          <w:bottom w:w="0" w:type="dxa"/>
          <w:right w:w="5" w:type="dxa"/>
        </w:tblCellMar>
        <w:tblLook w:val="04a0" w:noVBand="1" w:noHBand="0" w:lastColumn="0" w:firstColumn="1" w:lastRow="0" w:firstRow="1"/>
      </w:tblPr>
      <w:tblGrid>
        <w:gridCol w:w="670"/>
        <w:gridCol w:w="2099"/>
        <w:gridCol w:w="1587"/>
        <w:gridCol w:w="1559"/>
        <w:gridCol w:w="1075"/>
        <w:gridCol w:w="1355"/>
        <w:gridCol w:w="1107"/>
        <w:gridCol w:w="1527"/>
        <w:gridCol w:w="1134"/>
        <w:gridCol w:w="1396"/>
        <w:gridCol w:w="1059"/>
      </w:tblGrid>
      <w:tr>
        <w:trPr>
          <w:tblHeader w:val="true"/>
          <w:trHeight w:val="20" w:hRule="atLeast"/>
        </w:trPr>
        <w:tc>
          <w:tcPr>
            <w:tcW w:w="67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xml:space="preserve">№ </w:t>
            </w:r>
            <w:r>
              <w:rPr>
                <w:sz w:val="20"/>
                <w:szCs w:val="20"/>
                <w:lang w:eastAsia="ru-RU"/>
              </w:rPr>
              <w:t>п/п</w:t>
            </w:r>
          </w:p>
        </w:tc>
        <w:tc>
          <w:tcPr>
            <w:tcW w:w="2099" w:type="dxa"/>
            <w:tcBorders>
              <w:top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Наименование и адрес котельной</w:t>
            </w:r>
          </w:p>
        </w:tc>
        <w:tc>
          <w:tcPr>
            <w:tcW w:w="1587" w:type="dxa"/>
            <w:tcBorders>
              <w:top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Установленная мощность, Гкал/ч</w:t>
            </w:r>
          </w:p>
        </w:tc>
        <w:tc>
          <w:tcPr>
            <w:tcW w:w="1559" w:type="dxa"/>
            <w:tcBorders>
              <w:top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Располагаемая, Гкал/ч</w:t>
            </w:r>
          </w:p>
        </w:tc>
        <w:tc>
          <w:tcPr>
            <w:tcW w:w="1075" w:type="dxa"/>
            <w:tcBorders>
              <w:top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Тепловая мощность нетто, Гкал/ч</w:t>
            </w:r>
          </w:p>
        </w:tc>
        <w:tc>
          <w:tcPr>
            <w:tcW w:w="1355" w:type="dxa"/>
            <w:tcBorders>
              <w:top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Собственные нужды, Гкал/ч</w:t>
            </w:r>
          </w:p>
        </w:tc>
        <w:tc>
          <w:tcPr>
            <w:tcW w:w="1107" w:type="dxa"/>
            <w:tcBorders>
              <w:top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Потери в тепловых сетях, Гкал/ч</w:t>
            </w:r>
          </w:p>
        </w:tc>
        <w:tc>
          <w:tcPr>
            <w:tcW w:w="1527" w:type="dxa"/>
            <w:tcBorders>
              <w:top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Подключенная нагрузка, Гкал/ч</w:t>
            </w:r>
          </w:p>
        </w:tc>
        <w:tc>
          <w:tcPr>
            <w:tcW w:w="1134" w:type="dxa"/>
            <w:tcBorders>
              <w:top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Тепловая нагрузка на источнике, Гкал/ч</w:t>
            </w:r>
          </w:p>
        </w:tc>
        <w:tc>
          <w:tcPr>
            <w:tcW w:w="1396" w:type="dxa"/>
            <w:tcBorders>
              <w:top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Резерв (+)/ дефицит (-) тепловой мощности в номинальном режиме, Гкал/ч</w:t>
            </w:r>
          </w:p>
        </w:tc>
        <w:tc>
          <w:tcPr>
            <w:tcW w:w="1059" w:type="dxa"/>
            <w:tcBorders>
              <w:top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КИУТМ, %</w:t>
            </w:r>
          </w:p>
        </w:tc>
      </w:tr>
      <w:tr>
        <w:trPr>
          <w:trHeight w:val="20" w:hRule="atLeast"/>
        </w:trPr>
        <w:tc>
          <w:tcPr>
            <w:tcW w:w="670" w:type="dxa"/>
            <w:tcBorders>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r>
          </w:p>
        </w:tc>
        <w:tc>
          <w:tcPr>
            <w:tcW w:w="13898" w:type="dxa"/>
            <w:gridSpan w:val="10"/>
            <w:tcBorders>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городское поселение Октябрьское</w:t>
            </w:r>
          </w:p>
        </w:tc>
      </w:tr>
      <w:tr>
        <w:trPr>
          <w:trHeight w:val="20" w:hRule="atLeast"/>
        </w:trPr>
        <w:tc>
          <w:tcPr>
            <w:tcW w:w="670" w:type="dxa"/>
            <w:tcBorders>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w:t>
            </w:r>
          </w:p>
        </w:tc>
        <w:tc>
          <w:tcPr>
            <w:tcW w:w="2099"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котельная № 1, пгт.Октябрьское, ул.Сенькина, 46б</w:t>
            </w:r>
          </w:p>
        </w:tc>
        <w:tc>
          <w:tcPr>
            <w:tcW w:w="1587" w:type="dxa"/>
            <w:tcBorders>
              <w:bottom w:val="single" w:sz="8" w:space="0" w:color="000000"/>
              <w:right w:val="single" w:sz="8" w:space="0" w:color="000000"/>
            </w:tcBorders>
            <w:shd w:color="auto" w:fill="auto" w:val="clear"/>
            <w:vAlign w:val="center"/>
          </w:tcPr>
          <w:p>
            <w:pPr>
              <w:pStyle w:val="Normal"/>
              <w:jc w:val="center"/>
              <w:rPr>
                <w:lang w:eastAsia="ru-RU"/>
              </w:rPr>
            </w:pPr>
            <w:r>
              <w:rPr>
                <w:sz w:val="20"/>
                <w:szCs w:val="20"/>
              </w:rPr>
              <w:t>10,66</w:t>
            </w:r>
          </w:p>
        </w:tc>
        <w:tc>
          <w:tcPr>
            <w:tcW w:w="1559" w:type="dxa"/>
            <w:tcBorders>
              <w:bottom w:val="single" w:sz="8" w:space="0" w:color="000000"/>
              <w:right w:val="single" w:sz="8" w:space="0" w:color="000000"/>
            </w:tcBorders>
            <w:shd w:color="auto" w:fill="auto" w:val="clear"/>
            <w:vAlign w:val="center"/>
          </w:tcPr>
          <w:p>
            <w:pPr>
              <w:pStyle w:val="Normal"/>
              <w:jc w:val="center"/>
              <w:rPr>
                <w:lang w:eastAsia="ru-RU"/>
              </w:rPr>
            </w:pPr>
            <w:r>
              <w:rPr>
                <w:sz w:val="20"/>
                <w:szCs w:val="20"/>
              </w:rPr>
              <w:t>10,66</w:t>
            </w:r>
          </w:p>
        </w:tc>
        <w:tc>
          <w:tcPr>
            <w:tcW w:w="1075" w:type="dxa"/>
            <w:tcBorders>
              <w:bottom w:val="single" w:sz="8" w:space="0" w:color="000000"/>
              <w:right w:val="single" w:sz="8" w:space="0" w:color="000000"/>
            </w:tcBorders>
            <w:shd w:color="auto" w:fill="auto" w:val="clear"/>
            <w:vAlign w:val="center"/>
          </w:tcPr>
          <w:p>
            <w:pPr>
              <w:pStyle w:val="Normal"/>
              <w:jc w:val="center"/>
              <w:rPr>
                <w:lang w:eastAsia="ru-RU"/>
              </w:rPr>
            </w:pPr>
            <w:r>
              <w:rPr>
                <w:sz w:val="20"/>
                <w:szCs w:val="20"/>
              </w:rPr>
              <w:t>10,09</w:t>
            </w:r>
          </w:p>
        </w:tc>
        <w:tc>
          <w:tcPr>
            <w:tcW w:w="1355" w:type="dxa"/>
            <w:tcBorders>
              <w:bottom w:val="single" w:sz="8" w:space="0" w:color="000000"/>
              <w:right w:val="single" w:sz="8" w:space="0" w:color="000000"/>
            </w:tcBorders>
            <w:shd w:color="auto" w:fill="auto" w:val="clear"/>
            <w:vAlign w:val="center"/>
          </w:tcPr>
          <w:p>
            <w:pPr>
              <w:pStyle w:val="Normal"/>
              <w:jc w:val="center"/>
              <w:rPr>
                <w:lang w:eastAsia="ru-RU"/>
              </w:rPr>
            </w:pPr>
            <w:r>
              <w:rPr>
                <w:sz w:val="20"/>
                <w:szCs w:val="20"/>
              </w:rPr>
              <w:t>0,0</w:t>
            </w:r>
          </w:p>
        </w:tc>
        <w:tc>
          <w:tcPr>
            <w:tcW w:w="1107" w:type="dxa"/>
            <w:tcBorders>
              <w:bottom w:val="single" w:sz="8" w:space="0" w:color="000000"/>
              <w:right w:val="single" w:sz="8" w:space="0" w:color="000000"/>
            </w:tcBorders>
            <w:shd w:color="auto" w:fill="auto" w:val="clear"/>
            <w:vAlign w:val="center"/>
          </w:tcPr>
          <w:p>
            <w:pPr>
              <w:pStyle w:val="Normal"/>
              <w:jc w:val="center"/>
              <w:rPr>
                <w:lang w:eastAsia="ru-RU"/>
              </w:rPr>
            </w:pPr>
            <w:r>
              <w:rPr>
                <w:sz w:val="20"/>
                <w:szCs w:val="20"/>
              </w:rPr>
              <w:t>0,0</w:t>
            </w:r>
          </w:p>
        </w:tc>
        <w:tc>
          <w:tcPr>
            <w:tcW w:w="1527" w:type="dxa"/>
            <w:tcBorders>
              <w:bottom w:val="single" w:sz="8" w:space="0" w:color="000000"/>
              <w:right w:val="single" w:sz="8" w:space="0" w:color="000000"/>
            </w:tcBorders>
            <w:shd w:color="auto" w:fill="auto" w:val="clear"/>
            <w:vAlign w:val="center"/>
          </w:tcPr>
          <w:p>
            <w:pPr>
              <w:pStyle w:val="Normal"/>
              <w:jc w:val="center"/>
              <w:rPr>
                <w:lang w:eastAsia="ru-RU"/>
              </w:rPr>
            </w:pPr>
            <w:r>
              <w:rPr>
                <w:sz w:val="20"/>
                <w:szCs w:val="20"/>
              </w:rPr>
              <w:t>4,27</w:t>
            </w:r>
          </w:p>
        </w:tc>
        <w:tc>
          <w:tcPr>
            <w:tcW w:w="1134" w:type="dxa"/>
            <w:tcBorders>
              <w:bottom w:val="single" w:sz="8" w:space="0" w:color="000000"/>
              <w:right w:val="single" w:sz="8" w:space="0" w:color="000000"/>
            </w:tcBorders>
            <w:shd w:color="auto" w:fill="auto" w:val="clear"/>
            <w:vAlign w:val="center"/>
          </w:tcPr>
          <w:p>
            <w:pPr>
              <w:pStyle w:val="Normal"/>
              <w:jc w:val="center"/>
              <w:rPr>
                <w:lang w:eastAsia="ru-RU"/>
              </w:rPr>
            </w:pPr>
            <w:r>
              <w:rPr>
                <w:sz w:val="20"/>
                <w:szCs w:val="20"/>
              </w:rPr>
              <w:t>4,27</w:t>
            </w:r>
          </w:p>
        </w:tc>
        <w:tc>
          <w:tcPr>
            <w:tcW w:w="1396" w:type="dxa"/>
            <w:tcBorders>
              <w:bottom w:val="single" w:sz="8" w:space="0" w:color="000000"/>
              <w:right w:val="single" w:sz="8" w:space="0" w:color="000000"/>
            </w:tcBorders>
            <w:shd w:color="auto" w:fill="auto" w:val="clear"/>
            <w:vAlign w:val="center"/>
          </w:tcPr>
          <w:p>
            <w:pPr>
              <w:pStyle w:val="Normal"/>
              <w:jc w:val="center"/>
              <w:rPr>
                <w:lang w:eastAsia="ru-RU"/>
              </w:rPr>
            </w:pPr>
            <w:r>
              <w:rPr>
                <w:sz w:val="20"/>
                <w:szCs w:val="20"/>
              </w:rPr>
              <w:t>6,39</w:t>
            </w:r>
          </w:p>
        </w:tc>
        <w:tc>
          <w:tcPr>
            <w:tcW w:w="1059" w:type="dxa"/>
            <w:tcBorders>
              <w:bottom w:val="single" w:sz="8" w:space="0" w:color="000000"/>
              <w:right w:val="single" w:sz="8" w:space="0" w:color="000000"/>
            </w:tcBorders>
            <w:shd w:color="auto" w:fill="auto" w:val="clear"/>
            <w:vAlign w:val="center"/>
          </w:tcPr>
          <w:p>
            <w:pPr>
              <w:pStyle w:val="Normal"/>
              <w:jc w:val="center"/>
              <w:rPr>
                <w:lang w:eastAsia="ru-RU"/>
              </w:rPr>
            </w:pPr>
            <w:r>
              <w:rPr>
                <w:sz w:val="20"/>
                <w:szCs w:val="20"/>
              </w:rPr>
              <w:t>40,06</w:t>
            </w:r>
          </w:p>
        </w:tc>
      </w:tr>
      <w:tr>
        <w:trPr>
          <w:trHeight w:val="20" w:hRule="atLeast"/>
        </w:trPr>
        <w:tc>
          <w:tcPr>
            <w:tcW w:w="670" w:type="dxa"/>
            <w:tcBorders>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2</w:t>
            </w:r>
          </w:p>
        </w:tc>
        <w:tc>
          <w:tcPr>
            <w:tcW w:w="2099"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котельная № 2, пгт.Октябрьское, ул.Пионерская, 17б</w:t>
            </w:r>
          </w:p>
        </w:tc>
        <w:tc>
          <w:tcPr>
            <w:tcW w:w="1587" w:type="dxa"/>
            <w:tcBorders>
              <w:bottom w:val="single" w:sz="8" w:space="0" w:color="000000"/>
              <w:right w:val="single" w:sz="8" w:space="0" w:color="000000"/>
            </w:tcBorders>
            <w:shd w:color="auto" w:fill="auto" w:val="clear"/>
            <w:vAlign w:val="center"/>
          </w:tcPr>
          <w:p>
            <w:pPr>
              <w:pStyle w:val="Normal"/>
              <w:jc w:val="center"/>
              <w:rPr>
                <w:lang w:eastAsia="ru-RU"/>
              </w:rPr>
            </w:pPr>
            <w:r>
              <w:rPr>
                <w:sz w:val="20"/>
                <w:szCs w:val="20"/>
              </w:rPr>
              <w:t>6,36</w:t>
            </w:r>
          </w:p>
        </w:tc>
        <w:tc>
          <w:tcPr>
            <w:tcW w:w="1559" w:type="dxa"/>
            <w:tcBorders>
              <w:bottom w:val="single" w:sz="8" w:space="0" w:color="000000"/>
              <w:right w:val="single" w:sz="8" w:space="0" w:color="000000"/>
            </w:tcBorders>
            <w:shd w:color="auto" w:fill="auto" w:val="clear"/>
            <w:vAlign w:val="center"/>
          </w:tcPr>
          <w:p>
            <w:pPr>
              <w:pStyle w:val="Normal"/>
              <w:jc w:val="center"/>
              <w:rPr>
                <w:lang w:eastAsia="ru-RU"/>
              </w:rPr>
            </w:pPr>
            <w:r>
              <w:rPr>
                <w:sz w:val="20"/>
                <w:szCs w:val="20"/>
              </w:rPr>
              <w:t>6,36</w:t>
            </w:r>
          </w:p>
        </w:tc>
        <w:tc>
          <w:tcPr>
            <w:tcW w:w="1075" w:type="dxa"/>
            <w:tcBorders>
              <w:bottom w:val="single" w:sz="8" w:space="0" w:color="000000"/>
              <w:right w:val="single" w:sz="8" w:space="0" w:color="000000"/>
            </w:tcBorders>
            <w:shd w:color="auto" w:fill="auto" w:val="clear"/>
            <w:vAlign w:val="center"/>
          </w:tcPr>
          <w:p>
            <w:pPr>
              <w:pStyle w:val="Normal"/>
              <w:jc w:val="center"/>
              <w:rPr>
                <w:lang w:eastAsia="ru-RU"/>
              </w:rPr>
            </w:pPr>
            <w:r>
              <w:rPr>
                <w:sz w:val="20"/>
                <w:szCs w:val="20"/>
              </w:rPr>
              <w:t>6,3</w:t>
            </w:r>
          </w:p>
        </w:tc>
        <w:tc>
          <w:tcPr>
            <w:tcW w:w="1355" w:type="dxa"/>
            <w:tcBorders>
              <w:bottom w:val="single" w:sz="8" w:space="0" w:color="000000"/>
              <w:right w:val="single" w:sz="8" w:space="0" w:color="000000"/>
            </w:tcBorders>
            <w:shd w:color="auto" w:fill="auto" w:val="clear"/>
            <w:vAlign w:val="center"/>
          </w:tcPr>
          <w:p>
            <w:pPr>
              <w:pStyle w:val="Normal"/>
              <w:jc w:val="center"/>
              <w:rPr>
                <w:lang w:eastAsia="ru-RU"/>
              </w:rPr>
            </w:pPr>
            <w:r>
              <w:rPr>
                <w:sz w:val="20"/>
                <w:szCs w:val="20"/>
              </w:rPr>
              <w:t>0,0</w:t>
            </w:r>
          </w:p>
        </w:tc>
        <w:tc>
          <w:tcPr>
            <w:tcW w:w="1107" w:type="dxa"/>
            <w:tcBorders>
              <w:bottom w:val="single" w:sz="8" w:space="0" w:color="000000"/>
              <w:right w:val="single" w:sz="8" w:space="0" w:color="000000"/>
            </w:tcBorders>
            <w:shd w:color="auto" w:fill="auto" w:val="clear"/>
            <w:vAlign w:val="center"/>
          </w:tcPr>
          <w:p>
            <w:pPr>
              <w:pStyle w:val="Normal"/>
              <w:jc w:val="center"/>
              <w:rPr>
                <w:lang w:eastAsia="ru-RU"/>
              </w:rPr>
            </w:pPr>
            <w:r>
              <w:rPr>
                <w:sz w:val="20"/>
                <w:szCs w:val="20"/>
              </w:rPr>
              <w:t>0,0</w:t>
            </w:r>
          </w:p>
        </w:tc>
        <w:tc>
          <w:tcPr>
            <w:tcW w:w="1527" w:type="dxa"/>
            <w:tcBorders>
              <w:bottom w:val="single" w:sz="8" w:space="0" w:color="000000"/>
              <w:right w:val="single" w:sz="8" w:space="0" w:color="000000"/>
            </w:tcBorders>
            <w:shd w:color="auto" w:fill="auto" w:val="clear"/>
            <w:vAlign w:val="center"/>
          </w:tcPr>
          <w:p>
            <w:pPr>
              <w:pStyle w:val="Normal"/>
              <w:jc w:val="center"/>
              <w:rPr>
                <w:lang w:eastAsia="ru-RU"/>
              </w:rPr>
            </w:pPr>
            <w:r>
              <w:rPr>
                <w:sz w:val="20"/>
                <w:szCs w:val="20"/>
              </w:rPr>
              <w:t>1,12</w:t>
            </w:r>
          </w:p>
        </w:tc>
        <w:tc>
          <w:tcPr>
            <w:tcW w:w="1134" w:type="dxa"/>
            <w:tcBorders>
              <w:bottom w:val="single" w:sz="8" w:space="0" w:color="000000"/>
              <w:right w:val="single" w:sz="8" w:space="0" w:color="000000"/>
            </w:tcBorders>
            <w:shd w:color="auto" w:fill="auto" w:val="clear"/>
            <w:vAlign w:val="center"/>
          </w:tcPr>
          <w:p>
            <w:pPr>
              <w:pStyle w:val="Normal"/>
              <w:jc w:val="center"/>
              <w:rPr>
                <w:lang w:eastAsia="ru-RU"/>
              </w:rPr>
            </w:pPr>
            <w:r>
              <w:rPr>
                <w:sz w:val="20"/>
                <w:szCs w:val="20"/>
              </w:rPr>
              <w:t>1,12</w:t>
            </w:r>
          </w:p>
        </w:tc>
        <w:tc>
          <w:tcPr>
            <w:tcW w:w="1396" w:type="dxa"/>
            <w:tcBorders>
              <w:bottom w:val="single" w:sz="8" w:space="0" w:color="000000"/>
              <w:right w:val="single" w:sz="8" w:space="0" w:color="000000"/>
            </w:tcBorders>
            <w:shd w:color="auto" w:fill="auto" w:val="clear"/>
            <w:vAlign w:val="center"/>
          </w:tcPr>
          <w:p>
            <w:pPr>
              <w:pStyle w:val="Normal"/>
              <w:jc w:val="center"/>
              <w:rPr>
                <w:lang w:eastAsia="ru-RU"/>
              </w:rPr>
            </w:pPr>
            <w:r>
              <w:rPr>
                <w:sz w:val="20"/>
                <w:szCs w:val="20"/>
              </w:rPr>
              <w:t>5,24</w:t>
            </w:r>
          </w:p>
        </w:tc>
        <w:tc>
          <w:tcPr>
            <w:tcW w:w="1059" w:type="dxa"/>
            <w:tcBorders>
              <w:bottom w:val="single" w:sz="8" w:space="0" w:color="000000"/>
              <w:right w:val="single" w:sz="8" w:space="0" w:color="000000"/>
            </w:tcBorders>
            <w:shd w:color="auto" w:fill="auto" w:val="clear"/>
            <w:vAlign w:val="center"/>
          </w:tcPr>
          <w:p>
            <w:pPr>
              <w:pStyle w:val="Normal"/>
              <w:jc w:val="center"/>
              <w:rPr>
                <w:lang w:eastAsia="ru-RU"/>
              </w:rPr>
            </w:pPr>
            <w:r>
              <w:rPr>
                <w:sz w:val="20"/>
                <w:szCs w:val="20"/>
              </w:rPr>
              <w:t>17,61</w:t>
            </w:r>
          </w:p>
        </w:tc>
      </w:tr>
      <w:tr>
        <w:trPr>
          <w:trHeight w:val="20" w:hRule="atLeast"/>
        </w:trPr>
        <w:tc>
          <w:tcPr>
            <w:tcW w:w="670" w:type="dxa"/>
            <w:tcBorders>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3</w:t>
            </w:r>
          </w:p>
        </w:tc>
        <w:tc>
          <w:tcPr>
            <w:tcW w:w="2099"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котельная № 3, пгт.Октябрьское, ул.Чапаева, 6б</w:t>
            </w:r>
          </w:p>
        </w:tc>
        <w:tc>
          <w:tcPr>
            <w:tcW w:w="1587" w:type="dxa"/>
            <w:tcBorders>
              <w:bottom w:val="single" w:sz="8" w:space="0" w:color="000000"/>
              <w:right w:val="single" w:sz="8" w:space="0" w:color="000000"/>
            </w:tcBorders>
            <w:shd w:color="auto" w:fill="auto" w:val="clear"/>
            <w:vAlign w:val="center"/>
          </w:tcPr>
          <w:p>
            <w:pPr>
              <w:pStyle w:val="Normal"/>
              <w:jc w:val="center"/>
              <w:rPr>
                <w:lang w:eastAsia="ru-RU"/>
              </w:rPr>
            </w:pPr>
            <w:r>
              <w:rPr>
                <w:sz w:val="20"/>
                <w:szCs w:val="20"/>
              </w:rPr>
              <w:t>4,82</w:t>
            </w:r>
          </w:p>
        </w:tc>
        <w:tc>
          <w:tcPr>
            <w:tcW w:w="1559" w:type="dxa"/>
            <w:tcBorders>
              <w:bottom w:val="single" w:sz="8" w:space="0" w:color="000000"/>
              <w:right w:val="single" w:sz="8" w:space="0" w:color="000000"/>
            </w:tcBorders>
            <w:shd w:color="auto" w:fill="auto" w:val="clear"/>
            <w:vAlign w:val="center"/>
          </w:tcPr>
          <w:p>
            <w:pPr>
              <w:pStyle w:val="Normal"/>
              <w:jc w:val="center"/>
              <w:rPr>
                <w:lang w:eastAsia="ru-RU"/>
              </w:rPr>
            </w:pPr>
            <w:r>
              <w:rPr>
                <w:sz w:val="20"/>
                <w:szCs w:val="20"/>
              </w:rPr>
              <w:t>4,82</w:t>
            </w:r>
          </w:p>
        </w:tc>
        <w:tc>
          <w:tcPr>
            <w:tcW w:w="1075" w:type="dxa"/>
            <w:tcBorders>
              <w:bottom w:val="single" w:sz="8" w:space="0" w:color="000000"/>
              <w:right w:val="single" w:sz="8" w:space="0" w:color="000000"/>
            </w:tcBorders>
            <w:shd w:color="auto" w:fill="auto" w:val="clear"/>
            <w:vAlign w:val="center"/>
          </w:tcPr>
          <w:p>
            <w:pPr>
              <w:pStyle w:val="Normal"/>
              <w:jc w:val="center"/>
              <w:rPr>
                <w:lang w:eastAsia="ru-RU"/>
              </w:rPr>
            </w:pPr>
            <w:r>
              <w:rPr>
                <w:sz w:val="20"/>
                <w:szCs w:val="20"/>
              </w:rPr>
              <w:t>4,8</w:t>
            </w:r>
          </w:p>
        </w:tc>
        <w:tc>
          <w:tcPr>
            <w:tcW w:w="1355" w:type="dxa"/>
            <w:tcBorders>
              <w:bottom w:val="single" w:sz="8" w:space="0" w:color="000000"/>
              <w:right w:val="single" w:sz="8" w:space="0" w:color="000000"/>
            </w:tcBorders>
            <w:shd w:color="auto" w:fill="auto" w:val="clear"/>
            <w:vAlign w:val="center"/>
          </w:tcPr>
          <w:p>
            <w:pPr>
              <w:pStyle w:val="Normal"/>
              <w:jc w:val="center"/>
              <w:rPr>
                <w:lang w:eastAsia="ru-RU"/>
              </w:rPr>
            </w:pPr>
            <w:r>
              <w:rPr>
                <w:sz w:val="20"/>
                <w:szCs w:val="20"/>
              </w:rPr>
              <w:t>0,0</w:t>
            </w:r>
          </w:p>
        </w:tc>
        <w:tc>
          <w:tcPr>
            <w:tcW w:w="1107" w:type="dxa"/>
            <w:tcBorders>
              <w:bottom w:val="single" w:sz="8" w:space="0" w:color="000000"/>
              <w:right w:val="single" w:sz="8" w:space="0" w:color="000000"/>
            </w:tcBorders>
            <w:shd w:color="auto" w:fill="auto" w:val="clear"/>
            <w:vAlign w:val="center"/>
          </w:tcPr>
          <w:p>
            <w:pPr>
              <w:pStyle w:val="Normal"/>
              <w:jc w:val="center"/>
              <w:rPr>
                <w:lang w:eastAsia="ru-RU"/>
              </w:rPr>
            </w:pPr>
            <w:r>
              <w:rPr>
                <w:sz w:val="20"/>
                <w:szCs w:val="20"/>
              </w:rPr>
              <w:t>0,0</w:t>
            </w:r>
          </w:p>
        </w:tc>
        <w:tc>
          <w:tcPr>
            <w:tcW w:w="1527" w:type="dxa"/>
            <w:tcBorders>
              <w:bottom w:val="single" w:sz="8" w:space="0" w:color="000000"/>
              <w:right w:val="single" w:sz="8" w:space="0" w:color="000000"/>
            </w:tcBorders>
            <w:shd w:color="auto" w:fill="auto" w:val="clear"/>
            <w:vAlign w:val="center"/>
          </w:tcPr>
          <w:p>
            <w:pPr>
              <w:pStyle w:val="Normal"/>
              <w:jc w:val="center"/>
              <w:rPr>
                <w:lang w:eastAsia="ru-RU"/>
              </w:rPr>
            </w:pPr>
            <w:r>
              <w:rPr>
                <w:sz w:val="20"/>
                <w:szCs w:val="20"/>
              </w:rPr>
              <w:t>0,5</w:t>
            </w:r>
          </w:p>
        </w:tc>
        <w:tc>
          <w:tcPr>
            <w:tcW w:w="1134" w:type="dxa"/>
            <w:tcBorders>
              <w:bottom w:val="single" w:sz="8" w:space="0" w:color="000000"/>
              <w:right w:val="single" w:sz="8" w:space="0" w:color="000000"/>
            </w:tcBorders>
            <w:shd w:color="auto" w:fill="auto" w:val="clear"/>
            <w:vAlign w:val="center"/>
          </w:tcPr>
          <w:p>
            <w:pPr>
              <w:pStyle w:val="Normal"/>
              <w:jc w:val="center"/>
              <w:rPr>
                <w:lang w:eastAsia="ru-RU"/>
              </w:rPr>
            </w:pPr>
            <w:r>
              <w:rPr>
                <w:sz w:val="20"/>
                <w:szCs w:val="20"/>
              </w:rPr>
              <w:t>0,5</w:t>
            </w:r>
          </w:p>
        </w:tc>
        <w:tc>
          <w:tcPr>
            <w:tcW w:w="1396" w:type="dxa"/>
            <w:tcBorders>
              <w:bottom w:val="single" w:sz="8" w:space="0" w:color="000000"/>
              <w:right w:val="single" w:sz="8" w:space="0" w:color="000000"/>
            </w:tcBorders>
            <w:shd w:color="auto" w:fill="auto" w:val="clear"/>
            <w:vAlign w:val="center"/>
          </w:tcPr>
          <w:p>
            <w:pPr>
              <w:pStyle w:val="Normal"/>
              <w:jc w:val="center"/>
              <w:rPr>
                <w:lang w:eastAsia="ru-RU"/>
              </w:rPr>
            </w:pPr>
            <w:r>
              <w:rPr>
                <w:sz w:val="20"/>
                <w:szCs w:val="20"/>
                <w:lang w:eastAsia="ru-RU"/>
              </w:rPr>
              <w:t>4,32</w:t>
            </w:r>
          </w:p>
        </w:tc>
        <w:tc>
          <w:tcPr>
            <w:tcW w:w="1059" w:type="dxa"/>
            <w:tcBorders>
              <w:bottom w:val="single" w:sz="8" w:space="0" w:color="000000"/>
              <w:right w:val="single" w:sz="8" w:space="0" w:color="000000"/>
            </w:tcBorders>
            <w:shd w:color="auto" w:fill="auto" w:val="clear"/>
            <w:vAlign w:val="center"/>
          </w:tcPr>
          <w:p>
            <w:pPr>
              <w:pStyle w:val="Normal"/>
              <w:jc w:val="center"/>
              <w:rPr>
                <w:lang w:eastAsia="ru-RU"/>
              </w:rPr>
            </w:pPr>
            <w:r>
              <w:rPr>
                <w:sz w:val="20"/>
                <w:szCs w:val="20"/>
              </w:rPr>
              <w:t>10,37</w:t>
            </w:r>
          </w:p>
        </w:tc>
      </w:tr>
      <w:tr>
        <w:trPr>
          <w:trHeight w:val="20" w:hRule="atLeast"/>
        </w:trPr>
        <w:tc>
          <w:tcPr>
            <w:tcW w:w="670" w:type="dxa"/>
            <w:tcBorders>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4</w:t>
            </w:r>
          </w:p>
        </w:tc>
        <w:tc>
          <w:tcPr>
            <w:tcW w:w="2099"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котельная № 6, пгт.Октябрьское, ул.Дзержинского, 2б</w:t>
            </w:r>
          </w:p>
        </w:tc>
        <w:tc>
          <w:tcPr>
            <w:tcW w:w="1587" w:type="dxa"/>
            <w:tcBorders>
              <w:bottom w:val="single" w:sz="8" w:space="0" w:color="000000"/>
              <w:right w:val="single" w:sz="8" w:space="0" w:color="000000"/>
            </w:tcBorders>
            <w:shd w:color="auto" w:fill="auto" w:val="clear"/>
            <w:vAlign w:val="center"/>
          </w:tcPr>
          <w:p>
            <w:pPr>
              <w:pStyle w:val="Normal"/>
              <w:jc w:val="center"/>
              <w:rPr>
                <w:lang w:eastAsia="ru-RU"/>
              </w:rPr>
            </w:pPr>
            <w:r>
              <w:rPr>
                <w:sz w:val="20"/>
                <w:szCs w:val="20"/>
              </w:rPr>
              <w:t>4,64</w:t>
            </w:r>
          </w:p>
        </w:tc>
        <w:tc>
          <w:tcPr>
            <w:tcW w:w="1559" w:type="dxa"/>
            <w:tcBorders>
              <w:bottom w:val="single" w:sz="8" w:space="0" w:color="000000"/>
              <w:right w:val="single" w:sz="8" w:space="0" w:color="000000"/>
            </w:tcBorders>
            <w:shd w:color="auto" w:fill="auto" w:val="clear"/>
            <w:vAlign w:val="center"/>
          </w:tcPr>
          <w:p>
            <w:pPr>
              <w:pStyle w:val="Normal"/>
              <w:jc w:val="center"/>
              <w:rPr>
                <w:lang w:eastAsia="ru-RU"/>
              </w:rPr>
            </w:pPr>
            <w:r>
              <w:rPr>
                <w:sz w:val="20"/>
                <w:szCs w:val="20"/>
              </w:rPr>
              <w:t>4,64</w:t>
            </w:r>
          </w:p>
        </w:tc>
        <w:tc>
          <w:tcPr>
            <w:tcW w:w="1075" w:type="dxa"/>
            <w:tcBorders>
              <w:bottom w:val="single" w:sz="8" w:space="0" w:color="000000"/>
              <w:right w:val="single" w:sz="8" w:space="0" w:color="000000"/>
            </w:tcBorders>
            <w:shd w:color="auto" w:fill="auto" w:val="clear"/>
            <w:vAlign w:val="center"/>
          </w:tcPr>
          <w:p>
            <w:pPr>
              <w:pStyle w:val="Normal"/>
              <w:jc w:val="center"/>
              <w:rPr>
                <w:lang w:eastAsia="ru-RU"/>
              </w:rPr>
            </w:pPr>
            <w:r>
              <w:rPr>
                <w:sz w:val="20"/>
                <w:szCs w:val="20"/>
              </w:rPr>
              <w:t>4,6</w:t>
            </w:r>
          </w:p>
        </w:tc>
        <w:tc>
          <w:tcPr>
            <w:tcW w:w="1355" w:type="dxa"/>
            <w:tcBorders>
              <w:bottom w:val="single" w:sz="8" w:space="0" w:color="000000"/>
              <w:right w:val="single" w:sz="8" w:space="0" w:color="000000"/>
            </w:tcBorders>
            <w:shd w:color="auto" w:fill="auto" w:val="clear"/>
            <w:vAlign w:val="center"/>
          </w:tcPr>
          <w:p>
            <w:pPr>
              <w:pStyle w:val="Normal"/>
              <w:jc w:val="center"/>
              <w:rPr>
                <w:lang w:eastAsia="ru-RU"/>
              </w:rPr>
            </w:pPr>
            <w:r>
              <w:rPr>
                <w:sz w:val="20"/>
                <w:szCs w:val="20"/>
              </w:rPr>
              <w:t>0,0</w:t>
            </w:r>
          </w:p>
        </w:tc>
        <w:tc>
          <w:tcPr>
            <w:tcW w:w="1107" w:type="dxa"/>
            <w:tcBorders>
              <w:bottom w:val="single" w:sz="8" w:space="0" w:color="000000"/>
              <w:right w:val="single" w:sz="8" w:space="0" w:color="000000"/>
            </w:tcBorders>
            <w:shd w:color="auto" w:fill="auto" w:val="clear"/>
            <w:vAlign w:val="center"/>
          </w:tcPr>
          <w:p>
            <w:pPr>
              <w:pStyle w:val="Normal"/>
              <w:jc w:val="center"/>
              <w:rPr>
                <w:lang w:eastAsia="ru-RU"/>
              </w:rPr>
            </w:pPr>
            <w:r>
              <w:rPr>
                <w:sz w:val="20"/>
                <w:szCs w:val="20"/>
              </w:rPr>
              <w:t>0,0</w:t>
            </w:r>
          </w:p>
        </w:tc>
        <w:tc>
          <w:tcPr>
            <w:tcW w:w="1527" w:type="dxa"/>
            <w:tcBorders>
              <w:bottom w:val="single" w:sz="8" w:space="0" w:color="000000"/>
              <w:right w:val="single" w:sz="8" w:space="0" w:color="000000"/>
            </w:tcBorders>
            <w:shd w:color="auto" w:fill="auto" w:val="clear"/>
            <w:vAlign w:val="center"/>
          </w:tcPr>
          <w:p>
            <w:pPr>
              <w:pStyle w:val="Normal"/>
              <w:jc w:val="center"/>
              <w:rPr>
                <w:lang w:eastAsia="ru-RU"/>
              </w:rPr>
            </w:pPr>
            <w:r>
              <w:rPr>
                <w:sz w:val="20"/>
                <w:szCs w:val="20"/>
              </w:rPr>
              <w:t>0,33</w:t>
            </w:r>
          </w:p>
        </w:tc>
        <w:tc>
          <w:tcPr>
            <w:tcW w:w="1134" w:type="dxa"/>
            <w:tcBorders>
              <w:bottom w:val="single" w:sz="8" w:space="0" w:color="000000"/>
              <w:right w:val="single" w:sz="8" w:space="0" w:color="000000"/>
            </w:tcBorders>
            <w:shd w:color="auto" w:fill="auto" w:val="clear"/>
            <w:vAlign w:val="center"/>
          </w:tcPr>
          <w:p>
            <w:pPr>
              <w:pStyle w:val="Normal"/>
              <w:jc w:val="center"/>
              <w:rPr>
                <w:lang w:eastAsia="ru-RU"/>
              </w:rPr>
            </w:pPr>
            <w:r>
              <w:rPr>
                <w:sz w:val="20"/>
                <w:szCs w:val="20"/>
              </w:rPr>
              <w:t>0,33</w:t>
            </w:r>
          </w:p>
        </w:tc>
        <w:tc>
          <w:tcPr>
            <w:tcW w:w="1396" w:type="dxa"/>
            <w:tcBorders>
              <w:bottom w:val="single" w:sz="8" w:space="0" w:color="000000"/>
              <w:right w:val="single" w:sz="8" w:space="0" w:color="000000"/>
            </w:tcBorders>
            <w:shd w:color="auto" w:fill="auto" w:val="clear"/>
            <w:vAlign w:val="center"/>
          </w:tcPr>
          <w:p>
            <w:pPr>
              <w:pStyle w:val="Normal"/>
              <w:jc w:val="center"/>
              <w:rPr>
                <w:lang w:eastAsia="ru-RU"/>
              </w:rPr>
            </w:pPr>
            <w:r>
              <w:rPr>
                <w:sz w:val="20"/>
                <w:szCs w:val="20"/>
              </w:rPr>
              <w:t>4,31</w:t>
            </w:r>
          </w:p>
        </w:tc>
        <w:tc>
          <w:tcPr>
            <w:tcW w:w="1059" w:type="dxa"/>
            <w:tcBorders>
              <w:bottom w:val="single" w:sz="8" w:space="0" w:color="000000"/>
              <w:right w:val="single" w:sz="8" w:space="0" w:color="000000"/>
            </w:tcBorders>
            <w:shd w:color="auto" w:fill="auto" w:val="clear"/>
            <w:vAlign w:val="center"/>
          </w:tcPr>
          <w:p>
            <w:pPr>
              <w:pStyle w:val="Normal"/>
              <w:jc w:val="center"/>
              <w:rPr>
                <w:lang w:eastAsia="ru-RU"/>
              </w:rPr>
            </w:pPr>
            <w:r>
              <w:rPr>
                <w:sz w:val="20"/>
                <w:szCs w:val="20"/>
              </w:rPr>
              <w:t>7,11</w:t>
            </w:r>
          </w:p>
        </w:tc>
      </w:tr>
      <w:tr>
        <w:trPr>
          <w:trHeight w:val="680" w:hRule="atLeast"/>
        </w:trPr>
        <w:tc>
          <w:tcPr>
            <w:tcW w:w="670" w:type="dxa"/>
            <w:tcBorders>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5</w:t>
            </w:r>
          </w:p>
        </w:tc>
        <w:tc>
          <w:tcPr>
            <w:tcW w:w="2099"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котельная № 7, пгт.Октябрьское, ул.Медицинская, 3Б</w:t>
            </w:r>
          </w:p>
        </w:tc>
        <w:tc>
          <w:tcPr>
            <w:tcW w:w="1587" w:type="dxa"/>
            <w:tcBorders>
              <w:bottom w:val="single" w:sz="8" w:space="0" w:color="000000"/>
              <w:right w:val="single" w:sz="8" w:space="0" w:color="000000"/>
            </w:tcBorders>
            <w:shd w:color="auto" w:fill="auto" w:val="clear"/>
            <w:vAlign w:val="center"/>
          </w:tcPr>
          <w:p>
            <w:pPr>
              <w:pStyle w:val="Normal"/>
              <w:jc w:val="center"/>
              <w:rPr>
                <w:lang w:eastAsia="ru-RU"/>
              </w:rPr>
            </w:pPr>
            <w:r>
              <w:rPr>
                <w:sz w:val="20"/>
                <w:szCs w:val="20"/>
              </w:rPr>
              <w:t>5,16</w:t>
            </w:r>
          </w:p>
        </w:tc>
        <w:tc>
          <w:tcPr>
            <w:tcW w:w="1559" w:type="dxa"/>
            <w:tcBorders>
              <w:bottom w:val="single" w:sz="8" w:space="0" w:color="000000"/>
              <w:right w:val="single" w:sz="8" w:space="0" w:color="000000"/>
            </w:tcBorders>
            <w:shd w:color="auto" w:fill="auto" w:val="clear"/>
            <w:vAlign w:val="center"/>
          </w:tcPr>
          <w:p>
            <w:pPr>
              <w:pStyle w:val="Normal"/>
              <w:jc w:val="center"/>
              <w:rPr>
                <w:lang w:eastAsia="ru-RU"/>
              </w:rPr>
            </w:pPr>
            <w:r>
              <w:rPr>
                <w:sz w:val="20"/>
                <w:szCs w:val="20"/>
              </w:rPr>
              <w:t>5,16</w:t>
            </w:r>
          </w:p>
        </w:tc>
        <w:tc>
          <w:tcPr>
            <w:tcW w:w="1075" w:type="dxa"/>
            <w:tcBorders>
              <w:bottom w:val="single" w:sz="8" w:space="0" w:color="000000"/>
              <w:right w:val="single" w:sz="8" w:space="0" w:color="000000"/>
            </w:tcBorders>
            <w:shd w:color="auto" w:fill="auto" w:val="clear"/>
            <w:vAlign w:val="center"/>
          </w:tcPr>
          <w:p>
            <w:pPr>
              <w:pStyle w:val="Normal"/>
              <w:jc w:val="center"/>
              <w:rPr>
                <w:lang w:eastAsia="ru-RU"/>
              </w:rPr>
            </w:pPr>
            <w:r>
              <w:rPr>
                <w:sz w:val="20"/>
                <w:szCs w:val="20"/>
              </w:rPr>
              <w:t>5,05</w:t>
            </w:r>
          </w:p>
        </w:tc>
        <w:tc>
          <w:tcPr>
            <w:tcW w:w="1355" w:type="dxa"/>
            <w:tcBorders>
              <w:bottom w:val="single" w:sz="8" w:space="0" w:color="000000"/>
              <w:right w:val="single" w:sz="8" w:space="0" w:color="000000"/>
            </w:tcBorders>
            <w:shd w:color="auto" w:fill="auto" w:val="clear"/>
            <w:vAlign w:val="center"/>
          </w:tcPr>
          <w:p>
            <w:pPr>
              <w:pStyle w:val="Normal"/>
              <w:jc w:val="center"/>
              <w:rPr>
                <w:lang w:eastAsia="ru-RU"/>
              </w:rPr>
            </w:pPr>
            <w:r>
              <w:rPr>
                <w:sz w:val="20"/>
                <w:szCs w:val="20"/>
              </w:rPr>
              <w:t>0,0</w:t>
            </w:r>
          </w:p>
        </w:tc>
        <w:tc>
          <w:tcPr>
            <w:tcW w:w="1107" w:type="dxa"/>
            <w:tcBorders>
              <w:bottom w:val="single" w:sz="8" w:space="0" w:color="000000"/>
              <w:right w:val="single" w:sz="8" w:space="0" w:color="000000"/>
            </w:tcBorders>
            <w:shd w:color="auto" w:fill="auto" w:val="clear"/>
            <w:vAlign w:val="center"/>
          </w:tcPr>
          <w:p>
            <w:pPr>
              <w:pStyle w:val="Normal"/>
              <w:jc w:val="center"/>
              <w:rPr>
                <w:lang w:eastAsia="ru-RU"/>
              </w:rPr>
            </w:pPr>
            <w:r>
              <w:rPr>
                <w:sz w:val="20"/>
                <w:szCs w:val="20"/>
              </w:rPr>
              <w:t>0,0</w:t>
            </w:r>
          </w:p>
        </w:tc>
        <w:tc>
          <w:tcPr>
            <w:tcW w:w="1527" w:type="dxa"/>
            <w:tcBorders>
              <w:bottom w:val="single" w:sz="8" w:space="0" w:color="000000"/>
              <w:right w:val="single" w:sz="8" w:space="0" w:color="000000"/>
            </w:tcBorders>
            <w:shd w:color="auto" w:fill="auto" w:val="clear"/>
            <w:vAlign w:val="center"/>
          </w:tcPr>
          <w:p>
            <w:pPr>
              <w:pStyle w:val="Normal"/>
              <w:jc w:val="center"/>
              <w:rPr>
                <w:lang w:eastAsia="ru-RU"/>
              </w:rPr>
            </w:pPr>
            <w:r>
              <w:rPr>
                <w:sz w:val="20"/>
                <w:szCs w:val="20"/>
              </w:rPr>
              <w:t>0,102</w:t>
            </w:r>
          </w:p>
        </w:tc>
        <w:tc>
          <w:tcPr>
            <w:tcW w:w="1134" w:type="dxa"/>
            <w:tcBorders>
              <w:bottom w:val="single" w:sz="8" w:space="0" w:color="000000"/>
              <w:right w:val="single" w:sz="8" w:space="0" w:color="000000"/>
            </w:tcBorders>
            <w:shd w:color="auto" w:fill="auto" w:val="clear"/>
            <w:vAlign w:val="center"/>
          </w:tcPr>
          <w:p>
            <w:pPr>
              <w:pStyle w:val="Normal"/>
              <w:jc w:val="center"/>
              <w:rPr>
                <w:lang w:eastAsia="ru-RU"/>
              </w:rPr>
            </w:pPr>
            <w:r>
              <w:rPr>
                <w:sz w:val="20"/>
                <w:szCs w:val="20"/>
              </w:rPr>
              <w:t>0,102</w:t>
            </w:r>
          </w:p>
        </w:tc>
        <w:tc>
          <w:tcPr>
            <w:tcW w:w="1396" w:type="dxa"/>
            <w:tcBorders>
              <w:bottom w:val="single" w:sz="8" w:space="0" w:color="000000"/>
              <w:right w:val="single" w:sz="8" w:space="0" w:color="000000"/>
            </w:tcBorders>
            <w:shd w:color="auto" w:fill="auto" w:val="clear"/>
            <w:vAlign w:val="center"/>
          </w:tcPr>
          <w:p>
            <w:pPr>
              <w:pStyle w:val="Normal"/>
              <w:jc w:val="center"/>
              <w:rPr>
                <w:lang w:eastAsia="ru-RU"/>
              </w:rPr>
            </w:pPr>
            <w:r>
              <w:rPr>
                <w:sz w:val="20"/>
                <w:szCs w:val="20"/>
              </w:rPr>
              <w:t>5,058</w:t>
            </w:r>
          </w:p>
        </w:tc>
        <w:tc>
          <w:tcPr>
            <w:tcW w:w="1059" w:type="dxa"/>
            <w:tcBorders>
              <w:bottom w:val="single" w:sz="8" w:space="0" w:color="000000"/>
              <w:right w:val="single" w:sz="8" w:space="0" w:color="000000"/>
            </w:tcBorders>
            <w:shd w:color="auto" w:fill="auto" w:val="clear"/>
            <w:vAlign w:val="center"/>
          </w:tcPr>
          <w:p>
            <w:pPr>
              <w:pStyle w:val="Normal"/>
              <w:jc w:val="center"/>
              <w:rPr>
                <w:lang w:eastAsia="ru-RU"/>
              </w:rPr>
            </w:pPr>
            <w:r>
              <w:rPr>
                <w:sz w:val="20"/>
                <w:szCs w:val="20"/>
              </w:rPr>
              <w:t>1,98</w:t>
            </w:r>
          </w:p>
        </w:tc>
      </w:tr>
      <w:tr>
        <w:trPr>
          <w:trHeight w:val="20" w:hRule="atLeast"/>
        </w:trPr>
        <w:tc>
          <w:tcPr>
            <w:tcW w:w="670" w:type="dxa"/>
            <w:tcBorders>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6</w:t>
            </w:r>
          </w:p>
        </w:tc>
        <w:tc>
          <w:tcPr>
            <w:tcW w:w="2099"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котельная № 12, пгт.Октябрьское, ул.Медицинская, 3к</w:t>
            </w:r>
          </w:p>
        </w:tc>
        <w:tc>
          <w:tcPr>
            <w:tcW w:w="1587" w:type="dxa"/>
            <w:tcBorders>
              <w:bottom w:val="single" w:sz="8" w:space="0" w:color="000000"/>
              <w:right w:val="single" w:sz="8" w:space="0" w:color="000000"/>
            </w:tcBorders>
            <w:shd w:color="auto" w:fill="auto" w:val="clear"/>
            <w:vAlign w:val="center"/>
          </w:tcPr>
          <w:p>
            <w:pPr>
              <w:pStyle w:val="Normal"/>
              <w:jc w:val="center"/>
              <w:rPr>
                <w:lang w:eastAsia="ru-RU"/>
              </w:rPr>
            </w:pPr>
            <w:r>
              <w:rPr>
                <w:sz w:val="20"/>
                <w:szCs w:val="20"/>
              </w:rPr>
              <w:t>4,30</w:t>
            </w:r>
          </w:p>
        </w:tc>
        <w:tc>
          <w:tcPr>
            <w:tcW w:w="1559" w:type="dxa"/>
            <w:tcBorders>
              <w:bottom w:val="single" w:sz="8" w:space="0" w:color="000000"/>
              <w:right w:val="single" w:sz="8" w:space="0" w:color="000000"/>
            </w:tcBorders>
            <w:shd w:color="auto" w:fill="auto" w:val="clear"/>
            <w:vAlign w:val="center"/>
          </w:tcPr>
          <w:p>
            <w:pPr>
              <w:pStyle w:val="Normal"/>
              <w:jc w:val="center"/>
              <w:rPr>
                <w:lang w:eastAsia="ru-RU"/>
              </w:rPr>
            </w:pPr>
            <w:r>
              <w:rPr>
                <w:sz w:val="20"/>
                <w:szCs w:val="20"/>
              </w:rPr>
              <w:t>4,30</w:t>
            </w:r>
          </w:p>
        </w:tc>
        <w:tc>
          <w:tcPr>
            <w:tcW w:w="1075" w:type="dxa"/>
            <w:tcBorders>
              <w:bottom w:val="single" w:sz="8" w:space="0" w:color="000000"/>
              <w:right w:val="single" w:sz="8" w:space="0" w:color="000000"/>
            </w:tcBorders>
            <w:shd w:color="auto" w:fill="auto" w:val="clear"/>
            <w:vAlign w:val="center"/>
          </w:tcPr>
          <w:p>
            <w:pPr>
              <w:pStyle w:val="Normal"/>
              <w:jc w:val="center"/>
              <w:rPr>
                <w:lang w:eastAsia="ru-RU"/>
              </w:rPr>
            </w:pPr>
            <w:r>
              <w:rPr>
                <w:sz w:val="20"/>
                <w:szCs w:val="20"/>
              </w:rPr>
              <w:t>4,15</w:t>
            </w:r>
          </w:p>
        </w:tc>
        <w:tc>
          <w:tcPr>
            <w:tcW w:w="1355" w:type="dxa"/>
            <w:tcBorders>
              <w:bottom w:val="single" w:sz="8" w:space="0" w:color="000000"/>
              <w:right w:val="single" w:sz="8" w:space="0" w:color="000000"/>
            </w:tcBorders>
            <w:shd w:color="auto" w:fill="auto" w:val="clear"/>
            <w:vAlign w:val="center"/>
          </w:tcPr>
          <w:p>
            <w:pPr>
              <w:pStyle w:val="Normal"/>
              <w:jc w:val="center"/>
              <w:rPr>
                <w:lang w:eastAsia="ru-RU"/>
              </w:rPr>
            </w:pPr>
            <w:r>
              <w:rPr>
                <w:sz w:val="20"/>
                <w:szCs w:val="20"/>
              </w:rPr>
              <w:t>0,0</w:t>
            </w:r>
          </w:p>
        </w:tc>
        <w:tc>
          <w:tcPr>
            <w:tcW w:w="1107" w:type="dxa"/>
            <w:tcBorders>
              <w:bottom w:val="single" w:sz="8" w:space="0" w:color="000000"/>
              <w:right w:val="single" w:sz="8" w:space="0" w:color="000000"/>
            </w:tcBorders>
            <w:shd w:color="auto" w:fill="auto" w:val="clear"/>
            <w:vAlign w:val="center"/>
          </w:tcPr>
          <w:p>
            <w:pPr>
              <w:pStyle w:val="Normal"/>
              <w:jc w:val="center"/>
              <w:rPr>
                <w:lang w:eastAsia="ru-RU"/>
              </w:rPr>
            </w:pPr>
            <w:r>
              <w:rPr>
                <w:sz w:val="20"/>
                <w:szCs w:val="20"/>
              </w:rPr>
              <w:t>0,0</w:t>
            </w:r>
          </w:p>
        </w:tc>
        <w:tc>
          <w:tcPr>
            <w:tcW w:w="1527" w:type="dxa"/>
            <w:tcBorders>
              <w:bottom w:val="single" w:sz="8" w:space="0" w:color="000000"/>
              <w:right w:val="single" w:sz="8" w:space="0" w:color="000000"/>
            </w:tcBorders>
            <w:shd w:color="auto" w:fill="auto" w:val="clear"/>
            <w:vAlign w:val="center"/>
          </w:tcPr>
          <w:p>
            <w:pPr>
              <w:pStyle w:val="Normal"/>
              <w:jc w:val="center"/>
              <w:rPr>
                <w:lang w:eastAsia="ru-RU"/>
              </w:rPr>
            </w:pPr>
            <w:r>
              <w:rPr>
                <w:sz w:val="20"/>
                <w:szCs w:val="20"/>
              </w:rPr>
              <w:t>2,50</w:t>
            </w:r>
          </w:p>
        </w:tc>
        <w:tc>
          <w:tcPr>
            <w:tcW w:w="1134" w:type="dxa"/>
            <w:tcBorders>
              <w:bottom w:val="single" w:sz="8" w:space="0" w:color="000000"/>
              <w:right w:val="single" w:sz="8" w:space="0" w:color="000000"/>
            </w:tcBorders>
            <w:shd w:color="auto" w:fill="auto" w:val="clear"/>
            <w:vAlign w:val="center"/>
          </w:tcPr>
          <w:p>
            <w:pPr>
              <w:pStyle w:val="Normal"/>
              <w:jc w:val="center"/>
              <w:rPr>
                <w:lang w:eastAsia="ru-RU"/>
              </w:rPr>
            </w:pPr>
            <w:r>
              <w:rPr>
                <w:sz w:val="20"/>
                <w:szCs w:val="20"/>
              </w:rPr>
              <w:t>2,50</w:t>
            </w:r>
          </w:p>
        </w:tc>
        <w:tc>
          <w:tcPr>
            <w:tcW w:w="1396" w:type="dxa"/>
            <w:tcBorders>
              <w:bottom w:val="single" w:sz="8" w:space="0" w:color="000000"/>
              <w:right w:val="single" w:sz="8" w:space="0" w:color="000000"/>
            </w:tcBorders>
            <w:shd w:color="auto" w:fill="auto" w:val="clear"/>
            <w:vAlign w:val="center"/>
          </w:tcPr>
          <w:p>
            <w:pPr>
              <w:pStyle w:val="Normal"/>
              <w:jc w:val="center"/>
              <w:rPr>
                <w:lang w:eastAsia="ru-RU"/>
              </w:rPr>
            </w:pPr>
            <w:r>
              <w:rPr>
                <w:sz w:val="20"/>
                <w:szCs w:val="20"/>
              </w:rPr>
              <w:t>1,8</w:t>
            </w:r>
          </w:p>
        </w:tc>
        <w:tc>
          <w:tcPr>
            <w:tcW w:w="1059" w:type="dxa"/>
            <w:tcBorders>
              <w:bottom w:val="single" w:sz="8" w:space="0" w:color="000000"/>
              <w:right w:val="single" w:sz="8" w:space="0" w:color="000000"/>
            </w:tcBorders>
            <w:shd w:color="auto" w:fill="auto" w:val="clear"/>
            <w:vAlign w:val="center"/>
          </w:tcPr>
          <w:p>
            <w:pPr>
              <w:pStyle w:val="Normal"/>
              <w:jc w:val="center"/>
              <w:rPr>
                <w:lang w:eastAsia="ru-RU"/>
              </w:rPr>
            </w:pPr>
            <w:r>
              <w:rPr>
                <w:sz w:val="20"/>
                <w:szCs w:val="20"/>
              </w:rPr>
              <w:t>58,14</w:t>
            </w:r>
          </w:p>
        </w:tc>
      </w:tr>
      <w:tr>
        <w:trPr>
          <w:trHeight w:val="680" w:hRule="atLeast"/>
        </w:trPr>
        <w:tc>
          <w:tcPr>
            <w:tcW w:w="670" w:type="dxa"/>
            <w:tcBorders>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7</w:t>
            </w:r>
          </w:p>
        </w:tc>
        <w:tc>
          <w:tcPr>
            <w:tcW w:w="2099" w:type="dxa"/>
            <w:tcBorders>
              <w:bottom w:val="single" w:sz="8" w:space="0" w:color="000000"/>
              <w:right w:val="single" w:sz="8" w:space="0" w:color="000000"/>
            </w:tcBorders>
            <w:shd w:color="auto" w:fill="auto" w:val="clear"/>
            <w:vAlign w:val="center"/>
          </w:tcPr>
          <w:p>
            <w:pPr>
              <w:pStyle w:val="Normal"/>
              <w:jc w:val="center"/>
              <w:rPr>
                <w:sz w:val="20"/>
                <w:szCs w:val="20"/>
              </w:rPr>
            </w:pPr>
            <w:r>
              <w:rPr>
                <w:sz w:val="20"/>
                <w:szCs w:val="20"/>
              </w:rPr>
              <w:t xml:space="preserve">котельная № 8, пгт.Октябрьское, </w:t>
            </w:r>
          </w:p>
          <w:p>
            <w:pPr>
              <w:pStyle w:val="Normal"/>
              <w:jc w:val="center"/>
              <w:rPr>
                <w:sz w:val="20"/>
                <w:szCs w:val="20"/>
                <w:lang w:eastAsia="ru-RU"/>
              </w:rPr>
            </w:pPr>
            <w:r>
              <w:rPr>
                <w:sz w:val="20"/>
                <w:szCs w:val="20"/>
              </w:rPr>
              <w:t>ул.50 лет, 38А</w:t>
            </w:r>
          </w:p>
        </w:tc>
        <w:tc>
          <w:tcPr>
            <w:tcW w:w="1587" w:type="dxa"/>
            <w:tcBorders>
              <w:bottom w:val="single" w:sz="8" w:space="0" w:color="000000"/>
              <w:right w:val="single" w:sz="8" w:space="0" w:color="000000"/>
            </w:tcBorders>
            <w:shd w:color="auto" w:fill="auto" w:val="clear"/>
            <w:vAlign w:val="center"/>
          </w:tcPr>
          <w:p>
            <w:pPr>
              <w:pStyle w:val="Normal"/>
              <w:jc w:val="center"/>
              <w:rPr>
                <w:lang w:eastAsia="ru-RU"/>
              </w:rPr>
            </w:pPr>
            <w:r>
              <w:rPr>
                <w:sz w:val="20"/>
                <w:szCs w:val="20"/>
              </w:rPr>
              <w:t>0,43</w:t>
            </w:r>
          </w:p>
        </w:tc>
        <w:tc>
          <w:tcPr>
            <w:tcW w:w="1559" w:type="dxa"/>
            <w:tcBorders>
              <w:bottom w:val="single" w:sz="8" w:space="0" w:color="000000"/>
              <w:right w:val="single" w:sz="8" w:space="0" w:color="000000"/>
            </w:tcBorders>
            <w:shd w:color="auto" w:fill="auto" w:val="clear"/>
            <w:vAlign w:val="center"/>
          </w:tcPr>
          <w:p>
            <w:pPr>
              <w:pStyle w:val="Normal"/>
              <w:jc w:val="center"/>
              <w:rPr>
                <w:lang w:eastAsia="ru-RU"/>
              </w:rPr>
            </w:pPr>
            <w:r>
              <w:rPr>
                <w:sz w:val="20"/>
                <w:szCs w:val="20"/>
              </w:rPr>
              <w:t>0,43</w:t>
            </w:r>
          </w:p>
        </w:tc>
        <w:tc>
          <w:tcPr>
            <w:tcW w:w="1075" w:type="dxa"/>
            <w:tcBorders>
              <w:bottom w:val="single" w:sz="8" w:space="0" w:color="000000"/>
              <w:right w:val="single" w:sz="8" w:space="0" w:color="000000"/>
            </w:tcBorders>
            <w:shd w:color="auto" w:fill="auto" w:val="clear"/>
            <w:vAlign w:val="center"/>
          </w:tcPr>
          <w:p>
            <w:pPr>
              <w:pStyle w:val="Normal"/>
              <w:jc w:val="center"/>
              <w:rPr>
                <w:lang w:eastAsia="ru-RU"/>
              </w:rPr>
            </w:pPr>
            <w:r>
              <w:rPr>
                <w:sz w:val="20"/>
                <w:szCs w:val="20"/>
              </w:rPr>
              <w:t>0,43</w:t>
            </w:r>
          </w:p>
        </w:tc>
        <w:tc>
          <w:tcPr>
            <w:tcW w:w="1355" w:type="dxa"/>
            <w:tcBorders>
              <w:bottom w:val="single" w:sz="8" w:space="0" w:color="000000"/>
              <w:right w:val="single" w:sz="8" w:space="0" w:color="000000"/>
            </w:tcBorders>
            <w:shd w:color="auto" w:fill="auto" w:val="clear"/>
            <w:vAlign w:val="center"/>
          </w:tcPr>
          <w:p>
            <w:pPr>
              <w:pStyle w:val="Normal"/>
              <w:jc w:val="center"/>
              <w:rPr>
                <w:lang w:eastAsia="ru-RU"/>
              </w:rPr>
            </w:pPr>
            <w:r>
              <w:rPr>
                <w:sz w:val="20"/>
                <w:szCs w:val="20"/>
              </w:rPr>
              <w:t>0,0</w:t>
            </w:r>
          </w:p>
        </w:tc>
        <w:tc>
          <w:tcPr>
            <w:tcW w:w="1107" w:type="dxa"/>
            <w:tcBorders>
              <w:bottom w:val="single" w:sz="8" w:space="0" w:color="000000"/>
              <w:right w:val="single" w:sz="8" w:space="0" w:color="000000"/>
            </w:tcBorders>
            <w:shd w:color="auto" w:fill="auto" w:val="clear"/>
            <w:vAlign w:val="center"/>
          </w:tcPr>
          <w:p>
            <w:pPr>
              <w:pStyle w:val="Normal"/>
              <w:jc w:val="center"/>
              <w:rPr>
                <w:lang w:eastAsia="ru-RU"/>
              </w:rPr>
            </w:pPr>
            <w:r>
              <w:rPr>
                <w:sz w:val="20"/>
                <w:szCs w:val="20"/>
              </w:rPr>
              <w:t>0,0</w:t>
            </w:r>
          </w:p>
        </w:tc>
        <w:tc>
          <w:tcPr>
            <w:tcW w:w="1527" w:type="dxa"/>
            <w:tcBorders>
              <w:bottom w:val="single" w:sz="8" w:space="0" w:color="000000"/>
              <w:right w:val="single" w:sz="8" w:space="0" w:color="000000"/>
            </w:tcBorders>
            <w:shd w:color="auto" w:fill="auto" w:val="clear"/>
            <w:vAlign w:val="center"/>
          </w:tcPr>
          <w:p>
            <w:pPr>
              <w:pStyle w:val="Normal"/>
              <w:jc w:val="center"/>
              <w:rPr>
                <w:lang w:eastAsia="ru-RU"/>
              </w:rPr>
            </w:pPr>
            <w:r>
              <w:rPr>
                <w:sz w:val="20"/>
                <w:szCs w:val="20"/>
              </w:rPr>
              <w:t>0,07</w:t>
            </w:r>
          </w:p>
        </w:tc>
        <w:tc>
          <w:tcPr>
            <w:tcW w:w="1134" w:type="dxa"/>
            <w:tcBorders>
              <w:bottom w:val="single" w:sz="8" w:space="0" w:color="000000"/>
              <w:right w:val="single" w:sz="8" w:space="0" w:color="000000"/>
            </w:tcBorders>
            <w:shd w:color="auto" w:fill="auto" w:val="clear"/>
            <w:vAlign w:val="center"/>
          </w:tcPr>
          <w:p>
            <w:pPr>
              <w:pStyle w:val="Normal"/>
              <w:jc w:val="center"/>
              <w:rPr>
                <w:lang w:eastAsia="ru-RU"/>
              </w:rPr>
            </w:pPr>
            <w:r>
              <w:rPr>
                <w:sz w:val="20"/>
                <w:szCs w:val="20"/>
              </w:rPr>
              <w:t>0,07</w:t>
            </w:r>
          </w:p>
        </w:tc>
        <w:tc>
          <w:tcPr>
            <w:tcW w:w="1396" w:type="dxa"/>
            <w:tcBorders>
              <w:bottom w:val="single" w:sz="8" w:space="0" w:color="000000"/>
              <w:right w:val="single" w:sz="8" w:space="0" w:color="000000"/>
            </w:tcBorders>
            <w:shd w:color="auto" w:fill="auto" w:val="clear"/>
            <w:vAlign w:val="center"/>
          </w:tcPr>
          <w:p>
            <w:pPr>
              <w:pStyle w:val="Normal"/>
              <w:jc w:val="center"/>
              <w:rPr>
                <w:lang w:eastAsia="ru-RU"/>
              </w:rPr>
            </w:pPr>
            <w:r>
              <w:rPr>
                <w:sz w:val="20"/>
                <w:szCs w:val="20"/>
              </w:rPr>
              <w:t>0,36</w:t>
            </w:r>
          </w:p>
        </w:tc>
        <w:tc>
          <w:tcPr>
            <w:tcW w:w="1059" w:type="dxa"/>
            <w:tcBorders>
              <w:bottom w:val="single" w:sz="8" w:space="0" w:color="000000"/>
              <w:right w:val="single" w:sz="8" w:space="0" w:color="000000"/>
            </w:tcBorders>
            <w:shd w:color="auto" w:fill="auto" w:val="clear"/>
            <w:vAlign w:val="center"/>
          </w:tcPr>
          <w:p>
            <w:pPr>
              <w:pStyle w:val="Normal"/>
              <w:jc w:val="center"/>
              <w:rPr>
                <w:lang w:eastAsia="ru-RU"/>
              </w:rPr>
            </w:pPr>
            <w:r>
              <w:rPr>
                <w:sz w:val="20"/>
                <w:szCs w:val="20"/>
              </w:rPr>
              <w:t>16,28</w:t>
            </w:r>
          </w:p>
        </w:tc>
      </w:tr>
    </w:tbl>
    <w:p>
      <w:pPr>
        <w:pStyle w:val="Normal"/>
        <w:jc w:val="right"/>
        <w:rPr>
          <w:rFonts w:eastAsia="Calibri" w:cs="Calibri"/>
          <w:szCs w:val="22"/>
          <w:lang w:eastAsia="en-US"/>
        </w:rPr>
      </w:pPr>
      <w:r>
        <w:rPr>
          <w:rFonts w:eastAsia="Calibri" w:cs="Calibri"/>
          <w:szCs w:val="22"/>
          <w:lang w:eastAsia="en-US"/>
        </w:rPr>
      </w:r>
    </w:p>
    <w:p>
      <w:pPr>
        <w:pStyle w:val="Normal"/>
        <w:jc w:val="right"/>
        <w:rPr>
          <w:lang w:eastAsia="ru-RU"/>
        </w:rPr>
      </w:pPr>
      <w:r>
        <w:rPr>
          <w:rFonts w:eastAsia="Calibri" w:cs="Calibri"/>
          <w:szCs w:val="22"/>
          <w:lang w:eastAsia="en-US"/>
        </w:rPr>
        <w:t xml:space="preserve">Таблица 5 </w:t>
      </w:r>
      <w:bookmarkStart w:id="40" w:name="_Hlk50123925"/>
      <w:r>
        <w:rPr>
          <w:rFonts w:eastAsia="Calibri" w:cs="Calibri"/>
          <w:szCs w:val="22"/>
          <w:lang w:eastAsia="en-US"/>
        </w:rPr>
        <w:t>– Перспективные балансы тепловой мощности и присоединенной тепловой нагрузки, Гкал/ч</w:t>
      </w:r>
      <w:bookmarkEnd w:id="40"/>
    </w:p>
    <w:tbl>
      <w:tblPr>
        <w:tblW w:w="5000" w:type="pct"/>
        <w:jc w:val="center"/>
        <w:tblInd w:w="0" w:type="dxa"/>
        <w:tblCellMar>
          <w:top w:w="0" w:type="dxa"/>
          <w:left w:w="5" w:type="dxa"/>
          <w:bottom w:w="0" w:type="dxa"/>
          <w:right w:w="5" w:type="dxa"/>
        </w:tblCellMar>
        <w:tblLook w:val="04a0" w:noVBand="1" w:noHBand="0" w:lastColumn="0" w:firstColumn="1" w:lastRow="0" w:firstRow="1"/>
      </w:tblPr>
      <w:tblGrid>
        <w:gridCol w:w="345"/>
        <w:gridCol w:w="1601"/>
        <w:gridCol w:w="586"/>
        <w:gridCol w:w="1598"/>
        <w:gridCol w:w="1540"/>
        <w:gridCol w:w="1141"/>
        <w:gridCol w:w="1407"/>
        <w:gridCol w:w="1001"/>
        <w:gridCol w:w="12"/>
        <w:gridCol w:w="1770"/>
        <w:gridCol w:w="1163"/>
        <w:gridCol w:w="1441"/>
        <w:gridCol w:w="964"/>
      </w:tblGrid>
      <w:tr>
        <w:trPr>
          <w:tblHeader w:val="true"/>
          <w:trHeight w:val="20" w:hRule="atLeast"/>
        </w:trPr>
        <w:tc>
          <w:tcPr>
            <w:tcW w:w="34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xml:space="preserve">№ </w:t>
            </w:r>
            <w:r>
              <w:rPr>
                <w:sz w:val="20"/>
                <w:szCs w:val="20"/>
                <w:lang w:eastAsia="ru-RU"/>
              </w:rPr>
              <w:t xml:space="preserve">п/п </w:t>
            </w:r>
          </w:p>
        </w:tc>
        <w:tc>
          <w:tcPr>
            <w:tcW w:w="1601" w:type="dxa"/>
            <w:tcBorders>
              <w:top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Наименование и адрес котельной</w:t>
            </w:r>
          </w:p>
        </w:tc>
        <w:tc>
          <w:tcPr>
            <w:tcW w:w="586" w:type="dxa"/>
            <w:tcBorders>
              <w:top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Год</w:t>
            </w:r>
          </w:p>
        </w:tc>
        <w:tc>
          <w:tcPr>
            <w:tcW w:w="1598" w:type="dxa"/>
            <w:tcBorders>
              <w:top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Установленная мощность, Гкал/ч</w:t>
            </w:r>
          </w:p>
        </w:tc>
        <w:tc>
          <w:tcPr>
            <w:tcW w:w="1540" w:type="dxa"/>
            <w:tcBorders>
              <w:top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Располагаемая, Гкал/ч</w:t>
            </w:r>
          </w:p>
        </w:tc>
        <w:tc>
          <w:tcPr>
            <w:tcW w:w="1141" w:type="dxa"/>
            <w:tcBorders>
              <w:top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Тепловая мощность нетто, Гкал/ч</w:t>
            </w:r>
          </w:p>
        </w:tc>
        <w:tc>
          <w:tcPr>
            <w:tcW w:w="1407" w:type="dxa"/>
            <w:tcBorders>
              <w:top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Собственные нужды, Гкал/ч</w:t>
            </w:r>
          </w:p>
        </w:tc>
        <w:tc>
          <w:tcPr>
            <w:tcW w:w="1013" w:type="dxa"/>
            <w:gridSpan w:val="2"/>
            <w:tcBorders>
              <w:top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Потери в тепловых сетях, Гкал/ч</w:t>
            </w:r>
          </w:p>
        </w:tc>
        <w:tc>
          <w:tcPr>
            <w:tcW w:w="1770" w:type="dxa"/>
            <w:tcBorders>
              <w:top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Присоединенная нагрузка, Гкал/ч</w:t>
            </w:r>
          </w:p>
        </w:tc>
        <w:tc>
          <w:tcPr>
            <w:tcW w:w="1163" w:type="dxa"/>
            <w:tcBorders>
              <w:top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Тепловая нагрузка на источнике, Гкал/ч</w:t>
            </w:r>
          </w:p>
        </w:tc>
        <w:tc>
          <w:tcPr>
            <w:tcW w:w="1441" w:type="dxa"/>
            <w:tcBorders>
              <w:top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Резерв (+)/ дефицит (-) тепловой мощности в номинальном режиме, Гкал/ч</w:t>
            </w:r>
          </w:p>
        </w:tc>
        <w:tc>
          <w:tcPr>
            <w:tcW w:w="964" w:type="dxa"/>
            <w:tcBorders>
              <w:top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КИУТМ, %</w:t>
            </w:r>
          </w:p>
        </w:tc>
      </w:tr>
      <w:tr>
        <w:trPr>
          <w:tblHeader w:val="true"/>
          <w:trHeight w:val="20" w:hRule="atLeast"/>
        </w:trPr>
        <w:tc>
          <w:tcPr>
            <w:tcW w:w="14569" w:type="dxa"/>
            <w:gridSpan w:val="13"/>
            <w:tcBorders>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городское поселение Октябрьское</w:t>
            </w:r>
          </w:p>
        </w:tc>
      </w:tr>
      <w:tr>
        <w:trPr>
          <w:trHeight w:val="156" w:hRule="atLeast"/>
        </w:trPr>
        <w:tc>
          <w:tcPr>
            <w:tcW w:w="345" w:type="dxa"/>
            <w:vMerge w:val="restart"/>
            <w:tcBorders>
              <w:left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w:t>
            </w:r>
          </w:p>
        </w:tc>
        <w:tc>
          <w:tcPr>
            <w:tcW w:w="1601" w:type="dxa"/>
            <w:vMerge w:val="restart"/>
            <w:tcBorders>
              <w:left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котельная № 1, пгт.Октябрьское, ул.Сенькина, 46б</w:t>
            </w:r>
          </w:p>
        </w:tc>
        <w:tc>
          <w:tcPr>
            <w:tcW w:w="586" w:type="dxa"/>
            <w:tcBorders>
              <w:top w:val="single" w:sz="4" w:space="0" w:color="000000"/>
              <w:bottom w:val="single" w:sz="4" w:space="0" w:color="000000"/>
              <w:right w:val="single" w:sz="4" w:space="0" w:color="000000"/>
            </w:tcBorders>
            <w:shd w:color="auto" w:fill="auto" w:val="clear"/>
            <w:vAlign w:val="center"/>
          </w:tcPr>
          <w:p>
            <w:pPr>
              <w:pStyle w:val="Normal"/>
              <w:jc w:val="center"/>
              <w:rPr>
                <w:lang w:eastAsia="ru-RU"/>
              </w:rPr>
            </w:pPr>
            <w:r>
              <w:rPr>
                <w:sz w:val="20"/>
                <w:szCs w:val="20"/>
                <w:lang w:eastAsia="ru-RU"/>
              </w:rPr>
              <w:t>2024</w:t>
            </w:r>
          </w:p>
        </w:tc>
        <w:tc>
          <w:tcPr>
            <w:tcW w:w="1598" w:type="dxa"/>
            <w:tcBorders>
              <w:top w:val="single" w:sz="4" w:space="0" w:color="000000"/>
              <w:bottom w:val="single" w:sz="4" w:space="0" w:color="000000"/>
              <w:right w:val="single" w:sz="4" w:space="0" w:color="000000"/>
            </w:tcBorders>
            <w:shd w:color="auto" w:fill="auto" w:val="clear"/>
            <w:vAlign w:val="center"/>
          </w:tcPr>
          <w:p>
            <w:pPr>
              <w:pStyle w:val="Normal"/>
              <w:jc w:val="center"/>
              <w:rPr>
                <w:lang w:eastAsia="ru-RU"/>
              </w:rPr>
            </w:pPr>
            <w:r>
              <w:rPr>
                <w:sz w:val="20"/>
                <w:szCs w:val="20"/>
              </w:rPr>
              <w:t>10,66</w:t>
            </w:r>
          </w:p>
        </w:tc>
        <w:tc>
          <w:tcPr>
            <w:tcW w:w="1540" w:type="dxa"/>
            <w:tcBorders>
              <w:top w:val="single" w:sz="4" w:space="0" w:color="000000"/>
              <w:bottom w:val="single" w:sz="4" w:space="0" w:color="000000"/>
              <w:right w:val="single" w:sz="4" w:space="0" w:color="000000"/>
            </w:tcBorders>
            <w:shd w:color="auto" w:fill="auto" w:val="clear"/>
            <w:vAlign w:val="center"/>
          </w:tcPr>
          <w:p>
            <w:pPr>
              <w:pStyle w:val="Normal"/>
              <w:jc w:val="center"/>
              <w:rPr>
                <w:lang w:eastAsia="ru-RU"/>
              </w:rPr>
            </w:pPr>
            <w:r>
              <w:rPr>
                <w:sz w:val="20"/>
                <w:szCs w:val="20"/>
              </w:rPr>
              <w:t>10,66</w:t>
            </w:r>
          </w:p>
        </w:tc>
        <w:tc>
          <w:tcPr>
            <w:tcW w:w="1141" w:type="dxa"/>
            <w:tcBorders>
              <w:top w:val="single" w:sz="4" w:space="0" w:color="000000"/>
              <w:bottom w:val="single" w:sz="4" w:space="0" w:color="000000"/>
              <w:right w:val="single" w:sz="4" w:space="0" w:color="000000"/>
            </w:tcBorders>
            <w:shd w:color="auto" w:fill="auto" w:val="clear"/>
            <w:vAlign w:val="center"/>
          </w:tcPr>
          <w:p>
            <w:pPr>
              <w:pStyle w:val="Normal"/>
              <w:jc w:val="center"/>
              <w:rPr>
                <w:lang w:eastAsia="ru-RU"/>
              </w:rPr>
            </w:pPr>
            <w:r>
              <w:rPr>
                <w:sz w:val="20"/>
                <w:szCs w:val="20"/>
              </w:rPr>
              <w:t>10,09</w:t>
            </w:r>
          </w:p>
        </w:tc>
        <w:tc>
          <w:tcPr>
            <w:tcW w:w="1407" w:type="dxa"/>
            <w:tcBorders>
              <w:top w:val="single" w:sz="4" w:space="0" w:color="000000"/>
              <w:bottom w:val="single" w:sz="4" w:space="0" w:color="000000"/>
              <w:right w:val="single" w:sz="4" w:space="0" w:color="000000"/>
            </w:tcBorders>
            <w:shd w:color="auto" w:fill="auto" w:val="clear"/>
            <w:vAlign w:val="center"/>
          </w:tcPr>
          <w:p>
            <w:pPr>
              <w:pStyle w:val="Normal"/>
              <w:jc w:val="center"/>
              <w:rPr>
                <w:lang w:eastAsia="ru-RU"/>
              </w:rPr>
            </w:pPr>
            <w:r>
              <w:rPr>
                <w:sz w:val="20"/>
                <w:szCs w:val="20"/>
              </w:rPr>
              <w:t>0,0</w:t>
            </w:r>
          </w:p>
        </w:tc>
        <w:tc>
          <w:tcPr>
            <w:tcW w:w="1013" w:type="dxa"/>
            <w:gridSpan w:val="2"/>
            <w:tcBorders>
              <w:top w:val="single" w:sz="4" w:space="0" w:color="000000"/>
              <w:bottom w:val="single" w:sz="4" w:space="0" w:color="000000"/>
              <w:right w:val="single" w:sz="4" w:space="0" w:color="000000"/>
            </w:tcBorders>
            <w:shd w:color="auto" w:fill="auto" w:val="clear"/>
            <w:vAlign w:val="center"/>
          </w:tcPr>
          <w:p>
            <w:pPr>
              <w:pStyle w:val="Normal"/>
              <w:jc w:val="center"/>
              <w:rPr>
                <w:lang w:eastAsia="ru-RU"/>
              </w:rPr>
            </w:pPr>
            <w:r>
              <w:rPr>
                <w:sz w:val="20"/>
                <w:szCs w:val="20"/>
              </w:rPr>
              <w:t>0,0</w:t>
            </w:r>
          </w:p>
        </w:tc>
        <w:tc>
          <w:tcPr>
            <w:tcW w:w="1770" w:type="dxa"/>
            <w:tcBorders>
              <w:top w:val="single" w:sz="4" w:space="0" w:color="000000"/>
              <w:bottom w:val="single" w:sz="4" w:space="0" w:color="000000"/>
              <w:right w:val="single" w:sz="4" w:space="0" w:color="000000"/>
            </w:tcBorders>
            <w:shd w:color="auto" w:fill="auto" w:val="clear"/>
            <w:vAlign w:val="center"/>
          </w:tcPr>
          <w:p>
            <w:pPr>
              <w:pStyle w:val="Normal"/>
              <w:rPr>
                <w:lang w:eastAsia="ru-RU"/>
              </w:rPr>
            </w:pPr>
            <w:r>
              <w:rPr>
                <w:sz w:val="20"/>
                <w:szCs w:val="20"/>
              </w:rPr>
              <w:t>4,27</w:t>
            </w:r>
          </w:p>
        </w:tc>
        <w:tc>
          <w:tcPr>
            <w:tcW w:w="1163" w:type="dxa"/>
            <w:tcBorders>
              <w:top w:val="single" w:sz="4" w:space="0" w:color="000000"/>
              <w:bottom w:val="single" w:sz="4" w:space="0" w:color="000000"/>
              <w:right w:val="single" w:sz="4" w:space="0" w:color="000000"/>
            </w:tcBorders>
            <w:shd w:color="auto" w:fill="auto" w:val="clear"/>
            <w:vAlign w:val="center"/>
          </w:tcPr>
          <w:p>
            <w:pPr>
              <w:pStyle w:val="Normal"/>
              <w:jc w:val="center"/>
              <w:rPr>
                <w:lang w:eastAsia="ru-RU"/>
              </w:rPr>
            </w:pPr>
            <w:r>
              <w:rPr>
                <w:sz w:val="20"/>
                <w:szCs w:val="20"/>
              </w:rPr>
              <w:t>4,27</w:t>
            </w:r>
          </w:p>
        </w:tc>
        <w:tc>
          <w:tcPr>
            <w:tcW w:w="1441" w:type="dxa"/>
            <w:tcBorders>
              <w:top w:val="single" w:sz="4" w:space="0" w:color="000000"/>
              <w:bottom w:val="single" w:sz="4" w:space="0" w:color="000000"/>
              <w:right w:val="single" w:sz="4" w:space="0" w:color="000000"/>
            </w:tcBorders>
            <w:shd w:color="auto" w:fill="auto" w:val="clear"/>
            <w:vAlign w:val="center"/>
          </w:tcPr>
          <w:p>
            <w:pPr>
              <w:pStyle w:val="Normal"/>
              <w:jc w:val="center"/>
              <w:rPr>
                <w:lang w:eastAsia="ru-RU"/>
              </w:rPr>
            </w:pPr>
            <w:r>
              <w:rPr>
                <w:sz w:val="20"/>
                <w:szCs w:val="20"/>
              </w:rPr>
              <w:t>6,39</w:t>
            </w:r>
          </w:p>
        </w:tc>
        <w:tc>
          <w:tcPr>
            <w:tcW w:w="964" w:type="dxa"/>
            <w:tcBorders>
              <w:top w:val="single" w:sz="4" w:space="0" w:color="000000"/>
              <w:bottom w:val="single" w:sz="4" w:space="0" w:color="000000"/>
              <w:right w:val="single" w:sz="4" w:space="0" w:color="000000"/>
            </w:tcBorders>
            <w:shd w:color="auto" w:fill="auto" w:val="clear"/>
            <w:vAlign w:val="center"/>
          </w:tcPr>
          <w:p>
            <w:pPr>
              <w:pStyle w:val="Normal"/>
              <w:jc w:val="center"/>
              <w:rPr>
                <w:lang w:eastAsia="ru-RU"/>
              </w:rPr>
            </w:pPr>
            <w:r>
              <w:rPr>
                <w:sz w:val="20"/>
                <w:szCs w:val="20"/>
              </w:rPr>
              <w:t>40,06</w:t>
            </w:r>
          </w:p>
        </w:tc>
      </w:tr>
      <w:tr>
        <w:trPr>
          <w:trHeight w:val="20" w:hRule="atLeast"/>
        </w:trPr>
        <w:tc>
          <w:tcPr>
            <w:tcW w:w="345" w:type="dxa"/>
            <w:vMerge w:val="continue"/>
            <w:tcBorders>
              <w:left w:val="single" w:sz="4" w:space="0" w:color="000000"/>
              <w:right w:val="single" w:sz="4" w:space="0" w:color="000000"/>
            </w:tcBorders>
            <w:shd w:color="auto" w:fill="auto" w:val="clear"/>
            <w:vAlign w:val="center"/>
          </w:tcPr>
          <w:p>
            <w:pPr>
              <w:pStyle w:val="Normal"/>
              <w:rPr>
                <w:sz w:val="20"/>
                <w:szCs w:val="20"/>
                <w:lang w:eastAsia="ru-RU"/>
              </w:rPr>
            </w:pPr>
            <w:r>
              <w:rPr>
                <w:sz w:val="20"/>
                <w:szCs w:val="20"/>
                <w:lang w:eastAsia="ru-RU"/>
              </w:rPr>
            </w:r>
          </w:p>
        </w:tc>
        <w:tc>
          <w:tcPr>
            <w:tcW w:w="1601" w:type="dxa"/>
            <w:vMerge w:val="continue"/>
            <w:tcBorders>
              <w:left w:val="single" w:sz="4" w:space="0" w:color="000000"/>
              <w:right w:val="single" w:sz="4" w:space="0" w:color="000000"/>
            </w:tcBorders>
            <w:shd w:color="auto" w:fill="auto" w:val="clear"/>
            <w:vAlign w:val="center"/>
          </w:tcPr>
          <w:p>
            <w:pPr>
              <w:pStyle w:val="Normal"/>
              <w:rPr>
                <w:sz w:val="20"/>
                <w:szCs w:val="20"/>
                <w:lang w:eastAsia="ru-RU"/>
              </w:rPr>
            </w:pPr>
            <w:r>
              <w:rPr>
                <w:sz w:val="20"/>
                <w:szCs w:val="20"/>
                <w:lang w:eastAsia="ru-RU"/>
              </w:rPr>
            </w:r>
          </w:p>
        </w:tc>
        <w:tc>
          <w:tcPr>
            <w:tcW w:w="586" w:type="dxa"/>
            <w:tcBorders>
              <w:top w:val="single" w:sz="4" w:space="0" w:color="000000"/>
              <w:bottom w:val="single" w:sz="4" w:space="0" w:color="000000"/>
              <w:right w:val="single" w:sz="4" w:space="0" w:color="000000"/>
            </w:tcBorders>
            <w:shd w:color="auto" w:fill="auto" w:val="clear"/>
            <w:vAlign w:val="center"/>
          </w:tcPr>
          <w:p>
            <w:pPr>
              <w:pStyle w:val="Normal"/>
              <w:jc w:val="center"/>
              <w:rPr>
                <w:lang w:eastAsia="ru-RU"/>
              </w:rPr>
            </w:pPr>
            <w:r>
              <w:rPr>
                <w:sz w:val="20"/>
                <w:szCs w:val="20"/>
                <w:lang w:eastAsia="ru-RU"/>
              </w:rPr>
              <w:t>2025</w:t>
            </w:r>
          </w:p>
        </w:tc>
        <w:tc>
          <w:tcPr>
            <w:tcW w:w="1598" w:type="dxa"/>
            <w:tcBorders>
              <w:top w:val="single" w:sz="4" w:space="0" w:color="000000"/>
              <w:bottom w:val="single" w:sz="4" w:space="0" w:color="000000"/>
              <w:right w:val="single" w:sz="4" w:space="0" w:color="000000"/>
            </w:tcBorders>
            <w:shd w:color="auto" w:fill="auto" w:val="clear"/>
            <w:vAlign w:val="center"/>
          </w:tcPr>
          <w:p>
            <w:pPr>
              <w:pStyle w:val="Normal"/>
              <w:jc w:val="center"/>
              <w:rPr>
                <w:lang w:eastAsia="ru-RU"/>
              </w:rPr>
            </w:pPr>
            <w:r>
              <w:rPr>
                <w:sz w:val="20"/>
                <w:szCs w:val="20"/>
              </w:rPr>
              <w:t>10,66</w:t>
            </w:r>
          </w:p>
        </w:tc>
        <w:tc>
          <w:tcPr>
            <w:tcW w:w="1540" w:type="dxa"/>
            <w:tcBorders>
              <w:top w:val="single" w:sz="4" w:space="0" w:color="000000"/>
              <w:bottom w:val="single" w:sz="4" w:space="0" w:color="000000"/>
              <w:right w:val="single" w:sz="4" w:space="0" w:color="000000"/>
            </w:tcBorders>
            <w:shd w:color="auto" w:fill="auto" w:val="clear"/>
            <w:vAlign w:val="center"/>
          </w:tcPr>
          <w:p>
            <w:pPr>
              <w:pStyle w:val="Normal"/>
              <w:jc w:val="center"/>
              <w:rPr>
                <w:lang w:eastAsia="ru-RU"/>
              </w:rPr>
            </w:pPr>
            <w:r>
              <w:rPr>
                <w:sz w:val="20"/>
                <w:szCs w:val="20"/>
              </w:rPr>
              <w:t>10,66</w:t>
            </w:r>
          </w:p>
        </w:tc>
        <w:tc>
          <w:tcPr>
            <w:tcW w:w="1141" w:type="dxa"/>
            <w:tcBorders>
              <w:top w:val="single" w:sz="4" w:space="0" w:color="000000"/>
              <w:bottom w:val="single" w:sz="4" w:space="0" w:color="000000"/>
              <w:right w:val="single" w:sz="4" w:space="0" w:color="000000"/>
            </w:tcBorders>
            <w:shd w:color="auto" w:fill="auto" w:val="clear"/>
            <w:vAlign w:val="center"/>
          </w:tcPr>
          <w:p>
            <w:pPr>
              <w:pStyle w:val="Normal"/>
              <w:jc w:val="center"/>
              <w:rPr>
                <w:lang w:eastAsia="ru-RU"/>
              </w:rPr>
            </w:pPr>
            <w:r>
              <w:rPr>
                <w:sz w:val="20"/>
                <w:szCs w:val="20"/>
              </w:rPr>
              <w:t>10,09</w:t>
            </w:r>
          </w:p>
        </w:tc>
        <w:tc>
          <w:tcPr>
            <w:tcW w:w="1407" w:type="dxa"/>
            <w:tcBorders>
              <w:top w:val="single" w:sz="4" w:space="0" w:color="000000"/>
              <w:bottom w:val="single" w:sz="4" w:space="0" w:color="000000"/>
              <w:right w:val="single" w:sz="4" w:space="0" w:color="000000"/>
            </w:tcBorders>
            <w:shd w:color="auto" w:fill="auto" w:val="clear"/>
            <w:vAlign w:val="center"/>
          </w:tcPr>
          <w:p>
            <w:pPr>
              <w:pStyle w:val="Normal"/>
              <w:jc w:val="center"/>
              <w:rPr>
                <w:lang w:eastAsia="ru-RU"/>
              </w:rPr>
            </w:pPr>
            <w:r>
              <w:rPr>
                <w:sz w:val="20"/>
                <w:szCs w:val="20"/>
              </w:rPr>
              <w:t>0,0</w:t>
            </w:r>
          </w:p>
        </w:tc>
        <w:tc>
          <w:tcPr>
            <w:tcW w:w="1013" w:type="dxa"/>
            <w:gridSpan w:val="2"/>
            <w:tcBorders>
              <w:top w:val="single" w:sz="4" w:space="0" w:color="000000"/>
              <w:bottom w:val="single" w:sz="4" w:space="0" w:color="000000"/>
              <w:right w:val="single" w:sz="4" w:space="0" w:color="000000"/>
            </w:tcBorders>
            <w:shd w:color="auto" w:fill="auto" w:val="clear"/>
            <w:vAlign w:val="center"/>
          </w:tcPr>
          <w:p>
            <w:pPr>
              <w:pStyle w:val="Normal"/>
              <w:jc w:val="center"/>
              <w:rPr>
                <w:lang w:eastAsia="ru-RU"/>
              </w:rPr>
            </w:pPr>
            <w:r>
              <w:rPr>
                <w:sz w:val="20"/>
                <w:szCs w:val="20"/>
              </w:rPr>
              <w:t>0,0</w:t>
            </w:r>
          </w:p>
        </w:tc>
        <w:tc>
          <w:tcPr>
            <w:tcW w:w="1770" w:type="dxa"/>
            <w:tcBorders>
              <w:top w:val="single" w:sz="4" w:space="0" w:color="000000"/>
              <w:bottom w:val="single" w:sz="4" w:space="0" w:color="000000"/>
              <w:right w:val="single" w:sz="4" w:space="0" w:color="000000"/>
            </w:tcBorders>
            <w:shd w:color="auto" w:fill="auto" w:val="clear"/>
            <w:vAlign w:val="center"/>
          </w:tcPr>
          <w:p>
            <w:pPr>
              <w:pStyle w:val="Normal"/>
              <w:rPr>
                <w:lang w:eastAsia="ru-RU"/>
              </w:rPr>
            </w:pPr>
            <w:r>
              <w:rPr>
                <w:sz w:val="20"/>
                <w:szCs w:val="20"/>
              </w:rPr>
              <w:t>4,27</w:t>
            </w:r>
          </w:p>
        </w:tc>
        <w:tc>
          <w:tcPr>
            <w:tcW w:w="1163" w:type="dxa"/>
            <w:tcBorders>
              <w:top w:val="single" w:sz="4" w:space="0" w:color="000000"/>
              <w:bottom w:val="single" w:sz="4" w:space="0" w:color="000000"/>
              <w:right w:val="single" w:sz="4" w:space="0" w:color="000000"/>
            </w:tcBorders>
            <w:shd w:color="auto" w:fill="auto" w:val="clear"/>
            <w:vAlign w:val="center"/>
          </w:tcPr>
          <w:p>
            <w:pPr>
              <w:pStyle w:val="Normal"/>
              <w:jc w:val="center"/>
              <w:rPr>
                <w:lang w:eastAsia="ru-RU"/>
              </w:rPr>
            </w:pPr>
            <w:r>
              <w:rPr>
                <w:sz w:val="20"/>
                <w:szCs w:val="20"/>
              </w:rPr>
              <w:t>4,27</w:t>
            </w:r>
          </w:p>
        </w:tc>
        <w:tc>
          <w:tcPr>
            <w:tcW w:w="1441" w:type="dxa"/>
            <w:tcBorders>
              <w:top w:val="single" w:sz="4" w:space="0" w:color="000000"/>
              <w:bottom w:val="single" w:sz="4" w:space="0" w:color="000000"/>
              <w:right w:val="single" w:sz="4" w:space="0" w:color="000000"/>
            </w:tcBorders>
            <w:shd w:color="auto" w:fill="auto" w:val="clear"/>
            <w:vAlign w:val="center"/>
          </w:tcPr>
          <w:p>
            <w:pPr>
              <w:pStyle w:val="Normal"/>
              <w:jc w:val="center"/>
              <w:rPr>
                <w:lang w:eastAsia="ru-RU"/>
              </w:rPr>
            </w:pPr>
            <w:r>
              <w:rPr>
                <w:sz w:val="20"/>
                <w:szCs w:val="20"/>
              </w:rPr>
              <w:t>6,39</w:t>
            </w:r>
          </w:p>
        </w:tc>
        <w:tc>
          <w:tcPr>
            <w:tcW w:w="964" w:type="dxa"/>
            <w:tcBorders>
              <w:top w:val="single" w:sz="4" w:space="0" w:color="000000"/>
              <w:bottom w:val="single" w:sz="4" w:space="0" w:color="000000"/>
              <w:right w:val="single" w:sz="4" w:space="0" w:color="000000"/>
            </w:tcBorders>
            <w:shd w:color="auto" w:fill="auto" w:val="clear"/>
            <w:vAlign w:val="center"/>
          </w:tcPr>
          <w:p>
            <w:pPr>
              <w:pStyle w:val="Normal"/>
              <w:jc w:val="center"/>
              <w:rPr>
                <w:lang w:eastAsia="ru-RU"/>
              </w:rPr>
            </w:pPr>
            <w:r>
              <w:rPr>
                <w:sz w:val="20"/>
                <w:szCs w:val="20"/>
              </w:rPr>
              <w:t>40,06</w:t>
            </w:r>
          </w:p>
        </w:tc>
      </w:tr>
      <w:tr>
        <w:trPr>
          <w:trHeight w:val="20" w:hRule="atLeast"/>
        </w:trPr>
        <w:tc>
          <w:tcPr>
            <w:tcW w:w="345" w:type="dxa"/>
            <w:vMerge w:val="continue"/>
            <w:tcBorders>
              <w:left w:val="single" w:sz="4" w:space="0" w:color="000000"/>
              <w:right w:val="single" w:sz="4" w:space="0" w:color="000000"/>
            </w:tcBorders>
            <w:shd w:color="auto" w:fill="auto" w:val="clear"/>
            <w:vAlign w:val="center"/>
          </w:tcPr>
          <w:p>
            <w:pPr>
              <w:pStyle w:val="Normal"/>
              <w:rPr>
                <w:sz w:val="20"/>
                <w:szCs w:val="20"/>
                <w:lang w:eastAsia="ru-RU"/>
              </w:rPr>
            </w:pPr>
            <w:r>
              <w:rPr>
                <w:sz w:val="20"/>
                <w:szCs w:val="20"/>
                <w:lang w:eastAsia="ru-RU"/>
              </w:rPr>
            </w:r>
          </w:p>
        </w:tc>
        <w:tc>
          <w:tcPr>
            <w:tcW w:w="1601" w:type="dxa"/>
            <w:vMerge w:val="continue"/>
            <w:tcBorders>
              <w:left w:val="single" w:sz="4" w:space="0" w:color="000000"/>
              <w:right w:val="single" w:sz="4" w:space="0" w:color="000000"/>
            </w:tcBorders>
            <w:shd w:color="auto" w:fill="auto" w:val="clear"/>
            <w:vAlign w:val="center"/>
          </w:tcPr>
          <w:p>
            <w:pPr>
              <w:pStyle w:val="Normal"/>
              <w:rPr>
                <w:sz w:val="20"/>
                <w:szCs w:val="20"/>
                <w:lang w:eastAsia="ru-RU"/>
              </w:rPr>
            </w:pPr>
            <w:r>
              <w:rPr>
                <w:sz w:val="20"/>
                <w:szCs w:val="20"/>
                <w:lang w:eastAsia="ru-RU"/>
              </w:rPr>
            </w:r>
          </w:p>
        </w:tc>
        <w:tc>
          <w:tcPr>
            <w:tcW w:w="586" w:type="dxa"/>
            <w:tcBorders>
              <w:bottom w:val="single" w:sz="4" w:space="0" w:color="000000"/>
              <w:right w:val="single" w:sz="4" w:space="0" w:color="000000"/>
            </w:tcBorders>
            <w:shd w:color="auto" w:fill="auto" w:val="clear"/>
            <w:vAlign w:val="center"/>
          </w:tcPr>
          <w:p>
            <w:pPr>
              <w:pStyle w:val="Normal"/>
              <w:jc w:val="center"/>
              <w:rPr>
                <w:lang w:eastAsia="ru-RU"/>
              </w:rPr>
            </w:pPr>
            <w:r>
              <w:rPr>
                <w:sz w:val="20"/>
                <w:szCs w:val="20"/>
                <w:lang w:eastAsia="ru-RU"/>
              </w:rPr>
              <w:t>2026</w:t>
            </w:r>
          </w:p>
        </w:tc>
        <w:tc>
          <w:tcPr>
            <w:tcW w:w="1598" w:type="dxa"/>
            <w:tcBorders>
              <w:bottom w:val="single" w:sz="4" w:space="0" w:color="000000"/>
              <w:right w:val="single" w:sz="4" w:space="0" w:color="000000"/>
            </w:tcBorders>
            <w:shd w:color="auto" w:fill="auto" w:val="clear"/>
            <w:vAlign w:val="center"/>
          </w:tcPr>
          <w:p>
            <w:pPr>
              <w:pStyle w:val="Normal"/>
              <w:jc w:val="center"/>
              <w:rPr>
                <w:lang w:eastAsia="ru-RU"/>
              </w:rPr>
            </w:pPr>
            <w:r>
              <w:rPr>
                <w:sz w:val="20"/>
                <w:szCs w:val="20"/>
              </w:rPr>
              <w:t>10,66</w:t>
            </w:r>
          </w:p>
        </w:tc>
        <w:tc>
          <w:tcPr>
            <w:tcW w:w="1540" w:type="dxa"/>
            <w:tcBorders>
              <w:bottom w:val="single" w:sz="4" w:space="0" w:color="000000"/>
              <w:right w:val="single" w:sz="4" w:space="0" w:color="000000"/>
            </w:tcBorders>
            <w:shd w:color="auto" w:fill="auto" w:val="clear"/>
            <w:vAlign w:val="center"/>
          </w:tcPr>
          <w:p>
            <w:pPr>
              <w:pStyle w:val="Normal"/>
              <w:jc w:val="center"/>
              <w:rPr>
                <w:lang w:eastAsia="ru-RU"/>
              </w:rPr>
            </w:pPr>
            <w:r>
              <w:rPr>
                <w:sz w:val="20"/>
                <w:szCs w:val="20"/>
              </w:rPr>
              <w:t>10,66</w:t>
            </w:r>
          </w:p>
        </w:tc>
        <w:tc>
          <w:tcPr>
            <w:tcW w:w="1141" w:type="dxa"/>
            <w:tcBorders>
              <w:bottom w:val="single" w:sz="4" w:space="0" w:color="000000"/>
              <w:right w:val="single" w:sz="4" w:space="0" w:color="000000"/>
            </w:tcBorders>
            <w:shd w:color="auto" w:fill="auto" w:val="clear"/>
            <w:vAlign w:val="center"/>
          </w:tcPr>
          <w:p>
            <w:pPr>
              <w:pStyle w:val="Normal"/>
              <w:jc w:val="center"/>
              <w:rPr>
                <w:lang w:eastAsia="ru-RU"/>
              </w:rPr>
            </w:pPr>
            <w:r>
              <w:rPr>
                <w:sz w:val="20"/>
                <w:szCs w:val="20"/>
              </w:rPr>
              <w:t>10,09</w:t>
            </w:r>
          </w:p>
        </w:tc>
        <w:tc>
          <w:tcPr>
            <w:tcW w:w="1407" w:type="dxa"/>
            <w:tcBorders>
              <w:bottom w:val="single" w:sz="4" w:space="0" w:color="000000"/>
              <w:right w:val="single" w:sz="4" w:space="0" w:color="000000"/>
            </w:tcBorders>
            <w:shd w:color="auto" w:fill="auto" w:val="clear"/>
            <w:vAlign w:val="center"/>
          </w:tcPr>
          <w:p>
            <w:pPr>
              <w:pStyle w:val="Normal"/>
              <w:jc w:val="center"/>
              <w:rPr>
                <w:lang w:eastAsia="ru-RU"/>
              </w:rPr>
            </w:pPr>
            <w:r>
              <w:rPr>
                <w:sz w:val="20"/>
                <w:szCs w:val="20"/>
              </w:rPr>
              <w:t>0,0</w:t>
            </w:r>
          </w:p>
        </w:tc>
        <w:tc>
          <w:tcPr>
            <w:tcW w:w="1013" w:type="dxa"/>
            <w:gridSpan w:val="2"/>
            <w:tcBorders>
              <w:bottom w:val="single" w:sz="4" w:space="0" w:color="000000"/>
              <w:right w:val="single" w:sz="4" w:space="0" w:color="000000"/>
            </w:tcBorders>
            <w:shd w:color="auto" w:fill="auto" w:val="clear"/>
            <w:vAlign w:val="center"/>
          </w:tcPr>
          <w:p>
            <w:pPr>
              <w:pStyle w:val="Normal"/>
              <w:jc w:val="center"/>
              <w:rPr>
                <w:lang w:eastAsia="ru-RU"/>
              </w:rPr>
            </w:pPr>
            <w:r>
              <w:rPr>
                <w:sz w:val="20"/>
                <w:szCs w:val="20"/>
              </w:rPr>
              <w:t>0,0</w:t>
            </w:r>
          </w:p>
        </w:tc>
        <w:tc>
          <w:tcPr>
            <w:tcW w:w="1770" w:type="dxa"/>
            <w:tcBorders>
              <w:bottom w:val="single" w:sz="4" w:space="0" w:color="000000"/>
              <w:right w:val="single" w:sz="4" w:space="0" w:color="000000"/>
            </w:tcBorders>
            <w:shd w:color="auto" w:fill="auto" w:val="clear"/>
            <w:vAlign w:val="center"/>
          </w:tcPr>
          <w:p>
            <w:pPr>
              <w:pStyle w:val="Normal"/>
              <w:rPr>
                <w:lang w:eastAsia="ru-RU"/>
              </w:rPr>
            </w:pPr>
            <w:r>
              <w:rPr>
                <w:sz w:val="20"/>
                <w:szCs w:val="20"/>
              </w:rPr>
              <w:t>4,27</w:t>
            </w:r>
          </w:p>
        </w:tc>
        <w:tc>
          <w:tcPr>
            <w:tcW w:w="1163" w:type="dxa"/>
            <w:tcBorders>
              <w:bottom w:val="single" w:sz="4" w:space="0" w:color="000000"/>
              <w:right w:val="single" w:sz="4" w:space="0" w:color="000000"/>
            </w:tcBorders>
            <w:shd w:color="auto" w:fill="auto" w:val="clear"/>
            <w:vAlign w:val="center"/>
          </w:tcPr>
          <w:p>
            <w:pPr>
              <w:pStyle w:val="Normal"/>
              <w:jc w:val="center"/>
              <w:rPr>
                <w:lang w:eastAsia="ru-RU"/>
              </w:rPr>
            </w:pPr>
            <w:r>
              <w:rPr>
                <w:sz w:val="20"/>
                <w:szCs w:val="20"/>
              </w:rPr>
              <w:t>4,27</w:t>
            </w:r>
          </w:p>
        </w:tc>
        <w:tc>
          <w:tcPr>
            <w:tcW w:w="1441" w:type="dxa"/>
            <w:tcBorders>
              <w:bottom w:val="single" w:sz="4" w:space="0" w:color="000000"/>
              <w:right w:val="single" w:sz="4" w:space="0" w:color="000000"/>
            </w:tcBorders>
            <w:shd w:color="auto" w:fill="auto" w:val="clear"/>
            <w:vAlign w:val="center"/>
          </w:tcPr>
          <w:p>
            <w:pPr>
              <w:pStyle w:val="Normal"/>
              <w:jc w:val="center"/>
              <w:rPr>
                <w:lang w:eastAsia="ru-RU"/>
              </w:rPr>
            </w:pPr>
            <w:r>
              <w:rPr>
                <w:sz w:val="20"/>
                <w:szCs w:val="20"/>
              </w:rPr>
              <w:t>6,39</w:t>
            </w:r>
          </w:p>
        </w:tc>
        <w:tc>
          <w:tcPr>
            <w:tcW w:w="964" w:type="dxa"/>
            <w:tcBorders>
              <w:bottom w:val="single" w:sz="4" w:space="0" w:color="000000"/>
              <w:right w:val="single" w:sz="4" w:space="0" w:color="000000"/>
            </w:tcBorders>
            <w:shd w:color="auto" w:fill="auto" w:val="clear"/>
            <w:vAlign w:val="center"/>
          </w:tcPr>
          <w:p>
            <w:pPr>
              <w:pStyle w:val="Normal"/>
              <w:jc w:val="center"/>
              <w:rPr>
                <w:lang w:eastAsia="ru-RU"/>
              </w:rPr>
            </w:pPr>
            <w:r>
              <w:rPr>
                <w:sz w:val="20"/>
                <w:szCs w:val="20"/>
              </w:rPr>
              <w:t>40,06</w:t>
            </w:r>
          </w:p>
        </w:tc>
      </w:tr>
      <w:tr>
        <w:trPr>
          <w:trHeight w:val="20" w:hRule="atLeast"/>
        </w:trPr>
        <w:tc>
          <w:tcPr>
            <w:tcW w:w="345" w:type="dxa"/>
            <w:vMerge w:val="continue"/>
            <w:tcBorders>
              <w:left w:val="single" w:sz="4" w:space="0" w:color="000000"/>
              <w:right w:val="single" w:sz="4" w:space="0" w:color="000000"/>
            </w:tcBorders>
            <w:shd w:color="auto" w:fill="auto" w:val="clear"/>
            <w:vAlign w:val="center"/>
          </w:tcPr>
          <w:p>
            <w:pPr>
              <w:pStyle w:val="Normal"/>
              <w:rPr>
                <w:sz w:val="20"/>
                <w:szCs w:val="20"/>
                <w:lang w:eastAsia="ru-RU"/>
              </w:rPr>
            </w:pPr>
            <w:r>
              <w:rPr>
                <w:sz w:val="20"/>
                <w:szCs w:val="20"/>
                <w:lang w:eastAsia="ru-RU"/>
              </w:rPr>
            </w:r>
          </w:p>
        </w:tc>
        <w:tc>
          <w:tcPr>
            <w:tcW w:w="1601" w:type="dxa"/>
            <w:vMerge w:val="continue"/>
            <w:tcBorders>
              <w:left w:val="single" w:sz="4" w:space="0" w:color="000000"/>
              <w:right w:val="single" w:sz="4" w:space="0" w:color="000000"/>
            </w:tcBorders>
            <w:shd w:color="auto" w:fill="auto" w:val="clear"/>
            <w:vAlign w:val="center"/>
          </w:tcPr>
          <w:p>
            <w:pPr>
              <w:pStyle w:val="Normal"/>
              <w:rPr>
                <w:sz w:val="20"/>
                <w:szCs w:val="20"/>
                <w:lang w:eastAsia="ru-RU"/>
              </w:rPr>
            </w:pPr>
            <w:r>
              <w:rPr>
                <w:sz w:val="20"/>
                <w:szCs w:val="20"/>
                <w:lang w:eastAsia="ru-RU"/>
              </w:rPr>
            </w:r>
          </w:p>
        </w:tc>
        <w:tc>
          <w:tcPr>
            <w:tcW w:w="586" w:type="dxa"/>
            <w:tcBorders>
              <w:bottom w:val="single" w:sz="4" w:space="0" w:color="000000"/>
              <w:right w:val="single" w:sz="4" w:space="0" w:color="000000"/>
            </w:tcBorders>
            <w:shd w:color="auto" w:fill="auto" w:val="clear"/>
            <w:vAlign w:val="center"/>
          </w:tcPr>
          <w:p>
            <w:pPr>
              <w:pStyle w:val="Normal"/>
              <w:jc w:val="center"/>
              <w:rPr>
                <w:lang w:eastAsia="ru-RU"/>
              </w:rPr>
            </w:pPr>
            <w:r>
              <w:rPr>
                <w:sz w:val="20"/>
                <w:szCs w:val="20"/>
                <w:lang w:eastAsia="ru-RU"/>
              </w:rPr>
              <w:t>2027</w:t>
            </w:r>
          </w:p>
        </w:tc>
        <w:tc>
          <w:tcPr>
            <w:tcW w:w="1598" w:type="dxa"/>
            <w:tcBorders>
              <w:bottom w:val="single" w:sz="4" w:space="0" w:color="000000"/>
              <w:right w:val="single" w:sz="4" w:space="0" w:color="000000"/>
            </w:tcBorders>
            <w:shd w:color="auto" w:fill="auto" w:val="clear"/>
            <w:vAlign w:val="center"/>
          </w:tcPr>
          <w:p>
            <w:pPr>
              <w:pStyle w:val="Normal"/>
              <w:jc w:val="center"/>
              <w:rPr>
                <w:lang w:eastAsia="ru-RU"/>
              </w:rPr>
            </w:pPr>
            <w:r>
              <w:rPr>
                <w:sz w:val="20"/>
                <w:szCs w:val="20"/>
              </w:rPr>
              <w:t>10,66</w:t>
            </w:r>
          </w:p>
        </w:tc>
        <w:tc>
          <w:tcPr>
            <w:tcW w:w="1540" w:type="dxa"/>
            <w:tcBorders>
              <w:bottom w:val="single" w:sz="4" w:space="0" w:color="000000"/>
              <w:right w:val="single" w:sz="4" w:space="0" w:color="000000"/>
            </w:tcBorders>
            <w:shd w:color="auto" w:fill="auto" w:val="clear"/>
            <w:vAlign w:val="center"/>
          </w:tcPr>
          <w:p>
            <w:pPr>
              <w:pStyle w:val="Normal"/>
              <w:jc w:val="center"/>
              <w:rPr>
                <w:lang w:eastAsia="ru-RU"/>
              </w:rPr>
            </w:pPr>
            <w:r>
              <w:rPr>
                <w:sz w:val="20"/>
                <w:szCs w:val="20"/>
              </w:rPr>
              <w:t>10,66</w:t>
            </w:r>
          </w:p>
        </w:tc>
        <w:tc>
          <w:tcPr>
            <w:tcW w:w="1141" w:type="dxa"/>
            <w:tcBorders>
              <w:bottom w:val="single" w:sz="4" w:space="0" w:color="000000"/>
              <w:right w:val="single" w:sz="4" w:space="0" w:color="000000"/>
            </w:tcBorders>
            <w:shd w:color="auto" w:fill="auto" w:val="clear"/>
            <w:vAlign w:val="center"/>
          </w:tcPr>
          <w:p>
            <w:pPr>
              <w:pStyle w:val="Normal"/>
              <w:jc w:val="center"/>
              <w:rPr>
                <w:lang w:eastAsia="ru-RU"/>
              </w:rPr>
            </w:pPr>
            <w:r>
              <w:rPr>
                <w:sz w:val="20"/>
                <w:szCs w:val="20"/>
              </w:rPr>
              <w:t>10,09</w:t>
            </w:r>
          </w:p>
        </w:tc>
        <w:tc>
          <w:tcPr>
            <w:tcW w:w="1407" w:type="dxa"/>
            <w:tcBorders>
              <w:bottom w:val="single" w:sz="4" w:space="0" w:color="000000"/>
              <w:right w:val="single" w:sz="4" w:space="0" w:color="000000"/>
            </w:tcBorders>
            <w:shd w:color="auto" w:fill="auto" w:val="clear"/>
            <w:vAlign w:val="center"/>
          </w:tcPr>
          <w:p>
            <w:pPr>
              <w:pStyle w:val="Normal"/>
              <w:jc w:val="center"/>
              <w:rPr>
                <w:lang w:eastAsia="ru-RU"/>
              </w:rPr>
            </w:pPr>
            <w:r>
              <w:rPr>
                <w:sz w:val="20"/>
                <w:szCs w:val="20"/>
              </w:rPr>
              <w:t>0,0</w:t>
            </w:r>
          </w:p>
        </w:tc>
        <w:tc>
          <w:tcPr>
            <w:tcW w:w="1013" w:type="dxa"/>
            <w:gridSpan w:val="2"/>
            <w:tcBorders>
              <w:bottom w:val="single" w:sz="4" w:space="0" w:color="000000"/>
              <w:right w:val="single" w:sz="4" w:space="0" w:color="000000"/>
            </w:tcBorders>
            <w:shd w:color="auto" w:fill="auto" w:val="clear"/>
            <w:vAlign w:val="center"/>
          </w:tcPr>
          <w:p>
            <w:pPr>
              <w:pStyle w:val="Normal"/>
              <w:jc w:val="center"/>
              <w:rPr>
                <w:lang w:eastAsia="ru-RU"/>
              </w:rPr>
            </w:pPr>
            <w:r>
              <w:rPr>
                <w:sz w:val="20"/>
                <w:szCs w:val="20"/>
              </w:rPr>
              <w:t>0,0</w:t>
            </w:r>
          </w:p>
        </w:tc>
        <w:tc>
          <w:tcPr>
            <w:tcW w:w="1770" w:type="dxa"/>
            <w:tcBorders>
              <w:bottom w:val="single" w:sz="4" w:space="0" w:color="000000"/>
              <w:right w:val="single" w:sz="4" w:space="0" w:color="000000"/>
            </w:tcBorders>
            <w:shd w:color="auto" w:fill="auto" w:val="clear"/>
            <w:vAlign w:val="center"/>
          </w:tcPr>
          <w:p>
            <w:pPr>
              <w:pStyle w:val="Normal"/>
              <w:rPr>
                <w:lang w:eastAsia="ru-RU"/>
              </w:rPr>
            </w:pPr>
            <w:r>
              <w:rPr>
                <w:sz w:val="20"/>
                <w:szCs w:val="20"/>
              </w:rPr>
              <w:t>4,766</w:t>
            </w:r>
          </w:p>
        </w:tc>
        <w:tc>
          <w:tcPr>
            <w:tcW w:w="1163" w:type="dxa"/>
            <w:tcBorders>
              <w:bottom w:val="single" w:sz="4" w:space="0" w:color="000000"/>
              <w:right w:val="single" w:sz="4" w:space="0" w:color="000000"/>
            </w:tcBorders>
            <w:shd w:color="auto" w:fill="auto" w:val="clear"/>
            <w:vAlign w:val="center"/>
          </w:tcPr>
          <w:p>
            <w:pPr>
              <w:pStyle w:val="Normal"/>
              <w:jc w:val="center"/>
              <w:rPr>
                <w:lang w:eastAsia="ru-RU"/>
              </w:rPr>
            </w:pPr>
            <w:r>
              <w:rPr>
                <w:sz w:val="20"/>
                <w:szCs w:val="20"/>
              </w:rPr>
              <w:t>4,766</w:t>
            </w:r>
          </w:p>
        </w:tc>
        <w:tc>
          <w:tcPr>
            <w:tcW w:w="1441" w:type="dxa"/>
            <w:tcBorders>
              <w:bottom w:val="single" w:sz="4" w:space="0" w:color="000000"/>
              <w:right w:val="single" w:sz="4" w:space="0" w:color="000000"/>
            </w:tcBorders>
            <w:shd w:color="auto" w:fill="auto" w:val="clear"/>
            <w:vAlign w:val="center"/>
          </w:tcPr>
          <w:p>
            <w:pPr>
              <w:pStyle w:val="Normal"/>
              <w:jc w:val="center"/>
              <w:rPr>
                <w:lang w:eastAsia="ru-RU"/>
              </w:rPr>
            </w:pPr>
            <w:r>
              <w:rPr>
                <w:sz w:val="20"/>
                <w:szCs w:val="20"/>
              </w:rPr>
              <w:t>5,894</w:t>
            </w:r>
          </w:p>
        </w:tc>
        <w:tc>
          <w:tcPr>
            <w:tcW w:w="964" w:type="dxa"/>
            <w:tcBorders>
              <w:bottom w:val="single" w:sz="4" w:space="0" w:color="000000"/>
              <w:right w:val="single" w:sz="4" w:space="0" w:color="000000"/>
            </w:tcBorders>
            <w:shd w:color="auto" w:fill="auto" w:val="clear"/>
            <w:vAlign w:val="center"/>
          </w:tcPr>
          <w:p>
            <w:pPr>
              <w:pStyle w:val="Normal"/>
              <w:jc w:val="center"/>
              <w:rPr>
                <w:lang w:eastAsia="ru-RU"/>
              </w:rPr>
            </w:pPr>
            <w:r>
              <w:rPr>
                <w:sz w:val="20"/>
                <w:szCs w:val="20"/>
              </w:rPr>
              <w:t>44,71</w:t>
            </w:r>
          </w:p>
        </w:tc>
      </w:tr>
      <w:tr>
        <w:trPr>
          <w:trHeight w:val="20" w:hRule="atLeast"/>
        </w:trPr>
        <w:tc>
          <w:tcPr>
            <w:tcW w:w="345" w:type="dxa"/>
            <w:vMerge w:val="continue"/>
            <w:tcBorders>
              <w:left w:val="single" w:sz="4" w:space="0" w:color="000000"/>
              <w:right w:val="single" w:sz="4" w:space="0" w:color="000000"/>
            </w:tcBorders>
            <w:shd w:color="auto" w:fill="auto" w:val="clear"/>
            <w:vAlign w:val="center"/>
          </w:tcPr>
          <w:p>
            <w:pPr>
              <w:pStyle w:val="Normal"/>
              <w:rPr>
                <w:sz w:val="20"/>
                <w:szCs w:val="20"/>
                <w:lang w:eastAsia="ru-RU"/>
              </w:rPr>
            </w:pPr>
            <w:r>
              <w:rPr>
                <w:sz w:val="20"/>
                <w:szCs w:val="20"/>
                <w:lang w:eastAsia="ru-RU"/>
              </w:rPr>
            </w:r>
          </w:p>
        </w:tc>
        <w:tc>
          <w:tcPr>
            <w:tcW w:w="1601" w:type="dxa"/>
            <w:vMerge w:val="continue"/>
            <w:tcBorders>
              <w:left w:val="single" w:sz="4" w:space="0" w:color="000000"/>
              <w:right w:val="single" w:sz="4" w:space="0" w:color="000000"/>
            </w:tcBorders>
            <w:shd w:color="auto" w:fill="auto" w:val="clear"/>
            <w:vAlign w:val="center"/>
          </w:tcPr>
          <w:p>
            <w:pPr>
              <w:pStyle w:val="Normal"/>
              <w:rPr>
                <w:sz w:val="20"/>
                <w:szCs w:val="20"/>
                <w:lang w:eastAsia="ru-RU"/>
              </w:rPr>
            </w:pPr>
            <w:r>
              <w:rPr>
                <w:sz w:val="20"/>
                <w:szCs w:val="20"/>
                <w:lang w:eastAsia="ru-RU"/>
              </w:rPr>
            </w:r>
          </w:p>
        </w:tc>
        <w:tc>
          <w:tcPr>
            <w:tcW w:w="586" w:type="dxa"/>
            <w:tcBorders>
              <w:bottom w:val="single" w:sz="4" w:space="0" w:color="000000"/>
              <w:right w:val="single" w:sz="4" w:space="0" w:color="000000"/>
            </w:tcBorders>
            <w:shd w:color="auto" w:fill="auto" w:val="clear"/>
            <w:vAlign w:val="center"/>
          </w:tcPr>
          <w:p>
            <w:pPr>
              <w:pStyle w:val="Normal"/>
              <w:jc w:val="center"/>
              <w:rPr>
                <w:lang w:eastAsia="ru-RU"/>
              </w:rPr>
            </w:pPr>
            <w:r>
              <w:rPr>
                <w:sz w:val="20"/>
                <w:szCs w:val="20"/>
                <w:lang w:eastAsia="ru-RU"/>
              </w:rPr>
              <w:t>2028</w:t>
            </w:r>
          </w:p>
        </w:tc>
        <w:tc>
          <w:tcPr>
            <w:tcW w:w="1598" w:type="dxa"/>
            <w:tcBorders>
              <w:bottom w:val="single" w:sz="4" w:space="0" w:color="000000"/>
              <w:right w:val="single" w:sz="4" w:space="0" w:color="000000"/>
            </w:tcBorders>
            <w:shd w:color="auto" w:fill="auto" w:val="clear"/>
            <w:vAlign w:val="center"/>
          </w:tcPr>
          <w:p>
            <w:pPr>
              <w:pStyle w:val="Normal"/>
              <w:jc w:val="center"/>
              <w:rPr>
                <w:lang w:eastAsia="ru-RU"/>
              </w:rPr>
            </w:pPr>
            <w:r>
              <w:rPr>
                <w:sz w:val="20"/>
                <w:szCs w:val="20"/>
              </w:rPr>
              <w:t>10,66</w:t>
            </w:r>
          </w:p>
        </w:tc>
        <w:tc>
          <w:tcPr>
            <w:tcW w:w="1540" w:type="dxa"/>
            <w:tcBorders>
              <w:bottom w:val="single" w:sz="4" w:space="0" w:color="000000"/>
              <w:right w:val="single" w:sz="4" w:space="0" w:color="000000"/>
            </w:tcBorders>
            <w:shd w:color="auto" w:fill="auto" w:val="clear"/>
            <w:vAlign w:val="center"/>
          </w:tcPr>
          <w:p>
            <w:pPr>
              <w:pStyle w:val="Normal"/>
              <w:jc w:val="center"/>
              <w:rPr>
                <w:lang w:eastAsia="ru-RU"/>
              </w:rPr>
            </w:pPr>
            <w:r>
              <w:rPr>
                <w:sz w:val="20"/>
                <w:szCs w:val="20"/>
              </w:rPr>
              <w:t>10,66</w:t>
            </w:r>
          </w:p>
        </w:tc>
        <w:tc>
          <w:tcPr>
            <w:tcW w:w="1141" w:type="dxa"/>
            <w:tcBorders>
              <w:bottom w:val="single" w:sz="4" w:space="0" w:color="000000"/>
              <w:right w:val="single" w:sz="4" w:space="0" w:color="000000"/>
            </w:tcBorders>
            <w:shd w:color="auto" w:fill="auto" w:val="clear"/>
            <w:vAlign w:val="center"/>
          </w:tcPr>
          <w:p>
            <w:pPr>
              <w:pStyle w:val="Normal"/>
              <w:jc w:val="center"/>
              <w:rPr>
                <w:lang w:eastAsia="ru-RU"/>
              </w:rPr>
            </w:pPr>
            <w:r>
              <w:rPr>
                <w:sz w:val="20"/>
                <w:szCs w:val="20"/>
              </w:rPr>
              <w:t>10,09</w:t>
            </w:r>
          </w:p>
        </w:tc>
        <w:tc>
          <w:tcPr>
            <w:tcW w:w="1407" w:type="dxa"/>
            <w:tcBorders>
              <w:bottom w:val="single" w:sz="4" w:space="0" w:color="000000"/>
              <w:right w:val="single" w:sz="4" w:space="0" w:color="000000"/>
            </w:tcBorders>
            <w:shd w:color="auto" w:fill="auto" w:val="clear"/>
            <w:vAlign w:val="center"/>
          </w:tcPr>
          <w:p>
            <w:pPr>
              <w:pStyle w:val="Normal"/>
              <w:jc w:val="center"/>
              <w:rPr>
                <w:lang w:eastAsia="ru-RU"/>
              </w:rPr>
            </w:pPr>
            <w:r>
              <w:rPr>
                <w:sz w:val="20"/>
                <w:szCs w:val="20"/>
              </w:rPr>
              <w:t>0,0</w:t>
            </w:r>
          </w:p>
        </w:tc>
        <w:tc>
          <w:tcPr>
            <w:tcW w:w="1013" w:type="dxa"/>
            <w:gridSpan w:val="2"/>
            <w:tcBorders>
              <w:bottom w:val="single" w:sz="4" w:space="0" w:color="000000"/>
              <w:right w:val="single" w:sz="4" w:space="0" w:color="000000"/>
            </w:tcBorders>
            <w:shd w:color="auto" w:fill="auto" w:val="clear"/>
            <w:vAlign w:val="center"/>
          </w:tcPr>
          <w:p>
            <w:pPr>
              <w:pStyle w:val="Normal"/>
              <w:jc w:val="center"/>
              <w:rPr>
                <w:lang w:eastAsia="ru-RU"/>
              </w:rPr>
            </w:pPr>
            <w:r>
              <w:rPr>
                <w:sz w:val="20"/>
                <w:szCs w:val="20"/>
              </w:rPr>
              <w:t>0,0</w:t>
            </w:r>
          </w:p>
        </w:tc>
        <w:tc>
          <w:tcPr>
            <w:tcW w:w="1770" w:type="dxa"/>
            <w:tcBorders>
              <w:bottom w:val="single" w:sz="4" w:space="0" w:color="000000"/>
              <w:right w:val="single" w:sz="4" w:space="0" w:color="000000"/>
            </w:tcBorders>
            <w:shd w:color="auto" w:fill="auto" w:val="clear"/>
            <w:vAlign w:val="center"/>
          </w:tcPr>
          <w:p>
            <w:pPr>
              <w:pStyle w:val="Normal"/>
              <w:rPr>
                <w:lang w:eastAsia="ru-RU"/>
              </w:rPr>
            </w:pPr>
            <w:r>
              <w:rPr>
                <w:sz w:val="20"/>
                <w:szCs w:val="20"/>
              </w:rPr>
              <w:t>4,766</w:t>
            </w:r>
          </w:p>
        </w:tc>
        <w:tc>
          <w:tcPr>
            <w:tcW w:w="1163" w:type="dxa"/>
            <w:tcBorders>
              <w:bottom w:val="single" w:sz="4" w:space="0" w:color="000000"/>
              <w:right w:val="single" w:sz="4" w:space="0" w:color="000000"/>
            </w:tcBorders>
            <w:shd w:color="auto" w:fill="auto" w:val="clear"/>
            <w:vAlign w:val="center"/>
          </w:tcPr>
          <w:p>
            <w:pPr>
              <w:pStyle w:val="Normal"/>
              <w:jc w:val="center"/>
              <w:rPr>
                <w:lang w:eastAsia="ru-RU"/>
              </w:rPr>
            </w:pPr>
            <w:r>
              <w:rPr>
                <w:sz w:val="20"/>
                <w:szCs w:val="20"/>
              </w:rPr>
              <w:t>4,766</w:t>
            </w:r>
          </w:p>
        </w:tc>
        <w:tc>
          <w:tcPr>
            <w:tcW w:w="1441" w:type="dxa"/>
            <w:tcBorders>
              <w:bottom w:val="single" w:sz="4" w:space="0" w:color="000000"/>
              <w:right w:val="single" w:sz="4" w:space="0" w:color="000000"/>
            </w:tcBorders>
            <w:shd w:color="auto" w:fill="auto" w:val="clear"/>
            <w:vAlign w:val="center"/>
          </w:tcPr>
          <w:p>
            <w:pPr>
              <w:pStyle w:val="Normal"/>
              <w:jc w:val="center"/>
              <w:rPr>
                <w:lang w:eastAsia="ru-RU"/>
              </w:rPr>
            </w:pPr>
            <w:r>
              <w:rPr>
                <w:sz w:val="20"/>
                <w:szCs w:val="20"/>
              </w:rPr>
              <w:t>5,894</w:t>
            </w:r>
          </w:p>
        </w:tc>
        <w:tc>
          <w:tcPr>
            <w:tcW w:w="964" w:type="dxa"/>
            <w:tcBorders>
              <w:bottom w:val="single" w:sz="4" w:space="0" w:color="000000"/>
              <w:right w:val="single" w:sz="4" w:space="0" w:color="000000"/>
            </w:tcBorders>
            <w:shd w:color="auto" w:fill="auto" w:val="clear"/>
            <w:vAlign w:val="center"/>
          </w:tcPr>
          <w:p>
            <w:pPr>
              <w:pStyle w:val="Normal"/>
              <w:jc w:val="center"/>
              <w:rPr>
                <w:lang w:eastAsia="ru-RU"/>
              </w:rPr>
            </w:pPr>
            <w:r>
              <w:rPr>
                <w:sz w:val="20"/>
                <w:szCs w:val="20"/>
              </w:rPr>
              <w:t>44,71</w:t>
            </w:r>
          </w:p>
        </w:tc>
      </w:tr>
      <w:tr>
        <w:trPr>
          <w:trHeight w:val="20" w:hRule="atLeast"/>
        </w:trPr>
        <w:tc>
          <w:tcPr>
            <w:tcW w:w="345" w:type="dxa"/>
            <w:vMerge w:val="continue"/>
            <w:tcBorders>
              <w:left w:val="single" w:sz="4" w:space="0" w:color="000000"/>
              <w:right w:val="single" w:sz="4" w:space="0" w:color="000000"/>
            </w:tcBorders>
            <w:shd w:color="auto" w:fill="auto" w:val="clear"/>
            <w:vAlign w:val="center"/>
          </w:tcPr>
          <w:p>
            <w:pPr>
              <w:pStyle w:val="Normal"/>
              <w:rPr>
                <w:sz w:val="20"/>
                <w:szCs w:val="20"/>
                <w:lang w:eastAsia="ru-RU"/>
              </w:rPr>
            </w:pPr>
            <w:r>
              <w:rPr>
                <w:sz w:val="20"/>
                <w:szCs w:val="20"/>
                <w:lang w:eastAsia="ru-RU"/>
              </w:rPr>
            </w:r>
          </w:p>
        </w:tc>
        <w:tc>
          <w:tcPr>
            <w:tcW w:w="1601" w:type="dxa"/>
            <w:vMerge w:val="continue"/>
            <w:tcBorders>
              <w:left w:val="single" w:sz="4" w:space="0" w:color="000000"/>
              <w:right w:val="single" w:sz="4" w:space="0" w:color="000000"/>
            </w:tcBorders>
            <w:shd w:color="auto" w:fill="auto" w:val="clear"/>
            <w:vAlign w:val="center"/>
          </w:tcPr>
          <w:p>
            <w:pPr>
              <w:pStyle w:val="Normal"/>
              <w:rPr>
                <w:sz w:val="20"/>
                <w:szCs w:val="20"/>
                <w:lang w:eastAsia="ru-RU"/>
              </w:rPr>
            </w:pPr>
            <w:r>
              <w:rPr>
                <w:sz w:val="20"/>
                <w:szCs w:val="20"/>
                <w:lang w:eastAsia="ru-RU"/>
              </w:rPr>
            </w:r>
          </w:p>
        </w:tc>
        <w:tc>
          <w:tcPr>
            <w:tcW w:w="586" w:type="dxa"/>
            <w:tcBorders>
              <w:bottom w:val="single" w:sz="4" w:space="0" w:color="000000"/>
              <w:right w:val="single" w:sz="4" w:space="0" w:color="000000"/>
            </w:tcBorders>
            <w:shd w:color="auto" w:fill="auto" w:val="clear"/>
            <w:vAlign w:val="center"/>
          </w:tcPr>
          <w:p>
            <w:pPr>
              <w:pStyle w:val="Normal"/>
              <w:jc w:val="center"/>
              <w:rPr>
                <w:lang w:eastAsia="ru-RU"/>
              </w:rPr>
            </w:pPr>
            <w:r>
              <w:rPr>
                <w:sz w:val="20"/>
                <w:szCs w:val="20"/>
                <w:lang w:eastAsia="ru-RU"/>
              </w:rPr>
              <w:t>2029-2032</w:t>
            </w:r>
          </w:p>
        </w:tc>
        <w:tc>
          <w:tcPr>
            <w:tcW w:w="1598" w:type="dxa"/>
            <w:tcBorders>
              <w:bottom w:val="single" w:sz="4" w:space="0" w:color="000000"/>
              <w:right w:val="single" w:sz="4" w:space="0" w:color="000000"/>
            </w:tcBorders>
            <w:shd w:color="auto" w:fill="auto" w:val="clear"/>
            <w:vAlign w:val="center"/>
          </w:tcPr>
          <w:p>
            <w:pPr>
              <w:pStyle w:val="Normal"/>
              <w:jc w:val="center"/>
              <w:rPr>
                <w:lang w:eastAsia="ru-RU"/>
              </w:rPr>
            </w:pPr>
            <w:r>
              <w:rPr>
                <w:sz w:val="20"/>
                <w:szCs w:val="20"/>
              </w:rPr>
              <w:t>10,66</w:t>
            </w:r>
          </w:p>
        </w:tc>
        <w:tc>
          <w:tcPr>
            <w:tcW w:w="1540" w:type="dxa"/>
            <w:tcBorders>
              <w:bottom w:val="single" w:sz="4" w:space="0" w:color="000000"/>
              <w:right w:val="single" w:sz="4" w:space="0" w:color="000000"/>
            </w:tcBorders>
            <w:shd w:color="auto" w:fill="auto" w:val="clear"/>
            <w:vAlign w:val="center"/>
          </w:tcPr>
          <w:p>
            <w:pPr>
              <w:pStyle w:val="Normal"/>
              <w:jc w:val="center"/>
              <w:rPr>
                <w:lang w:eastAsia="ru-RU"/>
              </w:rPr>
            </w:pPr>
            <w:r>
              <w:rPr>
                <w:sz w:val="20"/>
                <w:szCs w:val="20"/>
              </w:rPr>
              <w:t>10,66</w:t>
            </w:r>
          </w:p>
        </w:tc>
        <w:tc>
          <w:tcPr>
            <w:tcW w:w="1141" w:type="dxa"/>
            <w:tcBorders>
              <w:bottom w:val="single" w:sz="4" w:space="0" w:color="000000"/>
              <w:right w:val="single" w:sz="4" w:space="0" w:color="000000"/>
            </w:tcBorders>
            <w:shd w:color="auto" w:fill="auto" w:val="clear"/>
            <w:vAlign w:val="center"/>
          </w:tcPr>
          <w:p>
            <w:pPr>
              <w:pStyle w:val="Normal"/>
              <w:jc w:val="center"/>
              <w:rPr>
                <w:lang w:eastAsia="ru-RU"/>
              </w:rPr>
            </w:pPr>
            <w:r>
              <w:rPr>
                <w:sz w:val="20"/>
                <w:szCs w:val="20"/>
              </w:rPr>
              <w:t>10,09</w:t>
            </w:r>
          </w:p>
        </w:tc>
        <w:tc>
          <w:tcPr>
            <w:tcW w:w="1407" w:type="dxa"/>
            <w:tcBorders>
              <w:bottom w:val="single" w:sz="4" w:space="0" w:color="000000"/>
              <w:right w:val="single" w:sz="4" w:space="0" w:color="000000"/>
            </w:tcBorders>
            <w:shd w:color="auto" w:fill="auto" w:val="clear"/>
            <w:vAlign w:val="center"/>
          </w:tcPr>
          <w:p>
            <w:pPr>
              <w:pStyle w:val="Normal"/>
              <w:jc w:val="center"/>
              <w:rPr>
                <w:lang w:eastAsia="ru-RU"/>
              </w:rPr>
            </w:pPr>
            <w:r>
              <w:rPr>
                <w:sz w:val="20"/>
                <w:szCs w:val="20"/>
              </w:rPr>
              <w:t>0,0</w:t>
            </w:r>
          </w:p>
        </w:tc>
        <w:tc>
          <w:tcPr>
            <w:tcW w:w="1013" w:type="dxa"/>
            <w:gridSpan w:val="2"/>
            <w:tcBorders>
              <w:bottom w:val="single" w:sz="4" w:space="0" w:color="000000"/>
              <w:right w:val="single" w:sz="4" w:space="0" w:color="000000"/>
            </w:tcBorders>
            <w:shd w:color="auto" w:fill="auto" w:val="clear"/>
            <w:vAlign w:val="center"/>
          </w:tcPr>
          <w:p>
            <w:pPr>
              <w:pStyle w:val="Normal"/>
              <w:jc w:val="center"/>
              <w:rPr>
                <w:lang w:eastAsia="ru-RU"/>
              </w:rPr>
            </w:pPr>
            <w:r>
              <w:rPr>
                <w:sz w:val="20"/>
                <w:szCs w:val="20"/>
              </w:rPr>
              <w:t>0,0</w:t>
            </w:r>
          </w:p>
        </w:tc>
        <w:tc>
          <w:tcPr>
            <w:tcW w:w="1770" w:type="dxa"/>
            <w:tcBorders>
              <w:bottom w:val="single" w:sz="4" w:space="0" w:color="000000"/>
              <w:right w:val="single" w:sz="4" w:space="0" w:color="000000"/>
            </w:tcBorders>
            <w:shd w:color="auto" w:fill="auto" w:val="clear"/>
            <w:vAlign w:val="center"/>
          </w:tcPr>
          <w:p>
            <w:pPr>
              <w:pStyle w:val="Normal"/>
              <w:rPr>
                <w:lang w:eastAsia="ru-RU"/>
              </w:rPr>
            </w:pPr>
            <w:r>
              <w:rPr>
                <w:sz w:val="20"/>
                <w:szCs w:val="20"/>
              </w:rPr>
              <w:t>4,766</w:t>
            </w:r>
          </w:p>
        </w:tc>
        <w:tc>
          <w:tcPr>
            <w:tcW w:w="1163" w:type="dxa"/>
            <w:tcBorders>
              <w:bottom w:val="single" w:sz="4" w:space="0" w:color="000000"/>
              <w:right w:val="single" w:sz="4" w:space="0" w:color="000000"/>
            </w:tcBorders>
            <w:shd w:color="auto" w:fill="auto" w:val="clear"/>
            <w:vAlign w:val="center"/>
          </w:tcPr>
          <w:p>
            <w:pPr>
              <w:pStyle w:val="Normal"/>
              <w:jc w:val="center"/>
              <w:rPr>
                <w:lang w:eastAsia="ru-RU"/>
              </w:rPr>
            </w:pPr>
            <w:r>
              <w:rPr>
                <w:sz w:val="20"/>
                <w:szCs w:val="20"/>
              </w:rPr>
              <w:t>4,766</w:t>
            </w:r>
          </w:p>
        </w:tc>
        <w:tc>
          <w:tcPr>
            <w:tcW w:w="1441" w:type="dxa"/>
            <w:tcBorders>
              <w:bottom w:val="single" w:sz="4" w:space="0" w:color="000000"/>
              <w:right w:val="single" w:sz="4" w:space="0" w:color="000000"/>
            </w:tcBorders>
            <w:shd w:color="auto" w:fill="auto" w:val="clear"/>
            <w:vAlign w:val="center"/>
          </w:tcPr>
          <w:p>
            <w:pPr>
              <w:pStyle w:val="Normal"/>
              <w:jc w:val="center"/>
              <w:rPr>
                <w:lang w:eastAsia="ru-RU"/>
              </w:rPr>
            </w:pPr>
            <w:r>
              <w:rPr>
                <w:sz w:val="20"/>
                <w:szCs w:val="20"/>
              </w:rPr>
              <w:t>5,894</w:t>
            </w:r>
          </w:p>
        </w:tc>
        <w:tc>
          <w:tcPr>
            <w:tcW w:w="964" w:type="dxa"/>
            <w:tcBorders>
              <w:bottom w:val="single" w:sz="4" w:space="0" w:color="000000"/>
              <w:right w:val="single" w:sz="4" w:space="0" w:color="000000"/>
            </w:tcBorders>
            <w:shd w:color="auto" w:fill="auto" w:val="clear"/>
            <w:vAlign w:val="center"/>
          </w:tcPr>
          <w:p>
            <w:pPr>
              <w:pStyle w:val="Normal"/>
              <w:jc w:val="center"/>
              <w:rPr>
                <w:lang w:eastAsia="ru-RU"/>
              </w:rPr>
            </w:pPr>
            <w:r>
              <w:rPr>
                <w:sz w:val="20"/>
                <w:szCs w:val="20"/>
              </w:rPr>
              <w:t>44,71</w:t>
            </w:r>
          </w:p>
        </w:tc>
      </w:tr>
      <w:tr>
        <w:trPr>
          <w:trHeight w:val="20" w:hRule="atLeast"/>
        </w:trPr>
        <w:tc>
          <w:tcPr>
            <w:tcW w:w="345" w:type="dxa"/>
            <w:vMerge w:val="continue"/>
            <w:tcBorders>
              <w:left w:val="single" w:sz="4" w:space="0" w:color="000000"/>
              <w:bottom w:val="single" w:sz="4" w:space="0" w:color="000000"/>
              <w:right w:val="single" w:sz="4" w:space="0" w:color="000000"/>
            </w:tcBorders>
            <w:shd w:color="auto" w:fill="auto" w:val="clear"/>
            <w:vAlign w:val="center"/>
          </w:tcPr>
          <w:p>
            <w:pPr>
              <w:pStyle w:val="Normal"/>
              <w:rPr>
                <w:sz w:val="20"/>
                <w:szCs w:val="20"/>
                <w:lang w:eastAsia="ru-RU"/>
              </w:rPr>
            </w:pPr>
            <w:r>
              <w:rPr>
                <w:sz w:val="20"/>
                <w:szCs w:val="20"/>
                <w:lang w:eastAsia="ru-RU"/>
              </w:rPr>
            </w:r>
          </w:p>
        </w:tc>
        <w:tc>
          <w:tcPr>
            <w:tcW w:w="1601" w:type="dxa"/>
            <w:vMerge w:val="continue"/>
            <w:tcBorders>
              <w:left w:val="single" w:sz="4" w:space="0" w:color="000000"/>
              <w:bottom w:val="single" w:sz="4" w:space="0" w:color="000000"/>
              <w:right w:val="single" w:sz="4" w:space="0" w:color="000000"/>
            </w:tcBorders>
            <w:shd w:color="auto" w:fill="auto" w:val="clear"/>
            <w:vAlign w:val="center"/>
          </w:tcPr>
          <w:p>
            <w:pPr>
              <w:pStyle w:val="Normal"/>
              <w:rPr>
                <w:sz w:val="20"/>
                <w:szCs w:val="20"/>
                <w:lang w:eastAsia="ru-RU"/>
              </w:rPr>
            </w:pPr>
            <w:r>
              <w:rPr>
                <w:sz w:val="20"/>
                <w:szCs w:val="20"/>
                <w:lang w:eastAsia="ru-RU"/>
              </w:rPr>
            </w:r>
          </w:p>
        </w:tc>
        <w:tc>
          <w:tcPr>
            <w:tcW w:w="586" w:type="dxa"/>
            <w:tcBorders>
              <w:bottom w:val="single" w:sz="4" w:space="0" w:color="000000"/>
              <w:right w:val="single" w:sz="4" w:space="0" w:color="000000"/>
            </w:tcBorders>
            <w:shd w:color="auto" w:fill="auto" w:val="clear"/>
            <w:vAlign w:val="center"/>
          </w:tcPr>
          <w:p>
            <w:pPr>
              <w:pStyle w:val="Normal"/>
              <w:jc w:val="center"/>
              <w:rPr>
                <w:lang w:eastAsia="ru-RU"/>
              </w:rPr>
            </w:pPr>
            <w:r>
              <w:rPr>
                <w:sz w:val="20"/>
                <w:szCs w:val="20"/>
                <w:lang w:eastAsia="ru-RU"/>
              </w:rPr>
              <w:t>2033-2035</w:t>
            </w:r>
          </w:p>
        </w:tc>
        <w:tc>
          <w:tcPr>
            <w:tcW w:w="1598" w:type="dxa"/>
            <w:tcBorders>
              <w:bottom w:val="single" w:sz="4" w:space="0" w:color="000000"/>
              <w:right w:val="single" w:sz="4" w:space="0" w:color="000000"/>
            </w:tcBorders>
            <w:shd w:color="auto" w:fill="auto" w:val="clear"/>
            <w:vAlign w:val="center"/>
          </w:tcPr>
          <w:p>
            <w:pPr>
              <w:pStyle w:val="Normal"/>
              <w:jc w:val="center"/>
              <w:rPr>
                <w:lang w:eastAsia="ru-RU"/>
              </w:rPr>
            </w:pPr>
            <w:r>
              <w:rPr>
                <w:sz w:val="20"/>
                <w:szCs w:val="20"/>
              </w:rPr>
              <w:t>10,66</w:t>
            </w:r>
          </w:p>
        </w:tc>
        <w:tc>
          <w:tcPr>
            <w:tcW w:w="1540" w:type="dxa"/>
            <w:tcBorders>
              <w:bottom w:val="single" w:sz="4" w:space="0" w:color="000000"/>
              <w:right w:val="single" w:sz="4" w:space="0" w:color="000000"/>
            </w:tcBorders>
            <w:shd w:color="auto" w:fill="auto" w:val="clear"/>
            <w:vAlign w:val="center"/>
          </w:tcPr>
          <w:p>
            <w:pPr>
              <w:pStyle w:val="Normal"/>
              <w:jc w:val="center"/>
              <w:rPr>
                <w:lang w:eastAsia="ru-RU"/>
              </w:rPr>
            </w:pPr>
            <w:r>
              <w:rPr>
                <w:sz w:val="20"/>
                <w:szCs w:val="20"/>
              </w:rPr>
              <w:t>10,66</w:t>
            </w:r>
          </w:p>
        </w:tc>
        <w:tc>
          <w:tcPr>
            <w:tcW w:w="1141" w:type="dxa"/>
            <w:tcBorders>
              <w:bottom w:val="single" w:sz="4" w:space="0" w:color="000000"/>
              <w:right w:val="single" w:sz="4" w:space="0" w:color="000000"/>
            </w:tcBorders>
            <w:shd w:color="auto" w:fill="auto" w:val="clear"/>
            <w:vAlign w:val="center"/>
          </w:tcPr>
          <w:p>
            <w:pPr>
              <w:pStyle w:val="Normal"/>
              <w:jc w:val="center"/>
              <w:rPr>
                <w:lang w:eastAsia="ru-RU"/>
              </w:rPr>
            </w:pPr>
            <w:r>
              <w:rPr>
                <w:sz w:val="20"/>
                <w:szCs w:val="20"/>
              </w:rPr>
              <w:t>10,09</w:t>
            </w:r>
          </w:p>
        </w:tc>
        <w:tc>
          <w:tcPr>
            <w:tcW w:w="1407" w:type="dxa"/>
            <w:tcBorders>
              <w:bottom w:val="single" w:sz="4" w:space="0" w:color="000000"/>
              <w:right w:val="single" w:sz="4" w:space="0" w:color="000000"/>
            </w:tcBorders>
            <w:shd w:color="auto" w:fill="auto" w:val="clear"/>
            <w:vAlign w:val="center"/>
          </w:tcPr>
          <w:p>
            <w:pPr>
              <w:pStyle w:val="Normal"/>
              <w:jc w:val="center"/>
              <w:rPr>
                <w:lang w:eastAsia="ru-RU"/>
              </w:rPr>
            </w:pPr>
            <w:r>
              <w:rPr>
                <w:sz w:val="20"/>
                <w:szCs w:val="20"/>
              </w:rPr>
              <w:t>0,0</w:t>
            </w:r>
          </w:p>
        </w:tc>
        <w:tc>
          <w:tcPr>
            <w:tcW w:w="1013" w:type="dxa"/>
            <w:gridSpan w:val="2"/>
            <w:tcBorders>
              <w:bottom w:val="single" w:sz="4" w:space="0" w:color="000000"/>
              <w:right w:val="single" w:sz="4" w:space="0" w:color="000000"/>
            </w:tcBorders>
            <w:shd w:color="auto" w:fill="auto" w:val="clear"/>
            <w:vAlign w:val="center"/>
          </w:tcPr>
          <w:p>
            <w:pPr>
              <w:pStyle w:val="Normal"/>
              <w:jc w:val="center"/>
              <w:rPr>
                <w:lang w:eastAsia="ru-RU"/>
              </w:rPr>
            </w:pPr>
            <w:r>
              <w:rPr>
                <w:sz w:val="20"/>
                <w:szCs w:val="20"/>
              </w:rPr>
              <w:t>0,0</w:t>
            </w:r>
          </w:p>
        </w:tc>
        <w:tc>
          <w:tcPr>
            <w:tcW w:w="1770" w:type="dxa"/>
            <w:tcBorders>
              <w:bottom w:val="single" w:sz="4" w:space="0" w:color="000000"/>
              <w:right w:val="single" w:sz="4" w:space="0" w:color="000000"/>
            </w:tcBorders>
            <w:shd w:color="auto" w:fill="auto" w:val="clear"/>
            <w:vAlign w:val="center"/>
          </w:tcPr>
          <w:p>
            <w:pPr>
              <w:pStyle w:val="Normal"/>
              <w:rPr>
                <w:lang w:eastAsia="ru-RU"/>
              </w:rPr>
            </w:pPr>
            <w:r>
              <w:rPr>
                <w:sz w:val="20"/>
                <w:szCs w:val="20"/>
              </w:rPr>
              <w:t>4,766</w:t>
            </w:r>
          </w:p>
        </w:tc>
        <w:tc>
          <w:tcPr>
            <w:tcW w:w="1163" w:type="dxa"/>
            <w:tcBorders>
              <w:bottom w:val="single" w:sz="4" w:space="0" w:color="000000"/>
              <w:right w:val="single" w:sz="4" w:space="0" w:color="000000"/>
            </w:tcBorders>
            <w:shd w:color="auto" w:fill="auto" w:val="clear"/>
            <w:vAlign w:val="center"/>
          </w:tcPr>
          <w:p>
            <w:pPr>
              <w:pStyle w:val="Normal"/>
              <w:jc w:val="center"/>
              <w:rPr>
                <w:lang w:eastAsia="ru-RU"/>
              </w:rPr>
            </w:pPr>
            <w:r>
              <w:rPr>
                <w:sz w:val="20"/>
                <w:szCs w:val="20"/>
              </w:rPr>
              <w:t>4,766</w:t>
            </w:r>
          </w:p>
        </w:tc>
        <w:tc>
          <w:tcPr>
            <w:tcW w:w="1441" w:type="dxa"/>
            <w:tcBorders>
              <w:bottom w:val="single" w:sz="4" w:space="0" w:color="000000"/>
              <w:right w:val="single" w:sz="4" w:space="0" w:color="000000"/>
            </w:tcBorders>
            <w:shd w:color="auto" w:fill="auto" w:val="clear"/>
            <w:vAlign w:val="center"/>
          </w:tcPr>
          <w:p>
            <w:pPr>
              <w:pStyle w:val="Normal"/>
              <w:jc w:val="center"/>
              <w:rPr>
                <w:lang w:eastAsia="ru-RU"/>
              </w:rPr>
            </w:pPr>
            <w:r>
              <w:rPr>
                <w:sz w:val="20"/>
                <w:szCs w:val="20"/>
              </w:rPr>
              <w:t>5,894</w:t>
            </w:r>
          </w:p>
        </w:tc>
        <w:tc>
          <w:tcPr>
            <w:tcW w:w="964" w:type="dxa"/>
            <w:tcBorders>
              <w:bottom w:val="single" w:sz="4" w:space="0" w:color="000000"/>
              <w:right w:val="single" w:sz="4" w:space="0" w:color="000000"/>
            </w:tcBorders>
            <w:shd w:color="auto" w:fill="auto" w:val="clear"/>
            <w:vAlign w:val="center"/>
          </w:tcPr>
          <w:p>
            <w:pPr>
              <w:pStyle w:val="Normal"/>
              <w:jc w:val="center"/>
              <w:rPr>
                <w:lang w:eastAsia="ru-RU"/>
              </w:rPr>
            </w:pPr>
            <w:r>
              <w:rPr>
                <w:sz w:val="20"/>
                <w:szCs w:val="20"/>
              </w:rPr>
              <w:t>44,71</w:t>
            </w:r>
          </w:p>
        </w:tc>
      </w:tr>
      <w:tr>
        <w:trPr>
          <w:trHeight w:val="157" w:hRule="atLeast"/>
        </w:trPr>
        <w:tc>
          <w:tcPr>
            <w:tcW w:w="345" w:type="dxa"/>
            <w:vMerge w:val="restart"/>
            <w:tcBorders>
              <w:left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2</w:t>
            </w:r>
          </w:p>
        </w:tc>
        <w:tc>
          <w:tcPr>
            <w:tcW w:w="1601" w:type="dxa"/>
            <w:vMerge w:val="restart"/>
            <w:tcBorders>
              <w:left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котельная № 2, пгт.Октябрьское, ул.Пионерская, 17б</w:t>
            </w:r>
          </w:p>
        </w:tc>
        <w:tc>
          <w:tcPr>
            <w:tcW w:w="586" w:type="dxa"/>
            <w:tcBorders>
              <w:top w:val="single" w:sz="4" w:space="0" w:color="000000"/>
              <w:bottom w:val="single" w:sz="4" w:space="0" w:color="000000"/>
              <w:right w:val="single" w:sz="4" w:space="0" w:color="000000"/>
            </w:tcBorders>
            <w:shd w:color="auto" w:fill="auto" w:val="clear"/>
            <w:vAlign w:val="center"/>
          </w:tcPr>
          <w:p>
            <w:pPr>
              <w:pStyle w:val="Normal"/>
              <w:jc w:val="center"/>
              <w:rPr>
                <w:lang w:eastAsia="ru-RU"/>
              </w:rPr>
            </w:pPr>
            <w:r>
              <w:rPr>
                <w:sz w:val="20"/>
                <w:szCs w:val="20"/>
                <w:lang w:eastAsia="ru-RU"/>
              </w:rPr>
              <w:t>2024</w:t>
            </w:r>
          </w:p>
        </w:tc>
        <w:tc>
          <w:tcPr>
            <w:tcW w:w="1598" w:type="dxa"/>
            <w:tcBorders>
              <w:top w:val="single" w:sz="4" w:space="0" w:color="000000"/>
              <w:bottom w:val="single" w:sz="4" w:space="0" w:color="000000"/>
              <w:right w:val="single" w:sz="4" w:space="0" w:color="000000"/>
            </w:tcBorders>
            <w:shd w:color="auto" w:fill="auto" w:val="clear"/>
            <w:vAlign w:val="center"/>
          </w:tcPr>
          <w:p>
            <w:pPr>
              <w:pStyle w:val="Normal"/>
              <w:jc w:val="center"/>
              <w:rPr>
                <w:lang w:eastAsia="ru-RU"/>
              </w:rPr>
            </w:pPr>
            <w:r>
              <w:rPr>
                <w:sz w:val="20"/>
                <w:szCs w:val="20"/>
              </w:rPr>
              <w:t>6,36</w:t>
            </w:r>
          </w:p>
        </w:tc>
        <w:tc>
          <w:tcPr>
            <w:tcW w:w="1540" w:type="dxa"/>
            <w:tcBorders>
              <w:top w:val="single" w:sz="4" w:space="0" w:color="000000"/>
              <w:bottom w:val="single" w:sz="4" w:space="0" w:color="000000"/>
              <w:right w:val="single" w:sz="4" w:space="0" w:color="000000"/>
            </w:tcBorders>
            <w:shd w:color="auto" w:fill="auto" w:val="clear"/>
            <w:vAlign w:val="center"/>
          </w:tcPr>
          <w:p>
            <w:pPr>
              <w:pStyle w:val="Normal"/>
              <w:jc w:val="center"/>
              <w:rPr>
                <w:lang w:eastAsia="ru-RU"/>
              </w:rPr>
            </w:pPr>
            <w:r>
              <w:rPr>
                <w:sz w:val="20"/>
                <w:szCs w:val="20"/>
              </w:rPr>
              <w:t>6,36</w:t>
            </w:r>
          </w:p>
        </w:tc>
        <w:tc>
          <w:tcPr>
            <w:tcW w:w="1141" w:type="dxa"/>
            <w:tcBorders>
              <w:top w:val="single" w:sz="4" w:space="0" w:color="000000"/>
              <w:bottom w:val="single" w:sz="4" w:space="0" w:color="000000"/>
              <w:right w:val="single" w:sz="4" w:space="0" w:color="000000"/>
            </w:tcBorders>
            <w:shd w:color="auto" w:fill="auto" w:val="clear"/>
            <w:vAlign w:val="center"/>
          </w:tcPr>
          <w:p>
            <w:pPr>
              <w:pStyle w:val="Normal"/>
              <w:jc w:val="center"/>
              <w:rPr>
                <w:lang w:eastAsia="ru-RU"/>
              </w:rPr>
            </w:pPr>
            <w:r>
              <w:rPr>
                <w:sz w:val="20"/>
                <w:szCs w:val="20"/>
              </w:rPr>
              <w:t>6,3</w:t>
            </w:r>
          </w:p>
        </w:tc>
        <w:tc>
          <w:tcPr>
            <w:tcW w:w="1407" w:type="dxa"/>
            <w:tcBorders>
              <w:top w:val="single" w:sz="4" w:space="0" w:color="000000"/>
              <w:bottom w:val="single" w:sz="4" w:space="0" w:color="000000"/>
              <w:right w:val="single" w:sz="4" w:space="0" w:color="000000"/>
            </w:tcBorders>
            <w:shd w:color="auto" w:fill="auto" w:val="clear"/>
            <w:vAlign w:val="center"/>
          </w:tcPr>
          <w:p>
            <w:pPr>
              <w:pStyle w:val="Normal"/>
              <w:jc w:val="center"/>
              <w:rPr>
                <w:lang w:eastAsia="ru-RU"/>
              </w:rPr>
            </w:pPr>
            <w:r>
              <w:rPr>
                <w:sz w:val="20"/>
                <w:szCs w:val="20"/>
              </w:rPr>
              <w:t>0,0</w:t>
            </w:r>
          </w:p>
        </w:tc>
        <w:tc>
          <w:tcPr>
            <w:tcW w:w="1001" w:type="dxa"/>
            <w:tcBorders>
              <w:top w:val="single" w:sz="4" w:space="0" w:color="000000"/>
              <w:bottom w:val="single" w:sz="4" w:space="0" w:color="000000"/>
              <w:right w:val="single" w:sz="4" w:space="0" w:color="000000"/>
            </w:tcBorders>
            <w:shd w:color="auto" w:fill="auto" w:val="clear"/>
            <w:vAlign w:val="center"/>
          </w:tcPr>
          <w:p>
            <w:pPr>
              <w:pStyle w:val="Normal"/>
              <w:jc w:val="center"/>
              <w:rPr>
                <w:lang w:eastAsia="ru-RU"/>
              </w:rPr>
            </w:pPr>
            <w:r>
              <w:rPr>
                <w:sz w:val="20"/>
                <w:szCs w:val="20"/>
              </w:rPr>
              <w:t>0,0</w:t>
            </w:r>
          </w:p>
        </w:tc>
        <w:tc>
          <w:tcPr>
            <w:tcW w:w="1782" w:type="dxa"/>
            <w:gridSpan w:val="2"/>
            <w:tcBorders>
              <w:top w:val="single" w:sz="4" w:space="0" w:color="000000"/>
              <w:bottom w:val="single" w:sz="4" w:space="0" w:color="000000"/>
              <w:right w:val="single" w:sz="4" w:space="0" w:color="000000"/>
            </w:tcBorders>
            <w:shd w:color="auto" w:fill="auto" w:val="clear"/>
            <w:vAlign w:val="center"/>
          </w:tcPr>
          <w:p>
            <w:pPr>
              <w:pStyle w:val="Normal"/>
              <w:jc w:val="center"/>
              <w:rPr>
                <w:lang w:eastAsia="ru-RU"/>
              </w:rPr>
            </w:pPr>
            <w:r>
              <w:rPr>
                <w:sz w:val="20"/>
                <w:szCs w:val="20"/>
              </w:rPr>
              <w:t>1,12</w:t>
            </w:r>
          </w:p>
        </w:tc>
        <w:tc>
          <w:tcPr>
            <w:tcW w:w="1163" w:type="dxa"/>
            <w:tcBorders>
              <w:top w:val="single" w:sz="4" w:space="0" w:color="000000"/>
              <w:bottom w:val="single" w:sz="4" w:space="0" w:color="000000"/>
              <w:right w:val="single" w:sz="4" w:space="0" w:color="000000"/>
            </w:tcBorders>
            <w:shd w:color="auto" w:fill="auto" w:val="clear"/>
            <w:vAlign w:val="center"/>
          </w:tcPr>
          <w:p>
            <w:pPr>
              <w:pStyle w:val="Normal"/>
              <w:jc w:val="center"/>
              <w:rPr>
                <w:lang w:eastAsia="ru-RU"/>
              </w:rPr>
            </w:pPr>
            <w:r>
              <w:rPr>
                <w:sz w:val="20"/>
                <w:szCs w:val="20"/>
                <w:lang w:eastAsia="ru-RU"/>
              </w:rPr>
              <w:t>1,12</w:t>
            </w:r>
          </w:p>
        </w:tc>
        <w:tc>
          <w:tcPr>
            <w:tcW w:w="1441" w:type="dxa"/>
            <w:tcBorders>
              <w:top w:val="single" w:sz="4" w:space="0" w:color="000000"/>
              <w:bottom w:val="single" w:sz="4" w:space="0" w:color="000000"/>
              <w:right w:val="single" w:sz="4" w:space="0" w:color="000000"/>
            </w:tcBorders>
            <w:shd w:color="auto" w:fill="auto" w:val="clear"/>
            <w:vAlign w:val="center"/>
          </w:tcPr>
          <w:p>
            <w:pPr>
              <w:pStyle w:val="Normal"/>
              <w:jc w:val="center"/>
              <w:rPr>
                <w:lang w:eastAsia="ru-RU"/>
              </w:rPr>
            </w:pPr>
            <w:r>
              <w:rPr>
                <w:sz w:val="20"/>
                <w:szCs w:val="20"/>
                <w:lang w:eastAsia="ru-RU"/>
              </w:rPr>
              <w:t>5,24</w:t>
            </w:r>
          </w:p>
        </w:tc>
        <w:tc>
          <w:tcPr>
            <w:tcW w:w="964" w:type="dxa"/>
            <w:tcBorders>
              <w:top w:val="single" w:sz="4" w:space="0" w:color="000000"/>
              <w:bottom w:val="single" w:sz="4" w:space="0" w:color="000000"/>
              <w:right w:val="single" w:sz="4" w:space="0" w:color="000000"/>
            </w:tcBorders>
            <w:shd w:color="auto" w:fill="auto" w:val="clear"/>
            <w:vAlign w:val="center"/>
          </w:tcPr>
          <w:p>
            <w:pPr>
              <w:pStyle w:val="Normal"/>
              <w:jc w:val="center"/>
              <w:rPr>
                <w:lang w:eastAsia="ru-RU"/>
              </w:rPr>
            </w:pPr>
            <w:r>
              <w:rPr>
                <w:sz w:val="20"/>
                <w:szCs w:val="20"/>
                <w:lang w:eastAsia="ru-RU"/>
              </w:rPr>
              <w:t>17,61</w:t>
            </w:r>
          </w:p>
        </w:tc>
      </w:tr>
      <w:tr>
        <w:trPr>
          <w:trHeight w:val="157" w:hRule="atLeast"/>
        </w:trPr>
        <w:tc>
          <w:tcPr>
            <w:tcW w:w="345" w:type="dxa"/>
            <w:vMerge w:val="continue"/>
            <w:tcBorders>
              <w:left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r>
          </w:p>
        </w:tc>
        <w:tc>
          <w:tcPr>
            <w:tcW w:w="1601" w:type="dxa"/>
            <w:vMerge w:val="continue"/>
            <w:tcBorders>
              <w:left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r>
          </w:p>
        </w:tc>
        <w:tc>
          <w:tcPr>
            <w:tcW w:w="586" w:type="dxa"/>
            <w:tcBorders>
              <w:top w:val="single" w:sz="4" w:space="0" w:color="000000"/>
              <w:bottom w:val="single" w:sz="4" w:space="0" w:color="000000"/>
              <w:right w:val="single" w:sz="4" w:space="0" w:color="000000"/>
            </w:tcBorders>
            <w:shd w:color="auto" w:fill="auto" w:val="clear"/>
            <w:vAlign w:val="center"/>
          </w:tcPr>
          <w:p>
            <w:pPr>
              <w:pStyle w:val="Normal"/>
              <w:jc w:val="center"/>
              <w:rPr>
                <w:lang w:eastAsia="ru-RU"/>
              </w:rPr>
            </w:pPr>
            <w:r>
              <w:rPr>
                <w:sz w:val="20"/>
                <w:szCs w:val="20"/>
                <w:lang w:eastAsia="ru-RU"/>
              </w:rPr>
              <w:t>2025</w:t>
            </w:r>
          </w:p>
        </w:tc>
        <w:tc>
          <w:tcPr>
            <w:tcW w:w="1598" w:type="dxa"/>
            <w:tcBorders>
              <w:top w:val="single" w:sz="4" w:space="0" w:color="000000"/>
              <w:bottom w:val="single" w:sz="4" w:space="0" w:color="000000"/>
              <w:right w:val="single" w:sz="4" w:space="0" w:color="000000"/>
            </w:tcBorders>
            <w:shd w:color="auto" w:fill="auto" w:val="clear"/>
            <w:vAlign w:val="center"/>
          </w:tcPr>
          <w:p>
            <w:pPr>
              <w:pStyle w:val="Normal"/>
              <w:jc w:val="center"/>
              <w:rPr>
                <w:lang w:eastAsia="ru-RU"/>
              </w:rPr>
            </w:pPr>
            <w:r>
              <w:rPr>
                <w:sz w:val="20"/>
                <w:szCs w:val="20"/>
              </w:rPr>
              <w:t>6,36</w:t>
            </w:r>
          </w:p>
        </w:tc>
        <w:tc>
          <w:tcPr>
            <w:tcW w:w="1540" w:type="dxa"/>
            <w:tcBorders>
              <w:top w:val="single" w:sz="4" w:space="0" w:color="000000"/>
              <w:bottom w:val="single" w:sz="4" w:space="0" w:color="000000"/>
              <w:right w:val="single" w:sz="4" w:space="0" w:color="000000"/>
            </w:tcBorders>
            <w:shd w:color="auto" w:fill="auto" w:val="clear"/>
            <w:vAlign w:val="center"/>
          </w:tcPr>
          <w:p>
            <w:pPr>
              <w:pStyle w:val="Normal"/>
              <w:jc w:val="center"/>
              <w:rPr>
                <w:lang w:eastAsia="ru-RU"/>
              </w:rPr>
            </w:pPr>
            <w:r>
              <w:rPr>
                <w:sz w:val="20"/>
                <w:szCs w:val="20"/>
              </w:rPr>
              <w:t>6,36</w:t>
            </w:r>
          </w:p>
        </w:tc>
        <w:tc>
          <w:tcPr>
            <w:tcW w:w="1141" w:type="dxa"/>
            <w:tcBorders>
              <w:top w:val="single" w:sz="4" w:space="0" w:color="000000"/>
              <w:bottom w:val="single" w:sz="4" w:space="0" w:color="000000"/>
              <w:right w:val="single" w:sz="4" w:space="0" w:color="000000"/>
            </w:tcBorders>
            <w:shd w:color="auto" w:fill="auto" w:val="clear"/>
            <w:vAlign w:val="center"/>
          </w:tcPr>
          <w:p>
            <w:pPr>
              <w:pStyle w:val="Normal"/>
              <w:jc w:val="center"/>
              <w:rPr>
                <w:lang w:eastAsia="ru-RU"/>
              </w:rPr>
            </w:pPr>
            <w:r>
              <w:rPr>
                <w:sz w:val="20"/>
                <w:szCs w:val="20"/>
              </w:rPr>
              <w:t>6,3</w:t>
            </w:r>
          </w:p>
        </w:tc>
        <w:tc>
          <w:tcPr>
            <w:tcW w:w="1407" w:type="dxa"/>
            <w:tcBorders>
              <w:top w:val="single" w:sz="4" w:space="0" w:color="000000"/>
              <w:bottom w:val="single" w:sz="4" w:space="0" w:color="000000"/>
              <w:right w:val="single" w:sz="4" w:space="0" w:color="000000"/>
            </w:tcBorders>
            <w:shd w:color="auto" w:fill="auto" w:val="clear"/>
            <w:vAlign w:val="center"/>
          </w:tcPr>
          <w:p>
            <w:pPr>
              <w:pStyle w:val="Normal"/>
              <w:jc w:val="center"/>
              <w:rPr>
                <w:lang w:eastAsia="ru-RU"/>
              </w:rPr>
            </w:pPr>
            <w:r>
              <w:rPr>
                <w:sz w:val="20"/>
                <w:szCs w:val="20"/>
              </w:rPr>
              <w:t>0,0</w:t>
            </w:r>
          </w:p>
        </w:tc>
        <w:tc>
          <w:tcPr>
            <w:tcW w:w="1001" w:type="dxa"/>
            <w:tcBorders>
              <w:top w:val="single" w:sz="4" w:space="0" w:color="000000"/>
              <w:bottom w:val="single" w:sz="4" w:space="0" w:color="000000"/>
              <w:right w:val="single" w:sz="4" w:space="0" w:color="000000"/>
            </w:tcBorders>
            <w:shd w:color="auto" w:fill="auto" w:val="clear"/>
            <w:vAlign w:val="center"/>
          </w:tcPr>
          <w:p>
            <w:pPr>
              <w:pStyle w:val="Normal"/>
              <w:jc w:val="center"/>
              <w:rPr>
                <w:lang w:eastAsia="ru-RU"/>
              </w:rPr>
            </w:pPr>
            <w:r>
              <w:rPr>
                <w:sz w:val="20"/>
                <w:szCs w:val="20"/>
              </w:rPr>
              <w:t>0,0</w:t>
            </w:r>
          </w:p>
        </w:tc>
        <w:tc>
          <w:tcPr>
            <w:tcW w:w="1782" w:type="dxa"/>
            <w:gridSpan w:val="2"/>
            <w:tcBorders>
              <w:top w:val="single" w:sz="4" w:space="0" w:color="000000"/>
              <w:bottom w:val="single" w:sz="4" w:space="0" w:color="000000"/>
              <w:right w:val="single" w:sz="4" w:space="0" w:color="000000"/>
            </w:tcBorders>
            <w:shd w:color="auto" w:fill="auto" w:val="clear"/>
            <w:vAlign w:val="center"/>
          </w:tcPr>
          <w:p>
            <w:pPr>
              <w:pStyle w:val="Normal"/>
              <w:jc w:val="center"/>
              <w:rPr>
                <w:lang w:eastAsia="ru-RU"/>
              </w:rPr>
            </w:pPr>
            <w:r>
              <w:rPr>
                <w:sz w:val="20"/>
                <w:szCs w:val="20"/>
              </w:rPr>
              <w:t>1,12</w:t>
            </w:r>
          </w:p>
        </w:tc>
        <w:tc>
          <w:tcPr>
            <w:tcW w:w="1163" w:type="dxa"/>
            <w:tcBorders>
              <w:top w:val="single" w:sz="4" w:space="0" w:color="000000"/>
              <w:bottom w:val="single" w:sz="4" w:space="0" w:color="000000"/>
              <w:right w:val="single" w:sz="4" w:space="0" w:color="000000"/>
            </w:tcBorders>
            <w:shd w:color="auto" w:fill="auto" w:val="clear"/>
            <w:vAlign w:val="center"/>
          </w:tcPr>
          <w:p>
            <w:pPr>
              <w:pStyle w:val="Normal"/>
              <w:jc w:val="center"/>
              <w:rPr>
                <w:lang w:eastAsia="ru-RU"/>
              </w:rPr>
            </w:pPr>
            <w:r>
              <w:rPr>
                <w:sz w:val="20"/>
                <w:szCs w:val="20"/>
                <w:lang w:eastAsia="ru-RU"/>
              </w:rPr>
              <w:t>1,12</w:t>
            </w:r>
          </w:p>
        </w:tc>
        <w:tc>
          <w:tcPr>
            <w:tcW w:w="1441" w:type="dxa"/>
            <w:tcBorders>
              <w:top w:val="single" w:sz="4" w:space="0" w:color="000000"/>
              <w:bottom w:val="single" w:sz="4" w:space="0" w:color="000000"/>
              <w:right w:val="single" w:sz="4" w:space="0" w:color="000000"/>
            </w:tcBorders>
            <w:shd w:color="auto" w:fill="auto" w:val="clear"/>
            <w:vAlign w:val="center"/>
          </w:tcPr>
          <w:p>
            <w:pPr>
              <w:pStyle w:val="Normal"/>
              <w:jc w:val="center"/>
              <w:rPr>
                <w:lang w:eastAsia="ru-RU"/>
              </w:rPr>
            </w:pPr>
            <w:r>
              <w:rPr>
                <w:sz w:val="20"/>
                <w:szCs w:val="20"/>
                <w:lang w:eastAsia="ru-RU"/>
              </w:rPr>
              <w:t>5,24</w:t>
            </w:r>
          </w:p>
        </w:tc>
        <w:tc>
          <w:tcPr>
            <w:tcW w:w="964" w:type="dxa"/>
            <w:tcBorders>
              <w:top w:val="single" w:sz="4" w:space="0" w:color="000000"/>
              <w:bottom w:val="single" w:sz="4" w:space="0" w:color="000000"/>
              <w:right w:val="single" w:sz="4" w:space="0" w:color="000000"/>
            </w:tcBorders>
            <w:shd w:color="auto" w:fill="auto" w:val="clear"/>
            <w:vAlign w:val="center"/>
          </w:tcPr>
          <w:p>
            <w:pPr>
              <w:pStyle w:val="Normal"/>
              <w:jc w:val="center"/>
              <w:rPr>
                <w:lang w:eastAsia="ru-RU"/>
              </w:rPr>
            </w:pPr>
            <w:r>
              <w:rPr>
                <w:sz w:val="20"/>
                <w:szCs w:val="20"/>
                <w:lang w:eastAsia="ru-RU"/>
              </w:rPr>
              <w:t>17,61</w:t>
            </w:r>
          </w:p>
        </w:tc>
      </w:tr>
      <w:tr>
        <w:trPr>
          <w:trHeight w:val="157" w:hRule="atLeast"/>
        </w:trPr>
        <w:tc>
          <w:tcPr>
            <w:tcW w:w="345" w:type="dxa"/>
            <w:vMerge w:val="continue"/>
            <w:tcBorders>
              <w:left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r>
          </w:p>
        </w:tc>
        <w:tc>
          <w:tcPr>
            <w:tcW w:w="1601" w:type="dxa"/>
            <w:vMerge w:val="continue"/>
            <w:tcBorders>
              <w:left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r>
          </w:p>
        </w:tc>
        <w:tc>
          <w:tcPr>
            <w:tcW w:w="586" w:type="dxa"/>
            <w:tcBorders>
              <w:top w:val="single" w:sz="4" w:space="0" w:color="000000"/>
              <w:bottom w:val="single" w:sz="4" w:space="0" w:color="000000"/>
              <w:right w:val="single" w:sz="4" w:space="0" w:color="000000"/>
            </w:tcBorders>
            <w:shd w:color="auto" w:fill="auto" w:val="clear"/>
            <w:vAlign w:val="center"/>
          </w:tcPr>
          <w:p>
            <w:pPr>
              <w:pStyle w:val="Normal"/>
              <w:jc w:val="center"/>
              <w:rPr>
                <w:lang w:eastAsia="ru-RU"/>
              </w:rPr>
            </w:pPr>
            <w:r>
              <w:rPr>
                <w:sz w:val="20"/>
                <w:szCs w:val="20"/>
                <w:lang w:eastAsia="ru-RU"/>
              </w:rPr>
              <w:t>2026</w:t>
            </w:r>
          </w:p>
        </w:tc>
        <w:tc>
          <w:tcPr>
            <w:tcW w:w="1598" w:type="dxa"/>
            <w:tcBorders>
              <w:top w:val="single" w:sz="4" w:space="0" w:color="000000"/>
              <w:bottom w:val="single" w:sz="4" w:space="0" w:color="000000"/>
              <w:right w:val="single" w:sz="4" w:space="0" w:color="000000"/>
            </w:tcBorders>
            <w:shd w:color="auto" w:fill="auto" w:val="clear"/>
            <w:vAlign w:val="center"/>
          </w:tcPr>
          <w:p>
            <w:pPr>
              <w:pStyle w:val="Normal"/>
              <w:jc w:val="center"/>
              <w:rPr>
                <w:lang w:eastAsia="ru-RU"/>
              </w:rPr>
            </w:pPr>
            <w:r>
              <w:rPr>
                <w:sz w:val="20"/>
                <w:szCs w:val="20"/>
              </w:rPr>
              <w:t>6,36</w:t>
            </w:r>
          </w:p>
        </w:tc>
        <w:tc>
          <w:tcPr>
            <w:tcW w:w="1540" w:type="dxa"/>
            <w:tcBorders>
              <w:top w:val="single" w:sz="4" w:space="0" w:color="000000"/>
              <w:bottom w:val="single" w:sz="4" w:space="0" w:color="000000"/>
              <w:right w:val="single" w:sz="4" w:space="0" w:color="000000"/>
            </w:tcBorders>
            <w:shd w:color="auto" w:fill="auto" w:val="clear"/>
            <w:vAlign w:val="center"/>
          </w:tcPr>
          <w:p>
            <w:pPr>
              <w:pStyle w:val="Normal"/>
              <w:jc w:val="center"/>
              <w:rPr>
                <w:lang w:eastAsia="ru-RU"/>
              </w:rPr>
            </w:pPr>
            <w:r>
              <w:rPr>
                <w:sz w:val="20"/>
                <w:szCs w:val="20"/>
              </w:rPr>
              <w:t>6,36</w:t>
            </w:r>
          </w:p>
        </w:tc>
        <w:tc>
          <w:tcPr>
            <w:tcW w:w="1141" w:type="dxa"/>
            <w:tcBorders>
              <w:top w:val="single" w:sz="4" w:space="0" w:color="000000"/>
              <w:bottom w:val="single" w:sz="4" w:space="0" w:color="000000"/>
              <w:right w:val="single" w:sz="4" w:space="0" w:color="000000"/>
            </w:tcBorders>
            <w:shd w:color="auto" w:fill="auto" w:val="clear"/>
            <w:vAlign w:val="center"/>
          </w:tcPr>
          <w:p>
            <w:pPr>
              <w:pStyle w:val="Normal"/>
              <w:jc w:val="center"/>
              <w:rPr>
                <w:lang w:eastAsia="ru-RU"/>
              </w:rPr>
            </w:pPr>
            <w:r>
              <w:rPr>
                <w:sz w:val="20"/>
                <w:szCs w:val="20"/>
              </w:rPr>
              <w:t>6,3</w:t>
            </w:r>
          </w:p>
        </w:tc>
        <w:tc>
          <w:tcPr>
            <w:tcW w:w="1407" w:type="dxa"/>
            <w:tcBorders>
              <w:top w:val="single" w:sz="4" w:space="0" w:color="000000"/>
              <w:bottom w:val="single" w:sz="4" w:space="0" w:color="000000"/>
              <w:right w:val="single" w:sz="4" w:space="0" w:color="000000"/>
            </w:tcBorders>
            <w:shd w:color="auto" w:fill="auto" w:val="clear"/>
            <w:vAlign w:val="center"/>
          </w:tcPr>
          <w:p>
            <w:pPr>
              <w:pStyle w:val="Normal"/>
              <w:jc w:val="center"/>
              <w:rPr>
                <w:lang w:eastAsia="ru-RU"/>
              </w:rPr>
            </w:pPr>
            <w:r>
              <w:rPr>
                <w:sz w:val="20"/>
                <w:szCs w:val="20"/>
              </w:rPr>
              <w:t>0,0</w:t>
            </w:r>
          </w:p>
        </w:tc>
        <w:tc>
          <w:tcPr>
            <w:tcW w:w="1001" w:type="dxa"/>
            <w:tcBorders>
              <w:top w:val="single" w:sz="4" w:space="0" w:color="000000"/>
              <w:bottom w:val="single" w:sz="4" w:space="0" w:color="000000"/>
              <w:right w:val="single" w:sz="4" w:space="0" w:color="000000"/>
            </w:tcBorders>
            <w:shd w:color="auto" w:fill="auto" w:val="clear"/>
            <w:vAlign w:val="center"/>
          </w:tcPr>
          <w:p>
            <w:pPr>
              <w:pStyle w:val="Normal"/>
              <w:jc w:val="center"/>
              <w:rPr>
                <w:lang w:eastAsia="ru-RU"/>
              </w:rPr>
            </w:pPr>
            <w:r>
              <w:rPr>
                <w:sz w:val="20"/>
                <w:szCs w:val="20"/>
              </w:rPr>
              <w:t>0,0</w:t>
            </w:r>
          </w:p>
        </w:tc>
        <w:tc>
          <w:tcPr>
            <w:tcW w:w="1782" w:type="dxa"/>
            <w:gridSpan w:val="2"/>
            <w:tcBorders>
              <w:top w:val="single" w:sz="4" w:space="0" w:color="000000"/>
              <w:bottom w:val="single" w:sz="4" w:space="0" w:color="000000"/>
              <w:right w:val="single" w:sz="4" w:space="0" w:color="000000"/>
            </w:tcBorders>
            <w:shd w:color="auto" w:fill="auto" w:val="clear"/>
            <w:vAlign w:val="center"/>
          </w:tcPr>
          <w:p>
            <w:pPr>
              <w:pStyle w:val="Normal"/>
              <w:jc w:val="center"/>
              <w:rPr>
                <w:lang w:eastAsia="ru-RU"/>
              </w:rPr>
            </w:pPr>
            <w:r>
              <w:rPr>
                <w:sz w:val="20"/>
                <w:szCs w:val="20"/>
              </w:rPr>
              <w:t>1,12</w:t>
            </w:r>
          </w:p>
        </w:tc>
        <w:tc>
          <w:tcPr>
            <w:tcW w:w="1163" w:type="dxa"/>
            <w:tcBorders>
              <w:top w:val="single" w:sz="4" w:space="0" w:color="000000"/>
              <w:bottom w:val="single" w:sz="4" w:space="0" w:color="000000"/>
              <w:right w:val="single" w:sz="4" w:space="0" w:color="000000"/>
            </w:tcBorders>
            <w:shd w:color="auto" w:fill="auto" w:val="clear"/>
            <w:vAlign w:val="center"/>
          </w:tcPr>
          <w:p>
            <w:pPr>
              <w:pStyle w:val="Normal"/>
              <w:jc w:val="center"/>
              <w:rPr>
                <w:lang w:eastAsia="ru-RU"/>
              </w:rPr>
            </w:pPr>
            <w:r>
              <w:rPr>
                <w:sz w:val="20"/>
                <w:szCs w:val="20"/>
                <w:lang w:eastAsia="ru-RU"/>
              </w:rPr>
              <w:t>1,12</w:t>
            </w:r>
          </w:p>
        </w:tc>
        <w:tc>
          <w:tcPr>
            <w:tcW w:w="1441" w:type="dxa"/>
            <w:tcBorders>
              <w:top w:val="single" w:sz="4" w:space="0" w:color="000000"/>
              <w:bottom w:val="single" w:sz="4" w:space="0" w:color="000000"/>
              <w:right w:val="single" w:sz="4" w:space="0" w:color="000000"/>
            </w:tcBorders>
            <w:shd w:color="auto" w:fill="auto" w:val="clear"/>
            <w:vAlign w:val="center"/>
          </w:tcPr>
          <w:p>
            <w:pPr>
              <w:pStyle w:val="Normal"/>
              <w:jc w:val="center"/>
              <w:rPr>
                <w:lang w:eastAsia="ru-RU"/>
              </w:rPr>
            </w:pPr>
            <w:r>
              <w:rPr>
                <w:sz w:val="20"/>
                <w:szCs w:val="20"/>
                <w:lang w:eastAsia="ru-RU"/>
              </w:rPr>
              <w:t>5,24</w:t>
            </w:r>
          </w:p>
        </w:tc>
        <w:tc>
          <w:tcPr>
            <w:tcW w:w="964" w:type="dxa"/>
            <w:tcBorders>
              <w:top w:val="single" w:sz="4" w:space="0" w:color="000000"/>
              <w:bottom w:val="single" w:sz="4" w:space="0" w:color="000000"/>
              <w:right w:val="single" w:sz="4" w:space="0" w:color="000000"/>
            </w:tcBorders>
            <w:shd w:color="auto" w:fill="auto" w:val="clear"/>
            <w:vAlign w:val="center"/>
          </w:tcPr>
          <w:p>
            <w:pPr>
              <w:pStyle w:val="Normal"/>
              <w:jc w:val="center"/>
              <w:rPr>
                <w:lang w:eastAsia="ru-RU"/>
              </w:rPr>
            </w:pPr>
            <w:r>
              <w:rPr>
                <w:sz w:val="20"/>
                <w:szCs w:val="20"/>
                <w:lang w:eastAsia="ru-RU"/>
              </w:rPr>
              <w:t>17,61</w:t>
            </w:r>
          </w:p>
        </w:tc>
      </w:tr>
      <w:tr>
        <w:trPr>
          <w:trHeight w:val="157" w:hRule="atLeast"/>
        </w:trPr>
        <w:tc>
          <w:tcPr>
            <w:tcW w:w="345" w:type="dxa"/>
            <w:vMerge w:val="continue"/>
            <w:tcBorders>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r>
          </w:p>
        </w:tc>
        <w:tc>
          <w:tcPr>
            <w:tcW w:w="1601" w:type="dxa"/>
            <w:vMerge w:val="continue"/>
            <w:tcBorders>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r>
          </w:p>
        </w:tc>
        <w:tc>
          <w:tcPr>
            <w:tcW w:w="586" w:type="dxa"/>
            <w:tcBorders>
              <w:top w:val="single" w:sz="4" w:space="0" w:color="000000"/>
              <w:bottom w:val="single" w:sz="4" w:space="0" w:color="000000"/>
              <w:right w:val="single" w:sz="4" w:space="0" w:color="000000"/>
            </w:tcBorders>
            <w:shd w:color="auto" w:fill="auto" w:val="clear"/>
            <w:vAlign w:val="center"/>
          </w:tcPr>
          <w:p>
            <w:pPr>
              <w:pStyle w:val="Normal"/>
              <w:jc w:val="center"/>
              <w:rPr>
                <w:lang w:eastAsia="ru-RU"/>
              </w:rPr>
            </w:pPr>
            <w:r>
              <w:rPr>
                <w:sz w:val="20"/>
                <w:szCs w:val="20"/>
                <w:lang w:eastAsia="ru-RU"/>
              </w:rPr>
              <w:t>2027</w:t>
            </w:r>
          </w:p>
        </w:tc>
        <w:tc>
          <w:tcPr>
            <w:tcW w:w="12037" w:type="dxa"/>
            <w:gridSpan w:val="10"/>
            <w:tcBorders>
              <w:top w:val="single" w:sz="4" w:space="0" w:color="000000"/>
              <w:bottom w:val="single" w:sz="4" w:space="0" w:color="000000"/>
              <w:right w:val="single" w:sz="4" w:space="0" w:color="000000"/>
            </w:tcBorders>
            <w:shd w:color="auto" w:fill="auto" w:val="clear"/>
            <w:vAlign w:val="center"/>
          </w:tcPr>
          <w:p>
            <w:pPr>
              <w:pStyle w:val="Normal"/>
              <w:jc w:val="center"/>
              <w:rPr>
                <w:lang w:eastAsia="ru-RU"/>
              </w:rPr>
            </w:pPr>
            <w:r>
              <w:rPr>
                <w:sz w:val="20"/>
                <w:szCs w:val="20"/>
                <w:lang w:eastAsia="ru-RU"/>
              </w:rPr>
              <w:t>Строительство котельной по ул.Дзержинского, 14 в пгт.Октябрьское. Вывод из эксплуатации котельной № 2 по ул.Пионерская, 17Б и котельной № 6 по ул.Дзержинского, 2Б с переключением нагрузки на новую котельную по ул.Дзержинского, 14</w:t>
            </w:r>
          </w:p>
        </w:tc>
      </w:tr>
      <w:tr>
        <w:trPr>
          <w:trHeight w:val="20" w:hRule="atLeast"/>
        </w:trPr>
        <w:tc>
          <w:tcPr>
            <w:tcW w:w="345" w:type="dxa"/>
            <w:vMerge w:val="restart"/>
            <w:tcBorders>
              <w:left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3</w:t>
            </w:r>
          </w:p>
        </w:tc>
        <w:tc>
          <w:tcPr>
            <w:tcW w:w="1601" w:type="dxa"/>
            <w:vMerge w:val="restart"/>
            <w:tcBorders>
              <w:left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котельная № 3, пгт.Октябрьское, ул.Чапаева, 6б</w:t>
            </w:r>
          </w:p>
        </w:tc>
        <w:tc>
          <w:tcPr>
            <w:tcW w:w="586" w:type="dxa"/>
            <w:tcBorders>
              <w:bottom w:val="single" w:sz="4" w:space="0" w:color="000000"/>
              <w:right w:val="single" w:sz="4" w:space="0" w:color="000000"/>
            </w:tcBorders>
            <w:shd w:color="auto" w:fill="auto" w:val="clear"/>
            <w:vAlign w:val="center"/>
          </w:tcPr>
          <w:p>
            <w:pPr>
              <w:pStyle w:val="Normal"/>
              <w:jc w:val="center"/>
              <w:rPr>
                <w:lang w:eastAsia="ru-RU"/>
              </w:rPr>
            </w:pPr>
            <w:r>
              <w:rPr>
                <w:sz w:val="20"/>
                <w:szCs w:val="20"/>
                <w:lang w:eastAsia="ru-RU"/>
              </w:rPr>
              <w:t>2024</w:t>
            </w:r>
          </w:p>
        </w:tc>
        <w:tc>
          <w:tcPr>
            <w:tcW w:w="1598" w:type="dxa"/>
            <w:tcBorders>
              <w:bottom w:val="single" w:sz="4" w:space="0" w:color="000000"/>
              <w:right w:val="single" w:sz="4" w:space="0" w:color="000000"/>
            </w:tcBorders>
            <w:shd w:color="auto" w:fill="auto" w:val="clear"/>
            <w:vAlign w:val="center"/>
          </w:tcPr>
          <w:p>
            <w:pPr>
              <w:pStyle w:val="Normal"/>
              <w:jc w:val="center"/>
              <w:rPr>
                <w:lang w:eastAsia="ru-RU"/>
              </w:rPr>
            </w:pPr>
            <w:r>
              <w:rPr>
                <w:sz w:val="20"/>
                <w:szCs w:val="20"/>
              </w:rPr>
              <w:t>4,82</w:t>
            </w:r>
          </w:p>
        </w:tc>
        <w:tc>
          <w:tcPr>
            <w:tcW w:w="1540" w:type="dxa"/>
            <w:tcBorders>
              <w:bottom w:val="single" w:sz="4" w:space="0" w:color="000000"/>
              <w:right w:val="single" w:sz="4" w:space="0" w:color="000000"/>
            </w:tcBorders>
            <w:shd w:color="auto" w:fill="auto" w:val="clear"/>
            <w:vAlign w:val="center"/>
          </w:tcPr>
          <w:p>
            <w:pPr>
              <w:pStyle w:val="Normal"/>
              <w:jc w:val="center"/>
              <w:rPr>
                <w:lang w:eastAsia="ru-RU"/>
              </w:rPr>
            </w:pPr>
            <w:r>
              <w:rPr>
                <w:sz w:val="20"/>
                <w:szCs w:val="20"/>
              </w:rPr>
              <w:t>4,82</w:t>
            </w:r>
          </w:p>
        </w:tc>
        <w:tc>
          <w:tcPr>
            <w:tcW w:w="1141" w:type="dxa"/>
            <w:tcBorders>
              <w:bottom w:val="single" w:sz="4" w:space="0" w:color="000000"/>
              <w:right w:val="single" w:sz="4" w:space="0" w:color="000000"/>
            </w:tcBorders>
            <w:shd w:color="auto" w:fill="auto" w:val="clear"/>
            <w:vAlign w:val="center"/>
          </w:tcPr>
          <w:p>
            <w:pPr>
              <w:pStyle w:val="Normal"/>
              <w:jc w:val="center"/>
              <w:rPr>
                <w:lang w:eastAsia="ru-RU"/>
              </w:rPr>
            </w:pPr>
            <w:r>
              <w:rPr>
                <w:sz w:val="20"/>
                <w:szCs w:val="20"/>
              </w:rPr>
              <w:t>4,8</w:t>
            </w:r>
          </w:p>
        </w:tc>
        <w:tc>
          <w:tcPr>
            <w:tcW w:w="1407" w:type="dxa"/>
            <w:tcBorders>
              <w:bottom w:val="single" w:sz="4" w:space="0" w:color="000000"/>
              <w:right w:val="single" w:sz="4" w:space="0" w:color="000000"/>
            </w:tcBorders>
            <w:shd w:color="auto" w:fill="auto" w:val="clear"/>
            <w:vAlign w:val="center"/>
          </w:tcPr>
          <w:p>
            <w:pPr>
              <w:pStyle w:val="Normal"/>
              <w:jc w:val="center"/>
              <w:rPr>
                <w:lang w:eastAsia="ru-RU"/>
              </w:rPr>
            </w:pPr>
            <w:r>
              <w:rPr>
                <w:sz w:val="20"/>
                <w:szCs w:val="20"/>
              </w:rPr>
              <w:t>0,0</w:t>
            </w:r>
          </w:p>
        </w:tc>
        <w:tc>
          <w:tcPr>
            <w:tcW w:w="1013" w:type="dxa"/>
            <w:gridSpan w:val="2"/>
            <w:tcBorders>
              <w:bottom w:val="single" w:sz="4" w:space="0" w:color="000000"/>
              <w:right w:val="single" w:sz="4" w:space="0" w:color="000000"/>
            </w:tcBorders>
            <w:shd w:color="auto" w:fill="auto" w:val="clear"/>
            <w:vAlign w:val="center"/>
          </w:tcPr>
          <w:p>
            <w:pPr>
              <w:pStyle w:val="Normal"/>
              <w:jc w:val="center"/>
              <w:rPr>
                <w:lang w:eastAsia="ru-RU"/>
              </w:rPr>
            </w:pPr>
            <w:r>
              <w:rPr>
                <w:sz w:val="20"/>
                <w:szCs w:val="20"/>
              </w:rPr>
              <w:t>0,0</w:t>
            </w:r>
          </w:p>
        </w:tc>
        <w:tc>
          <w:tcPr>
            <w:tcW w:w="1770" w:type="dxa"/>
            <w:tcBorders>
              <w:bottom w:val="single" w:sz="4" w:space="0" w:color="000000"/>
              <w:right w:val="single" w:sz="4" w:space="0" w:color="000000"/>
            </w:tcBorders>
            <w:shd w:color="auto" w:fill="auto" w:val="clear"/>
            <w:vAlign w:val="center"/>
          </w:tcPr>
          <w:p>
            <w:pPr>
              <w:pStyle w:val="Normal"/>
              <w:jc w:val="center"/>
              <w:rPr>
                <w:lang w:eastAsia="ru-RU"/>
              </w:rPr>
            </w:pPr>
            <w:r>
              <w:rPr>
                <w:sz w:val="20"/>
                <w:szCs w:val="20"/>
              </w:rPr>
              <w:t>0,5</w:t>
            </w:r>
          </w:p>
        </w:tc>
        <w:tc>
          <w:tcPr>
            <w:tcW w:w="1163" w:type="dxa"/>
            <w:tcBorders>
              <w:bottom w:val="single" w:sz="4" w:space="0" w:color="000000"/>
              <w:right w:val="single" w:sz="4" w:space="0" w:color="000000"/>
            </w:tcBorders>
            <w:shd w:color="auto" w:fill="auto" w:val="clear"/>
            <w:vAlign w:val="center"/>
          </w:tcPr>
          <w:p>
            <w:pPr>
              <w:pStyle w:val="Normal"/>
              <w:jc w:val="center"/>
              <w:rPr>
                <w:lang w:eastAsia="ru-RU"/>
              </w:rPr>
            </w:pPr>
            <w:r>
              <w:rPr>
                <w:sz w:val="20"/>
                <w:szCs w:val="20"/>
              </w:rPr>
              <w:t>0,5</w:t>
            </w:r>
          </w:p>
        </w:tc>
        <w:tc>
          <w:tcPr>
            <w:tcW w:w="1441" w:type="dxa"/>
            <w:tcBorders>
              <w:bottom w:val="single" w:sz="4" w:space="0" w:color="000000"/>
              <w:right w:val="single" w:sz="4" w:space="0" w:color="000000"/>
            </w:tcBorders>
            <w:shd w:color="auto" w:fill="auto" w:val="clear"/>
            <w:vAlign w:val="center"/>
          </w:tcPr>
          <w:p>
            <w:pPr>
              <w:pStyle w:val="Normal"/>
              <w:jc w:val="center"/>
              <w:rPr>
                <w:lang w:eastAsia="ru-RU"/>
              </w:rPr>
            </w:pPr>
            <w:r>
              <w:rPr>
                <w:sz w:val="20"/>
                <w:szCs w:val="20"/>
                <w:lang w:eastAsia="ru-RU"/>
              </w:rPr>
              <w:t>4,32</w:t>
            </w:r>
          </w:p>
        </w:tc>
        <w:tc>
          <w:tcPr>
            <w:tcW w:w="964" w:type="dxa"/>
            <w:tcBorders>
              <w:bottom w:val="single" w:sz="4" w:space="0" w:color="000000"/>
              <w:right w:val="single" w:sz="4" w:space="0" w:color="000000"/>
            </w:tcBorders>
            <w:shd w:color="auto" w:fill="auto" w:val="clear"/>
            <w:vAlign w:val="center"/>
          </w:tcPr>
          <w:p>
            <w:pPr>
              <w:pStyle w:val="Normal"/>
              <w:jc w:val="center"/>
              <w:rPr>
                <w:lang w:eastAsia="ru-RU"/>
              </w:rPr>
            </w:pPr>
            <w:r>
              <w:rPr>
                <w:sz w:val="20"/>
                <w:szCs w:val="20"/>
              </w:rPr>
              <w:t>10,37</w:t>
            </w:r>
          </w:p>
        </w:tc>
      </w:tr>
      <w:tr>
        <w:trPr>
          <w:trHeight w:val="20" w:hRule="atLeast"/>
        </w:trPr>
        <w:tc>
          <w:tcPr>
            <w:tcW w:w="345" w:type="dxa"/>
            <w:vMerge w:val="continue"/>
            <w:tcBorders>
              <w:left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r>
          </w:p>
        </w:tc>
        <w:tc>
          <w:tcPr>
            <w:tcW w:w="1601" w:type="dxa"/>
            <w:vMerge w:val="continue"/>
            <w:tcBorders>
              <w:left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r>
          </w:p>
        </w:tc>
        <w:tc>
          <w:tcPr>
            <w:tcW w:w="586" w:type="dxa"/>
            <w:tcBorders>
              <w:bottom w:val="single" w:sz="4" w:space="0" w:color="000000"/>
              <w:right w:val="single" w:sz="4" w:space="0" w:color="000000"/>
            </w:tcBorders>
            <w:shd w:color="auto" w:fill="auto" w:val="clear"/>
            <w:vAlign w:val="center"/>
          </w:tcPr>
          <w:p>
            <w:pPr>
              <w:pStyle w:val="Normal"/>
              <w:jc w:val="center"/>
              <w:rPr>
                <w:lang w:eastAsia="ru-RU"/>
              </w:rPr>
            </w:pPr>
            <w:r>
              <w:rPr>
                <w:sz w:val="20"/>
                <w:szCs w:val="20"/>
                <w:lang w:eastAsia="ru-RU"/>
              </w:rPr>
              <w:t>2025</w:t>
            </w:r>
          </w:p>
        </w:tc>
        <w:tc>
          <w:tcPr>
            <w:tcW w:w="1598" w:type="dxa"/>
            <w:tcBorders>
              <w:bottom w:val="single" w:sz="4" w:space="0" w:color="000000"/>
              <w:right w:val="single" w:sz="4" w:space="0" w:color="000000"/>
            </w:tcBorders>
            <w:shd w:color="auto" w:fill="auto" w:val="clear"/>
            <w:vAlign w:val="center"/>
          </w:tcPr>
          <w:p>
            <w:pPr>
              <w:pStyle w:val="Normal"/>
              <w:jc w:val="center"/>
              <w:rPr>
                <w:lang w:eastAsia="ru-RU"/>
              </w:rPr>
            </w:pPr>
            <w:r>
              <w:rPr>
                <w:sz w:val="20"/>
                <w:szCs w:val="20"/>
              </w:rPr>
              <w:t>4,82</w:t>
            </w:r>
          </w:p>
        </w:tc>
        <w:tc>
          <w:tcPr>
            <w:tcW w:w="1540" w:type="dxa"/>
            <w:tcBorders>
              <w:bottom w:val="single" w:sz="4" w:space="0" w:color="000000"/>
              <w:right w:val="single" w:sz="4" w:space="0" w:color="000000"/>
            </w:tcBorders>
            <w:shd w:color="auto" w:fill="auto" w:val="clear"/>
            <w:vAlign w:val="center"/>
          </w:tcPr>
          <w:p>
            <w:pPr>
              <w:pStyle w:val="Normal"/>
              <w:jc w:val="center"/>
              <w:rPr>
                <w:lang w:eastAsia="ru-RU"/>
              </w:rPr>
            </w:pPr>
            <w:r>
              <w:rPr>
                <w:sz w:val="20"/>
                <w:szCs w:val="20"/>
              </w:rPr>
              <w:t>4,82</w:t>
            </w:r>
          </w:p>
        </w:tc>
        <w:tc>
          <w:tcPr>
            <w:tcW w:w="1141" w:type="dxa"/>
            <w:tcBorders>
              <w:bottom w:val="single" w:sz="4" w:space="0" w:color="000000"/>
              <w:right w:val="single" w:sz="4" w:space="0" w:color="000000"/>
            </w:tcBorders>
            <w:shd w:color="auto" w:fill="auto" w:val="clear"/>
            <w:vAlign w:val="center"/>
          </w:tcPr>
          <w:p>
            <w:pPr>
              <w:pStyle w:val="Normal"/>
              <w:jc w:val="center"/>
              <w:rPr>
                <w:lang w:eastAsia="ru-RU"/>
              </w:rPr>
            </w:pPr>
            <w:r>
              <w:rPr>
                <w:sz w:val="20"/>
                <w:szCs w:val="20"/>
              </w:rPr>
              <w:t>4,8</w:t>
            </w:r>
          </w:p>
        </w:tc>
        <w:tc>
          <w:tcPr>
            <w:tcW w:w="1407" w:type="dxa"/>
            <w:tcBorders>
              <w:bottom w:val="single" w:sz="4" w:space="0" w:color="000000"/>
              <w:right w:val="single" w:sz="4" w:space="0" w:color="000000"/>
            </w:tcBorders>
            <w:shd w:color="auto" w:fill="auto" w:val="clear"/>
            <w:vAlign w:val="center"/>
          </w:tcPr>
          <w:p>
            <w:pPr>
              <w:pStyle w:val="Normal"/>
              <w:jc w:val="center"/>
              <w:rPr>
                <w:lang w:eastAsia="ru-RU"/>
              </w:rPr>
            </w:pPr>
            <w:r>
              <w:rPr>
                <w:sz w:val="20"/>
                <w:szCs w:val="20"/>
              </w:rPr>
              <w:t>0,0</w:t>
            </w:r>
          </w:p>
        </w:tc>
        <w:tc>
          <w:tcPr>
            <w:tcW w:w="1013" w:type="dxa"/>
            <w:gridSpan w:val="2"/>
            <w:tcBorders>
              <w:bottom w:val="single" w:sz="4" w:space="0" w:color="000000"/>
              <w:right w:val="single" w:sz="4" w:space="0" w:color="000000"/>
            </w:tcBorders>
            <w:shd w:color="auto" w:fill="auto" w:val="clear"/>
            <w:vAlign w:val="center"/>
          </w:tcPr>
          <w:p>
            <w:pPr>
              <w:pStyle w:val="Normal"/>
              <w:jc w:val="center"/>
              <w:rPr>
                <w:lang w:eastAsia="ru-RU"/>
              </w:rPr>
            </w:pPr>
            <w:r>
              <w:rPr>
                <w:sz w:val="20"/>
                <w:szCs w:val="20"/>
              </w:rPr>
              <w:t>0,0</w:t>
            </w:r>
          </w:p>
        </w:tc>
        <w:tc>
          <w:tcPr>
            <w:tcW w:w="1770" w:type="dxa"/>
            <w:tcBorders>
              <w:bottom w:val="single" w:sz="4" w:space="0" w:color="000000"/>
              <w:right w:val="single" w:sz="4" w:space="0" w:color="000000"/>
            </w:tcBorders>
            <w:shd w:color="auto" w:fill="auto" w:val="clear"/>
            <w:vAlign w:val="center"/>
          </w:tcPr>
          <w:p>
            <w:pPr>
              <w:pStyle w:val="Normal"/>
              <w:jc w:val="center"/>
              <w:rPr>
                <w:lang w:eastAsia="ru-RU"/>
              </w:rPr>
            </w:pPr>
            <w:r>
              <w:rPr>
                <w:sz w:val="20"/>
                <w:szCs w:val="20"/>
              </w:rPr>
              <w:t>0,5</w:t>
            </w:r>
          </w:p>
        </w:tc>
        <w:tc>
          <w:tcPr>
            <w:tcW w:w="1163" w:type="dxa"/>
            <w:tcBorders>
              <w:bottom w:val="single" w:sz="4" w:space="0" w:color="000000"/>
              <w:right w:val="single" w:sz="4" w:space="0" w:color="000000"/>
            </w:tcBorders>
            <w:shd w:color="auto" w:fill="auto" w:val="clear"/>
            <w:vAlign w:val="center"/>
          </w:tcPr>
          <w:p>
            <w:pPr>
              <w:pStyle w:val="Normal"/>
              <w:jc w:val="center"/>
              <w:rPr>
                <w:lang w:eastAsia="ru-RU"/>
              </w:rPr>
            </w:pPr>
            <w:r>
              <w:rPr>
                <w:sz w:val="20"/>
                <w:szCs w:val="20"/>
              </w:rPr>
              <w:t>0,5</w:t>
            </w:r>
          </w:p>
        </w:tc>
        <w:tc>
          <w:tcPr>
            <w:tcW w:w="1441" w:type="dxa"/>
            <w:tcBorders>
              <w:bottom w:val="single" w:sz="4" w:space="0" w:color="000000"/>
              <w:right w:val="single" w:sz="4" w:space="0" w:color="000000"/>
            </w:tcBorders>
            <w:shd w:color="auto" w:fill="auto" w:val="clear"/>
            <w:vAlign w:val="center"/>
          </w:tcPr>
          <w:p>
            <w:pPr>
              <w:pStyle w:val="Normal"/>
              <w:jc w:val="center"/>
              <w:rPr>
                <w:lang w:eastAsia="ru-RU"/>
              </w:rPr>
            </w:pPr>
            <w:r>
              <w:rPr>
                <w:sz w:val="20"/>
                <w:szCs w:val="20"/>
                <w:lang w:eastAsia="ru-RU"/>
              </w:rPr>
              <w:t>4,32</w:t>
            </w:r>
          </w:p>
        </w:tc>
        <w:tc>
          <w:tcPr>
            <w:tcW w:w="964" w:type="dxa"/>
            <w:tcBorders>
              <w:bottom w:val="single" w:sz="4" w:space="0" w:color="000000"/>
              <w:right w:val="single" w:sz="4" w:space="0" w:color="000000"/>
            </w:tcBorders>
            <w:shd w:color="auto" w:fill="auto" w:val="clear"/>
            <w:vAlign w:val="center"/>
          </w:tcPr>
          <w:p>
            <w:pPr>
              <w:pStyle w:val="Normal"/>
              <w:jc w:val="center"/>
              <w:rPr>
                <w:lang w:eastAsia="ru-RU"/>
              </w:rPr>
            </w:pPr>
            <w:r>
              <w:rPr>
                <w:sz w:val="20"/>
                <w:szCs w:val="20"/>
              </w:rPr>
              <w:t>10,37</w:t>
            </w:r>
          </w:p>
        </w:tc>
      </w:tr>
      <w:tr>
        <w:trPr>
          <w:trHeight w:val="20" w:hRule="atLeast"/>
        </w:trPr>
        <w:tc>
          <w:tcPr>
            <w:tcW w:w="345" w:type="dxa"/>
            <w:vMerge w:val="continue"/>
            <w:tcBorders>
              <w:left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r>
          </w:p>
        </w:tc>
        <w:tc>
          <w:tcPr>
            <w:tcW w:w="1601" w:type="dxa"/>
            <w:vMerge w:val="continue"/>
            <w:tcBorders>
              <w:left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r>
          </w:p>
        </w:tc>
        <w:tc>
          <w:tcPr>
            <w:tcW w:w="586" w:type="dxa"/>
            <w:tcBorders>
              <w:bottom w:val="single" w:sz="4" w:space="0" w:color="000000"/>
              <w:right w:val="single" w:sz="4" w:space="0" w:color="000000"/>
            </w:tcBorders>
            <w:shd w:color="auto" w:fill="auto" w:val="clear"/>
            <w:vAlign w:val="center"/>
          </w:tcPr>
          <w:p>
            <w:pPr>
              <w:pStyle w:val="Normal"/>
              <w:jc w:val="center"/>
              <w:rPr>
                <w:lang w:eastAsia="ru-RU"/>
              </w:rPr>
            </w:pPr>
            <w:r>
              <w:rPr>
                <w:sz w:val="20"/>
                <w:szCs w:val="20"/>
                <w:lang w:eastAsia="ru-RU"/>
              </w:rPr>
              <w:t>2026</w:t>
            </w:r>
          </w:p>
        </w:tc>
        <w:tc>
          <w:tcPr>
            <w:tcW w:w="1598" w:type="dxa"/>
            <w:tcBorders>
              <w:bottom w:val="single" w:sz="4" w:space="0" w:color="000000"/>
              <w:right w:val="single" w:sz="4" w:space="0" w:color="000000"/>
            </w:tcBorders>
            <w:shd w:color="auto" w:fill="auto" w:val="clear"/>
            <w:vAlign w:val="center"/>
          </w:tcPr>
          <w:p>
            <w:pPr>
              <w:pStyle w:val="Normal"/>
              <w:jc w:val="center"/>
              <w:rPr>
                <w:lang w:eastAsia="ru-RU"/>
              </w:rPr>
            </w:pPr>
            <w:r>
              <w:rPr>
                <w:sz w:val="20"/>
                <w:szCs w:val="20"/>
              </w:rPr>
              <w:t>4,82</w:t>
            </w:r>
          </w:p>
        </w:tc>
        <w:tc>
          <w:tcPr>
            <w:tcW w:w="1540" w:type="dxa"/>
            <w:tcBorders>
              <w:bottom w:val="single" w:sz="4" w:space="0" w:color="000000"/>
              <w:right w:val="single" w:sz="4" w:space="0" w:color="000000"/>
            </w:tcBorders>
            <w:shd w:color="auto" w:fill="auto" w:val="clear"/>
            <w:vAlign w:val="center"/>
          </w:tcPr>
          <w:p>
            <w:pPr>
              <w:pStyle w:val="Normal"/>
              <w:jc w:val="center"/>
              <w:rPr>
                <w:lang w:eastAsia="ru-RU"/>
              </w:rPr>
            </w:pPr>
            <w:r>
              <w:rPr>
                <w:sz w:val="20"/>
                <w:szCs w:val="20"/>
              </w:rPr>
              <w:t>4,82</w:t>
            </w:r>
          </w:p>
        </w:tc>
        <w:tc>
          <w:tcPr>
            <w:tcW w:w="1141" w:type="dxa"/>
            <w:tcBorders>
              <w:bottom w:val="single" w:sz="4" w:space="0" w:color="000000"/>
              <w:right w:val="single" w:sz="4" w:space="0" w:color="000000"/>
            </w:tcBorders>
            <w:shd w:color="auto" w:fill="auto" w:val="clear"/>
            <w:vAlign w:val="center"/>
          </w:tcPr>
          <w:p>
            <w:pPr>
              <w:pStyle w:val="Normal"/>
              <w:jc w:val="center"/>
              <w:rPr>
                <w:lang w:eastAsia="ru-RU"/>
              </w:rPr>
            </w:pPr>
            <w:r>
              <w:rPr>
                <w:sz w:val="20"/>
                <w:szCs w:val="20"/>
              </w:rPr>
              <w:t>4,8</w:t>
            </w:r>
          </w:p>
        </w:tc>
        <w:tc>
          <w:tcPr>
            <w:tcW w:w="1407" w:type="dxa"/>
            <w:tcBorders>
              <w:bottom w:val="single" w:sz="4" w:space="0" w:color="000000"/>
              <w:right w:val="single" w:sz="4" w:space="0" w:color="000000"/>
            </w:tcBorders>
            <w:shd w:color="auto" w:fill="auto" w:val="clear"/>
            <w:vAlign w:val="center"/>
          </w:tcPr>
          <w:p>
            <w:pPr>
              <w:pStyle w:val="Normal"/>
              <w:jc w:val="center"/>
              <w:rPr>
                <w:lang w:eastAsia="ru-RU"/>
              </w:rPr>
            </w:pPr>
            <w:r>
              <w:rPr>
                <w:sz w:val="20"/>
                <w:szCs w:val="20"/>
              </w:rPr>
              <w:t>0,0</w:t>
            </w:r>
          </w:p>
        </w:tc>
        <w:tc>
          <w:tcPr>
            <w:tcW w:w="1013" w:type="dxa"/>
            <w:gridSpan w:val="2"/>
            <w:tcBorders>
              <w:bottom w:val="single" w:sz="4" w:space="0" w:color="000000"/>
              <w:right w:val="single" w:sz="4" w:space="0" w:color="000000"/>
            </w:tcBorders>
            <w:shd w:color="auto" w:fill="auto" w:val="clear"/>
            <w:vAlign w:val="center"/>
          </w:tcPr>
          <w:p>
            <w:pPr>
              <w:pStyle w:val="Normal"/>
              <w:jc w:val="center"/>
              <w:rPr>
                <w:lang w:eastAsia="ru-RU"/>
              </w:rPr>
            </w:pPr>
            <w:r>
              <w:rPr>
                <w:sz w:val="20"/>
                <w:szCs w:val="20"/>
              </w:rPr>
              <w:t>0,0</w:t>
            </w:r>
          </w:p>
        </w:tc>
        <w:tc>
          <w:tcPr>
            <w:tcW w:w="1770" w:type="dxa"/>
            <w:tcBorders>
              <w:bottom w:val="single" w:sz="4" w:space="0" w:color="000000"/>
              <w:right w:val="single" w:sz="4" w:space="0" w:color="000000"/>
            </w:tcBorders>
            <w:shd w:color="auto" w:fill="auto" w:val="clear"/>
            <w:vAlign w:val="center"/>
          </w:tcPr>
          <w:p>
            <w:pPr>
              <w:pStyle w:val="Normal"/>
              <w:jc w:val="center"/>
              <w:rPr>
                <w:lang w:eastAsia="ru-RU"/>
              </w:rPr>
            </w:pPr>
            <w:r>
              <w:rPr>
                <w:sz w:val="20"/>
                <w:szCs w:val="20"/>
              </w:rPr>
              <w:t>0,5</w:t>
            </w:r>
          </w:p>
        </w:tc>
        <w:tc>
          <w:tcPr>
            <w:tcW w:w="1163" w:type="dxa"/>
            <w:tcBorders>
              <w:bottom w:val="single" w:sz="4" w:space="0" w:color="000000"/>
              <w:right w:val="single" w:sz="4" w:space="0" w:color="000000"/>
            </w:tcBorders>
            <w:shd w:color="auto" w:fill="auto" w:val="clear"/>
            <w:vAlign w:val="center"/>
          </w:tcPr>
          <w:p>
            <w:pPr>
              <w:pStyle w:val="Normal"/>
              <w:jc w:val="center"/>
              <w:rPr>
                <w:lang w:eastAsia="ru-RU"/>
              </w:rPr>
            </w:pPr>
            <w:r>
              <w:rPr>
                <w:sz w:val="20"/>
                <w:szCs w:val="20"/>
              </w:rPr>
              <w:t>0,5</w:t>
            </w:r>
          </w:p>
        </w:tc>
        <w:tc>
          <w:tcPr>
            <w:tcW w:w="1441" w:type="dxa"/>
            <w:tcBorders>
              <w:bottom w:val="single" w:sz="4" w:space="0" w:color="000000"/>
              <w:right w:val="single" w:sz="4" w:space="0" w:color="000000"/>
            </w:tcBorders>
            <w:shd w:color="auto" w:fill="auto" w:val="clear"/>
            <w:vAlign w:val="center"/>
          </w:tcPr>
          <w:p>
            <w:pPr>
              <w:pStyle w:val="Normal"/>
              <w:jc w:val="center"/>
              <w:rPr>
                <w:lang w:eastAsia="ru-RU"/>
              </w:rPr>
            </w:pPr>
            <w:r>
              <w:rPr>
                <w:sz w:val="20"/>
                <w:szCs w:val="20"/>
                <w:lang w:eastAsia="ru-RU"/>
              </w:rPr>
              <w:t>4,32</w:t>
            </w:r>
          </w:p>
        </w:tc>
        <w:tc>
          <w:tcPr>
            <w:tcW w:w="964" w:type="dxa"/>
            <w:tcBorders>
              <w:bottom w:val="single" w:sz="4" w:space="0" w:color="000000"/>
              <w:right w:val="single" w:sz="4" w:space="0" w:color="000000"/>
            </w:tcBorders>
            <w:shd w:color="auto" w:fill="auto" w:val="clear"/>
            <w:vAlign w:val="center"/>
          </w:tcPr>
          <w:p>
            <w:pPr>
              <w:pStyle w:val="Normal"/>
              <w:jc w:val="center"/>
              <w:rPr>
                <w:lang w:eastAsia="ru-RU"/>
              </w:rPr>
            </w:pPr>
            <w:r>
              <w:rPr>
                <w:sz w:val="20"/>
                <w:szCs w:val="20"/>
              </w:rPr>
              <w:t>10,37</w:t>
            </w:r>
          </w:p>
        </w:tc>
      </w:tr>
      <w:tr>
        <w:trPr>
          <w:trHeight w:val="131" w:hRule="atLeast"/>
        </w:trPr>
        <w:tc>
          <w:tcPr>
            <w:tcW w:w="345" w:type="dxa"/>
            <w:vMerge w:val="continue"/>
            <w:tcBorders>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r>
          </w:p>
        </w:tc>
        <w:tc>
          <w:tcPr>
            <w:tcW w:w="1601" w:type="dxa"/>
            <w:vMerge w:val="continue"/>
            <w:tcBorders>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r>
          </w:p>
        </w:tc>
        <w:tc>
          <w:tcPr>
            <w:tcW w:w="586" w:type="dxa"/>
            <w:tcBorders>
              <w:top w:val="single" w:sz="4" w:space="0" w:color="000000"/>
              <w:bottom w:val="single" w:sz="4" w:space="0" w:color="000000"/>
              <w:right w:val="single" w:sz="4" w:space="0" w:color="000000"/>
            </w:tcBorders>
            <w:shd w:color="auto" w:fill="auto" w:val="clear"/>
            <w:vAlign w:val="center"/>
          </w:tcPr>
          <w:p>
            <w:pPr>
              <w:pStyle w:val="Normal"/>
              <w:jc w:val="center"/>
              <w:rPr>
                <w:lang w:eastAsia="ru-RU"/>
              </w:rPr>
            </w:pPr>
            <w:r>
              <w:rPr>
                <w:sz w:val="20"/>
                <w:szCs w:val="20"/>
                <w:lang w:eastAsia="ru-RU"/>
              </w:rPr>
              <w:t>2027</w:t>
            </w:r>
          </w:p>
        </w:tc>
        <w:tc>
          <w:tcPr>
            <w:tcW w:w="12037" w:type="dxa"/>
            <w:gridSpan w:val="10"/>
            <w:tcBorders>
              <w:top w:val="single" w:sz="4" w:space="0" w:color="000000"/>
              <w:bottom w:val="single" w:sz="4" w:space="0" w:color="000000"/>
              <w:right w:val="single" w:sz="4" w:space="0" w:color="000000"/>
            </w:tcBorders>
            <w:shd w:color="auto" w:fill="auto" w:val="clear"/>
            <w:vAlign w:val="center"/>
          </w:tcPr>
          <w:p>
            <w:pPr>
              <w:pStyle w:val="Normal"/>
              <w:jc w:val="center"/>
              <w:rPr>
                <w:lang w:eastAsia="ru-RU"/>
              </w:rPr>
            </w:pPr>
            <w:r>
              <w:rPr>
                <w:sz w:val="20"/>
                <w:szCs w:val="20"/>
                <w:lang w:eastAsia="ru-RU"/>
              </w:rPr>
              <w:t>Вывод из эксплуатации котельной № 3 по ул.Чапаева, 6Б с переключением нагрузки на котельную № 1 по ул.Сенькина, 46б</w:t>
            </w:r>
          </w:p>
        </w:tc>
      </w:tr>
      <w:tr>
        <w:trPr>
          <w:trHeight w:val="106" w:hRule="atLeast"/>
        </w:trPr>
        <w:tc>
          <w:tcPr>
            <w:tcW w:w="345" w:type="dxa"/>
            <w:vMerge w:val="restart"/>
            <w:tcBorders>
              <w:left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4</w:t>
            </w:r>
          </w:p>
        </w:tc>
        <w:tc>
          <w:tcPr>
            <w:tcW w:w="1601" w:type="dxa"/>
            <w:vMerge w:val="restart"/>
            <w:tcBorders>
              <w:left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котельная № 6, пгт.Октябрьское, ул.Дзержинского, 2б</w:t>
            </w:r>
          </w:p>
        </w:tc>
        <w:tc>
          <w:tcPr>
            <w:tcW w:w="586" w:type="dxa"/>
            <w:tcBorders>
              <w:top w:val="single" w:sz="4" w:space="0" w:color="000000"/>
              <w:bottom w:val="single" w:sz="4" w:space="0" w:color="000000"/>
              <w:right w:val="single" w:sz="4" w:space="0" w:color="000000"/>
            </w:tcBorders>
            <w:shd w:color="auto" w:fill="auto" w:val="clear"/>
            <w:vAlign w:val="center"/>
          </w:tcPr>
          <w:p>
            <w:pPr>
              <w:pStyle w:val="Normal"/>
              <w:jc w:val="center"/>
              <w:rPr>
                <w:lang w:eastAsia="ru-RU"/>
              </w:rPr>
            </w:pPr>
            <w:r>
              <w:rPr>
                <w:sz w:val="20"/>
                <w:szCs w:val="20"/>
                <w:lang w:eastAsia="ru-RU"/>
              </w:rPr>
              <w:t>2024</w:t>
            </w:r>
          </w:p>
        </w:tc>
        <w:tc>
          <w:tcPr>
            <w:tcW w:w="1598" w:type="dxa"/>
            <w:tcBorders>
              <w:top w:val="single" w:sz="4" w:space="0" w:color="000000"/>
              <w:bottom w:val="single" w:sz="4" w:space="0" w:color="000000"/>
              <w:right w:val="single" w:sz="4" w:space="0" w:color="000000"/>
            </w:tcBorders>
            <w:shd w:color="auto" w:fill="auto" w:val="clear"/>
            <w:vAlign w:val="center"/>
          </w:tcPr>
          <w:p>
            <w:pPr>
              <w:pStyle w:val="Normal"/>
              <w:jc w:val="center"/>
              <w:rPr>
                <w:lang w:eastAsia="ru-RU"/>
              </w:rPr>
            </w:pPr>
            <w:r>
              <w:rPr>
                <w:sz w:val="20"/>
                <w:szCs w:val="20"/>
              </w:rPr>
              <w:t>4,64</w:t>
            </w:r>
          </w:p>
        </w:tc>
        <w:tc>
          <w:tcPr>
            <w:tcW w:w="1540" w:type="dxa"/>
            <w:tcBorders>
              <w:top w:val="single" w:sz="4" w:space="0" w:color="000000"/>
              <w:bottom w:val="single" w:sz="4" w:space="0" w:color="000000"/>
              <w:right w:val="single" w:sz="4" w:space="0" w:color="000000"/>
            </w:tcBorders>
            <w:shd w:color="auto" w:fill="auto" w:val="clear"/>
            <w:vAlign w:val="center"/>
          </w:tcPr>
          <w:p>
            <w:pPr>
              <w:pStyle w:val="Normal"/>
              <w:jc w:val="center"/>
              <w:rPr>
                <w:lang w:eastAsia="ru-RU"/>
              </w:rPr>
            </w:pPr>
            <w:r>
              <w:rPr>
                <w:sz w:val="20"/>
                <w:szCs w:val="20"/>
              </w:rPr>
              <w:t>4,64</w:t>
            </w:r>
          </w:p>
        </w:tc>
        <w:tc>
          <w:tcPr>
            <w:tcW w:w="1141" w:type="dxa"/>
            <w:tcBorders>
              <w:top w:val="single" w:sz="4" w:space="0" w:color="000000"/>
              <w:bottom w:val="single" w:sz="4" w:space="0" w:color="000000"/>
              <w:right w:val="single" w:sz="4" w:space="0" w:color="000000"/>
            </w:tcBorders>
            <w:shd w:color="auto" w:fill="auto" w:val="clear"/>
            <w:vAlign w:val="center"/>
          </w:tcPr>
          <w:p>
            <w:pPr>
              <w:pStyle w:val="Normal"/>
              <w:jc w:val="center"/>
              <w:rPr>
                <w:lang w:eastAsia="ru-RU"/>
              </w:rPr>
            </w:pPr>
            <w:r>
              <w:rPr>
                <w:sz w:val="20"/>
                <w:szCs w:val="20"/>
              </w:rPr>
              <w:t>4,6</w:t>
            </w:r>
          </w:p>
        </w:tc>
        <w:tc>
          <w:tcPr>
            <w:tcW w:w="1407" w:type="dxa"/>
            <w:tcBorders>
              <w:top w:val="single" w:sz="4" w:space="0" w:color="000000"/>
              <w:bottom w:val="single" w:sz="4" w:space="0" w:color="000000"/>
              <w:right w:val="single" w:sz="4" w:space="0" w:color="000000"/>
            </w:tcBorders>
            <w:shd w:color="auto" w:fill="auto" w:val="clear"/>
            <w:vAlign w:val="center"/>
          </w:tcPr>
          <w:p>
            <w:pPr>
              <w:pStyle w:val="Normal"/>
              <w:jc w:val="center"/>
              <w:rPr>
                <w:lang w:eastAsia="ru-RU"/>
              </w:rPr>
            </w:pPr>
            <w:r>
              <w:rPr>
                <w:sz w:val="20"/>
                <w:szCs w:val="20"/>
              </w:rPr>
              <w:t>0,0</w:t>
            </w:r>
          </w:p>
        </w:tc>
        <w:tc>
          <w:tcPr>
            <w:tcW w:w="1001" w:type="dxa"/>
            <w:tcBorders>
              <w:top w:val="single" w:sz="4" w:space="0" w:color="000000"/>
              <w:bottom w:val="single" w:sz="4" w:space="0" w:color="000000"/>
              <w:right w:val="single" w:sz="4" w:space="0" w:color="000000"/>
            </w:tcBorders>
            <w:shd w:color="auto" w:fill="auto" w:val="clear"/>
            <w:vAlign w:val="center"/>
          </w:tcPr>
          <w:p>
            <w:pPr>
              <w:pStyle w:val="Normal"/>
              <w:jc w:val="center"/>
              <w:rPr>
                <w:lang w:eastAsia="ru-RU"/>
              </w:rPr>
            </w:pPr>
            <w:r>
              <w:rPr>
                <w:sz w:val="20"/>
                <w:szCs w:val="20"/>
              </w:rPr>
              <w:t>0,0</w:t>
            </w:r>
          </w:p>
        </w:tc>
        <w:tc>
          <w:tcPr>
            <w:tcW w:w="1782" w:type="dxa"/>
            <w:gridSpan w:val="2"/>
            <w:tcBorders>
              <w:top w:val="single" w:sz="4" w:space="0" w:color="000000"/>
              <w:bottom w:val="single" w:sz="4" w:space="0" w:color="000000"/>
              <w:right w:val="single" w:sz="4" w:space="0" w:color="000000"/>
            </w:tcBorders>
            <w:shd w:color="auto" w:fill="auto" w:val="clear"/>
            <w:vAlign w:val="center"/>
          </w:tcPr>
          <w:p>
            <w:pPr>
              <w:pStyle w:val="Normal"/>
              <w:jc w:val="center"/>
              <w:rPr>
                <w:lang w:eastAsia="ru-RU"/>
              </w:rPr>
            </w:pPr>
            <w:r>
              <w:rPr>
                <w:sz w:val="20"/>
                <w:szCs w:val="20"/>
              </w:rPr>
              <w:t>0,33</w:t>
            </w:r>
          </w:p>
        </w:tc>
        <w:tc>
          <w:tcPr>
            <w:tcW w:w="1163" w:type="dxa"/>
            <w:tcBorders>
              <w:top w:val="single" w:sz="4" w:space="0" w:color="000000"/>
              <w:bottom w:val="single" w:sz="4" w:space="0" w:color="000000"/>
              <w:right w:val="single" w:sz="4" w:space="0" w:color="000000"/>
            </w:tcBorders>
            <w:shd w:color="auto" w:fill="auto" w:val="clear"/>
            <w:vAlign w:val="center"/>
          </w:tcPr>
          <w:p>
            <w:pPr>
              <w:pStyle w:val="Normal"/>
              <w:jc w:val="center"/>
              <w:rPr>
                <w:lang w:eastAsia="ru-RU"/>
              </w:rPr>
            </w:pPr>
            <w:r>
              <w:rPr>
                <w:sz w:val="20"/>
                <w:szCs w:val="20"/>
              </w:rPr>
              <w:t>0,33</w:t>
            </w:r>
          </w:p>
        </w:tc>
        <w:tc>
          <w:tcPr>
            <w:tcW w:w="1441" w:type="dxa"/>
            <w:tcBorders>
              <w:top w:val="single" w:sz="4" w:space="0" w:color="000000"/>
              <w:bottom w:val="single" w:sz="4" w:space="0" w:color="000000"/>
              <w:right w:val="single" w:sz="4" w:space="0" w:color="000000"/>
            </w:tcBorders>
            <w:shd w:color="auto" w:fill="auto" w:val="clear"/>
            <w:vAlign w:val="center"/>
          </w:tcPr>
          <w:p>
            <w:pPr>
              <w:pStyle w:val="Normal"/>
              <w:jc w:val="center"/>
              <w:rPr>
                <w:lang w:eastAsia="ru-RU"/>
              </w:rPr>
            </w:pPr>
            <w:r>
              <w:rPr>
                <w:sz w:val="20"/>
                <w:szCs w:val="20"/>
              </w:rPr>
              <w:t>4,31</w:t>
            </w:r>
          </w:p>
        </w:tc>
        <w:tc>
          <w:tcPr>
            <w:tcW w:w="964" w:type="dxa"/>
            <w:tcBorders>
              <w:top w:val="single" w:sz="4" w:space="0" w:color="000000"/>
              <w:bottom w:val="single" w:sz="4" w:space="0" w:color="000000"/>
              <w:right w:val="single" w:sz="4" w:space="0" w:color="000000"/>
            </w:tcBorders>
            <w:shd w:color="auto" w:fill="auto" w:val="clear"/>
            <w:vAlign w:val="center"/>
          </w:tcPr>
          <w:p>
            <w:pPr>
              <w:pStyle w:val="Normal"/>
              <w:jc w:val="center"/>
              <w:rPr>
                <w:lang w:eastAsia="ru-RU"/>
              </w:rPr>
            </w:pPr>
            <w:r>
              <w:rPr>
                <w:sz w:val="20"/>
                <w:szCs w:val="20"/>
              </w:rPr>
              <w:t>7,11</w:t>
            </w:r>
          </w:p>
        </w:tc>
      </w:tr>
      <w:tr>
        <w:trPr>
          <w:trHeight w:val="106" w:hRule="atLeast"/>
        </w:trPr>
        <w:tc>
          <w:tcPr>
            <w:tcW w:w="345" w:type="dxa"/>
            <w:vMerge w:val="continue"/>
            <w:tcBorders>
              <w:left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r>
          </w:p>
        </w:tc>
        <w:tc>
          <w:tcPr>
            <w:tcW w:w="1601" w:type="dxa"/>
            <w:vMerge w:val="continue"/>
            <w:tcBorders>
              <w:left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r>
          </w:p>
        </w:tc>
        <w:tc>
          <w:tcPr>
            <w:tcW w:w="586" w:type="dxa"/>
            <w:tcBorders>
              <w:top w:val="single" w:sz="4" w:space="0" w:color="000000"/>
              <w:bottom w:val="single" w:sz="4" w:space="0" w:color="000000"/>
              <w:right w:val="single" w:sz="4" w:space="0" w:color="000000"/>
            </w:tcBorders>
            <w:shd w:color="auto" w:fill="auto" w:val="clear"/>
            <w:vAlign w:val="center"/>
          </w:tcPr>
          <w:p>
            <w:pPr>
              <w:pStyle w:val="Normal"/>
              <w:jc w:val="center"/>
              <w:rPr>
                <w:lang w:eastAsia="ru-RU"/>
              </w:rPr>
            </w:pPr>
            <w:r>
              <w:rPr>
                <w:sz w:val="20"/>
                <w:szCs w:val="20"/>
                <w:lang w:eastAsia="ru-RU"/>
              </w:rPr>
              <w:t>2025</w:t>
            </w:r>
          </w:p>
        </w:tc>
        <w:tc>
          <w:tcPr>
            <w:tcW w:w="1598" w:type="dxa"/>
            <w:tcBorders>
              <w:top w:val="single" w:sz="4" w:space="0" w:color="000000"/>
              <w:bottom w:val="single" w:sz="4" w:space="0" w:color="000000"/>
              <w:right w:val="single" w:sz="4" w:space="0" w:color="000000"/>
            </w:tcBorders>
            <w:shd w:color="auto" w:fill="auto" w:val="clear"/>
            <w:vAlign w:val="center"/>
          </w:tcPr>
          <w:p>
            <w:pPr>
              <w:pStyle w:val="Normal"/>
              <w:jc w:val="center"/>
              <w:rPr>
                <w:lang w:eastAsia="ru-RU"/>
              </w:rPr>
            </w:pPr>
            <w:r>
              <w:rPr>
                <w:sz w:val="20"/>
                <w:szCs w:val="20"/>
              </w:rPr>
              <w:t>4,64</w:t>
            </w:r>
          </w:p>
        </w:tc>
        <w:tc>
          <w:tcPr>
            <w:tcW w:w="1540" w:type="dxa"/>
            <w:tcBorders>
              <w:top w:val="single" w:sz="4" w:space="0" w:color="000000"/>
              <w:bottom w:val="single" w:sz="4" w:space="0" w:color="000000"/>
              <w:right w:val="single" w:sz="4" w:space="0" w:color="000000"/>
            </w:tcBorders>
            <w:shd w:color="auto" w:fill="auto" w:val="clear"/>
            <w:vAlign w:val="center"/>
          </w:tcPr>
          <w:p>
            <w:pPr>
              <w:pStyle w:val="Normal"/>
              <w:jc w:val="center"/>
              <w:rPr>
                <w:lang w:eastAsia="ru-RU"/>
              </w:rPr>
            </w:pPr>
            <w:r>
              <w:rPr>
                <w:sz w:val="20"/>
                <w:szCs w:val="20"/>
              </w:rPr>
              <w:t>4,64</w:t>
            </w:r>
          </w:p>
        </w:tc>
        <w:tc>
          <w:tcPr>
            <w:tcW w:w="1141" w:type="dxa"/>
            <w:tcBorders>
              <w:top w:val="single" w:sz="4" w:space="0" w:color="000000"/>
              <w:bottom w:val="single" w:sz="4" w:space="0" w:color="000000"/>
              <w:right w:val="single" w:sz="4" w:space="0" w:color="000000"/>
            </w:tcBorders>
            <w:shd w:color="auto" w:fill="auto" w:val="clear"/>
            <w:vAlign w:val="center"/>
          </w:tcPr>
          <w:p>
            <w:pPr>
              <w:pStyle w:val="Normal"/>
              <w:jc w:val="center"/>
              <w:rPr>
                <w:lang w:eastAsia="ru-RU"/>
              </w:rPr>
            </w:pPr>
            <w:r>
              <w:rPr>
                <w:sz w:val="20"/>
                <w:szCs w:val="20"/>
              </w:rPr>
              <w:t>4,6</w:t>
            </w:r>
          </w:p>
        </w:tc>
        <w:tc>
          <w:tcPr>
            <w:tcW w:w="1407" w:type="dxa"/>
            <w:tcBorders>
              <w:top w:val="single" w:sz="4" w:space="0" w:color="000000"/>
              <w:bottom w:val="single" w:sz="4" w:space="0" w:color="000000"/>
              <w:right w:val="single" w:sz="4" w:space="0" w:color="000000"/>
            </w:tcBorders>
            <w:shd w:color="auto" w:fill="auto" w:val="clear"/>
            <w:vAlign w:val="center"/>
          </w:tcPr>
          <w:p>
            <w:pPr>
              <w:pStyle w:val="Normal"/>
              <w:jc w:val="center"/>
              <w:rPr>
                <w:lang w:eastAsia="ru-RU"/>
              </w:rPr>
            </w:pPr>
            <w:r>
              <w:rPr>
                <w:sz w:val="20"/>
                <w:szCs w:val="20"/>
              </w:rPr>
              <w:t>0,0</w:t>
            </w:r>
          </w:p>
        </w:tc>
        <w:tc>
          <w:tcPr>
            <w:tcW w:w="1001" w:type="dxa"/>
            <w:tcBorders>
              <w:top w:val="single" w:sz="4" w:space="0" w:color="000000"/>
              <w:bottom w:val="single" w:sz="4" w:space="0" w:color="000000"/>
              <w:right w:val="single" w:sz="4" w:space="0" w:color="000000"/>
            </w:tcBorders>
            <w:shd w:color="auto" w:fill="auto" w:val="clear"/>
            <w:vAlign w:val="center"/>
          </w:tcPr>
          <w:p>
            <w:pPr>
              <w:pStyle w:val="Normal"/>
              <w:jc w:val="center"/>
              <w:rPr>
                <w:lang w:eastAsia="ru-RU"/>
              </w:rPr>
            </w:pPr>
            <w:r>
              <w:rPr>
                <w:sz w:val="20"/>
                <w:szCs w:val="20"/>
              </w:rPr>
              <w:t>0,0</w:t>
            </w:r>
          </w:p>
        </w:tc>
        <w:tc>
          <w:tcPr>
            <w:tcW w:w="1782" w:type="dxa"/>
            <w:gridSpan w:val="2"/>
            <w:tcBorders>
              <w:top w:val="single" w:sz="4" w:space="0" w:color="000000"/>
              <w:bottom w:val="single" w:sz="4" w:space="0" w:color="000000"/>
              <w:right w:val="single" w:sz="4" w:space="0" w:color="000000"/>
            </w:tcBorders>
            <w:shd w:color="auto" w:fill="auto" w:val="clear"/>
            <w:vAlign w:val="center"/>
          </w:tcPr>
          <w:p>
            <w:pPr>
              <w:pStyle w:val="Normal"/>
              <w:jc w:val="center"/>
              <w:rPr>
                <w:lang w:eastAsia="ru-RU"/>
              </w:rPr>
            </w:pPr>
            <w:r>
              <w:rPr>
                <w:sz w:val="20"/>
                <w:szCs w:val="20"/>
              </w:rPr>
              <w:t>0,33</w:t>
            </w:r>
          </w:p>
        </w:tc>
        <w:tc>
          <w:tcPr>
            <w:tcW w:w="1163" w:type="dxa"/>
            <w:tcBorders>
              <w:top w:val="single" w:sz="4" w:space="0" w:color="000000"/>
              <w:bottom w:val="single" w:sz="4" w:space="0" w:color="000000"/>
              <w:right w:val="single" w:sz="4" w:space="0" w:color="000000"/>
            </w:tcBorders>
            <w:shd w:color="auto" w:fill="auto" w:val="clear"/>
            <w:vAlign w:val="center"/>
          </w:tcPr>
          <w:p>
            <w:pPr>
              <w:pStyle w:val="Normal"/>
              <w:jc w:val="center"/>
              <w:rPr>
                <w:lang w:eastAsia="ru-RU"/>
              </w:rPr>
            </w:pPr>
            <w:r>
              <w:rPr>
                <w:sz w:val="20"/>
                <w:szCs w:val="20"/>
              </w:rPr>
              <w:t>0,33</w:t>
            </w:r>
          </w:p>
        </w:tc>
        <w:tc>
          <w:tcPr>
            <w:tcW w:w="1441" w:type="dxa"/>
            <w:tcBorders>
              <w:top w:val="single" w:sz="4" w:space="0" w:color="000000"/>
              <w:bottom w:val="single" w:sz="4" w:space="0" w:color="000000"/>
              <w:right w:val="single" w:sz="4" w:space="0" w:color="000000"/>
            </w:tcBorders>
            <w:shd w:color="auto" w:fill="auto" w:val="clear"/>
            <w:vAlign w:val="center"/>
          </w:tcPr>
          <w:p>
            <w:pPr>
              <w:pStyle w:val="Normal"/>
              <w:jc w:val="center"/>
              <w:rPr>
                <w:lang w:eastAsia="ru-RU"/>
              </w:rPr>
            </w:pPr>
            <w:r>
              <w:rPr>
                <w:sz w:val="20"/>
                <w:szCs w:val="20"/>
              </w:rPr>
              <w:t>4,31</w:t>
            </w:r>
          </w:p>
        </w:tc>
        <w:tc>
          <w:tcPr>
            <w:tcW w:w="964" w:type="dxa"/>
            <w:tcBorders>
              <w:top w:val="single" w:sz="4" w:space="0" w:color="000000"/>
              <w:bottom w:val="single" w:sz="4" w:space="0" w:color="000000"/>
              <w:right w:val="single" w:sz="4" w:space="0" w:color="000000"/>
            </w:tcBorders>
            <w:shd w:color="auto" w:fill="auto" w:val="clear"/>
            <w:vAlign w:val="center"/>
          </w:tcPr>
          <w:p>
            <w:pPr>
              <w:pStyle w:val="Normal"/>
              <w:jc w:val="center"/>
              <w:rPr>
                <w:lang w:eastAsia="ru-RU"/>
              </w:rPr>
            </w:pPr>
            <w:r>
              <w:rPr>
                <w:sz w:val="20"/>
                <w:szCs w:val="20"/>
              </w:rPr>
              <w:t>7,11</w:t>
            </w:r>
          </w:p>
        </w:tc>
      </w:tr>
      <w:tr>
        <w:trPr>
          <w:trHeight w:val="106" w:hRule="atLeast"/>
        </w:trPr>
        <w:tc>
          <w:tcPr>
            <w:tcW w:w="345" w:type="dxa"/>
            <w:vMerge w:val="continue"/>
            <w:tcBorders>
              <w:left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r>
          </w:p>
        </w:tc>
        <w:tc>
          <w:tcPr>
            <w:tcW w:w="1601" w:type="dxa"/>
            <w:vMerge w:val="continue"/>
            <w:tcBorders>
              <w:left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r>
          </w:p>
        </w:tc>
        <w:tc>
          <w:tcPr>
            <w:tcW w:w="586" w:type="dxa"/>
            <w:tcBorders>
              <w:top w:val="single" w:sz="4" w:space="0" w:color="000000"/>
              <w:bottom w:val="single" w:sz="4" w:space="0" w:color="000000"/>
              <w:right w:val="single" w:sz="4" w:space="0" w:color="000000"/>
            </w:tcBorders>
            <w:shd w:color="auto" w:fill="auto" w:val="clear"/>
            <w:vAlign w:val="center"/>
          </w:tcPr>
          <w:p>
            <w:pPr>
              <w:pStyle w:val="Normal"/>
              <w:jc w:val="center"/>
              <w:rPr>
                <w:lang w:eastAsia="ru-RU"/>
              </w:rPr>
            </w:pPr>
            <w:r>
              <w:rPr>
                <w:sz w:val="20"/>
                <w:szCs w:val="20"/>
                <w:lang w:eastAsia="ru-RU"/>
              </w:rPr>
              <w:t>2026</w:t>
            </w:r>
          </w:p>
        </w:tc>
        <w:tc>
          <w:tcPr>
            <w:tcW w:w="1598" w:type="dxa"/>
            <w:tcBorders>
              <w:top w:val="single" w:sz="4" w:space="0" w:color="000000"/>
              <w:bottom w:val="single" w:sz="4" w:space="0" w:color="000000"/>
              <w:right w:val="single" w:sz="4" w:space="0" w:color="000000"/>
            </w:tcBorders>
            <w:shd w:color="auto" w:fill="auto" w:val="clear"/>
            <w:vAlign w:val="center"/>
          </w:tcPr>
          <w:p>
            <w:pPr>
              <w:pStyle w:val="Normal"/>
              <w:jc w:val="center"/>
              <w:rPr>
                <w:lang w:eastAsia="ru-RU"/>
              </w:rPr>
            </w:pPr>
            <w:r>
              <w:rPr>
                <w:sz w:val="20"/>
                <w:szCs w:val="20"/>
              </w:rPr>
              <w:t>4,64</w:t>
            </w:r>
          </w:p>
        </w:tc>
        <w:tc>
          <w:tcPr>
            <w:tcW w:w="1540" w:type="dxa"/>
            <w:tcBorders>
              <w:top w:val="single" w:sz="4" w:space="0" w:color="000000"/>
              <w:bottom w:val="single" w:sz="4" w:space="0" w:color="000000"/>
              <w:right w:val="single" w:sz="4" w:space="0" w:color="000000"/>
            </w:tcBorders>
            <w:shd w:color="auto" w:fill="auto" w:val="clear"/>
            <w:vAlign w:val="center"/>
          </w:tcPr>
          <w:p>
            <w:pPr>
              <w:pStyle w:val="Normal"/>
              <w:jc w:val="center"/>
              <w:rPr>
                <w:lang w:eastAsia="ru-RU"/>
              </w:rPr>
            </w:pPr>
            <w:r>
              <w:rPr>
                <w:sz w:val="20"/>
                <w:szCs w:val="20"/>
              </w:rPr>
              <w:t>4,64</w:t>
            </w:r>
          </w:p>
        </w:tc>
        <w:tc>
          <w:tcPr>
            <w:tcW w:w="1141" w:type="dxa"/>
            <w:tcBorders>
              <w:top w:val="single" w:sz="4" w:space="0" w:color="000000"/>
              <w:bottom w:val="single" w:sz="4" w:space="0" w:color="000000"/>
              <w:right w:val="single" w:sz="4" w:space="0" w:color="000000"/>
            </w:tcBorders>
            <w:shd w:color="auto" w:fill="auto" w:val="clear"/>
            <w:vAlign w:val="center"/>
          </w:tcPr>
          <w:p>
            <w:pPr>
              <w:pStyle w:val="Normal"/>
              <w:jc w:val="center"/>
              <w:rPr>
                <w:lang w:eastAsia="ru-RU"/>
              </w:rPr>
            </w:pPr>
            <w:r>
              <w:rPr>
                <w:sz w:val="20"/>
                <w:szCs w:val="20"/>
              </w:rPr>
              <w:t>4,6</w:t>
            </w:r>
          </w:p>
        </w:tc>
        <w:tc>
          <w:tcPr>
            <w:tcW w:w="1407" w:type="dxa"/>
            <w:tcBorders>
              <w:top w:val="single" w:sz="4" w:space="0" w:color="000000"/>
              <w:bottom w:val="single" w:sz="4" w:space="0" w:color="000000"/>
              <w:right w:val="single" w:sz="4" w:space="0" w:color="000000"/>
            </w:tcBorders>
            <w:shd w:color="auto" w:fill="auto" w:val="clear"/>
            <w:vAlign w:val="center"/>
          </w:tcPr>
          <w:p>
            <w:pPr>
              <w:pStyle w:val="Normal"/>
              <w:jc w:val="center"/>
              <w:rPr>
                <w:lang w:eastAsia="ru-RU"/>
              </w:rPr>
            </w:pPr>
            <w:r>
              <w:rPr>
                <w:sz w:val="20"/>
                <w:szCs w:val="20"/>
              </w:rPr>
              <w:t>0,0</w:t>
            </w:r>
          </w:p>
        </w:tc>
        <w:tc>
          <w:tcPr>
            <w:tcW w:w="1001" w:type="dxa"/>
            <w:tcBorders>
              <w:top w:val="single" w:sz="4" w:space="0" w:color="000000"/>
              <w:bottom w:val="single" w:sz="4" w:space="0" w:color="000000"/>
              <w:right w:val="single" w:sz="4" w:space="0" w:color="000000"/>
            </w:tcBorders>
            <w:shd w:color="auto" w:fill="auto" w:val="clear"/>
            <w:vAlign w:val="center"/>
          </w:tcPr>
          <w:p>
            <w:pPr>
              <w:pStyle w:val="Normal"/>
              <w:jc w:val="center"/>
              <w:rPr>
                <w:lang w:eastAsia="ru-RU"/>
              </w:rPr>
            </w:pPr>
            <w:r>
              <w:rPr>
                <w:sz w:val="20"/>
                <w:szCs w:val="20"/>
              </w:rPr>
              <w:t>0,0</w:t>
            </w:r>
          </w:p>
        </w:tc>
        <w:tc>
          <w:tcPr>
            <w:tcW w:w="1782" w:type="dxa"/>
            <w:gridSpan w:val="2"/>
            <w:tcBorders>
              <w:top w:val="single" w:sz="4" w:space="0" w:color="000000"/>
              <w:bottom w:val="single" w:sz="4" w:space="0" w:color="000000"/>
              <w:right w:val="single" w:sz="4" w:space="0" w:color="000000"/>
            </w:tcBorders>
            <w:shd w:color="auto" w:fill="auto" w:val="clear"/>
            <w:vAlign w:val="center"/>
          </w:tcPr>
          <w:p>
            <w:pPr>
              <w:pStyle w:val="Normal"/>
              <w:jc w:val="center"/>
              <w:rPr>
                <w:lang w:eastAsia="ru-RU"/>
              </w:rPr>
            </w:pPr>
            <w:r>
              <w:rPr>
                <w:sz w:val="20"/>
                <w:szCs w:val="20"/>
              </w:rPr>
              <w:t>0,33</w:t>
            </w:r>
          </w:p>
        </w:tc>
        <w:tc>
          <w:tcPr>
            <w:tcW w:w="1163" w:type="dxa"/>
            <w:tcBorders>
              <w:top w:val="single" w:sz="4" w:space="0" w:color="000000"/>
              <w:bottom w:val="single" w:sz="4" w:space="0" w:color="000000"/>
              <w:right w:val="single" w:sz="4" w:space="0" w:color="000000"/>
            </w:tcBorders>
            <w:shd w:color="auto" w:fill="auto" w:val="clear"/>
            <w:vAlign w:val="center"/>
          </w:tcPr>
          <w:p>
            <w:pPr>
              <w:pStyle w:val="Normal"/>
              <w:jc w:val="center"/>
              <w:rPr>
                <w:lang w:eastAsia="ru-RU"/>
              </w:rPr>
            </w:pPr>
            <w:r>
              <w:rPr>
                <w:sz w:val="20"/>
                <w:szCs w:val="20"/>
              </w:rPr>
              <w:t>0,33</w:t>
            </w:r>
          </w:p>
        </w:tc>
        <w:tc>
          <w:tcPr>
            <w:tcW w:w="1441" w:type="dxa"/>
            <w:tcBorders>
              <w:top w:val="single" w:sz="4" w:space="0" w:color="000000"/>
              <w:bottom w:val="single" w:sz="4" w:space="0" w:color="000000"/>
              <w:right w:val="single" w:sz="4" w:space="0" w:color="000000"/>
            </w:tcBorders>
            <w:shd w:color="auto" w:fill="auto" w:val="clear"/>
            <w:vAlign w:val="center"/>
          </w:tcPr>
          <w:p>
            <w:pPr>
              <w:pStyle w:val="Normal"/>
              <w:jc w:val="center"/>
              <w:rPr>
                <w:lang w:eastAsia="ru-RU"/>
              </w:rPr>
            </w:pPr>
            <w:r>
              <w:rPr>
                <w:sz w:val="20"/>
                <w:szCs w:val="20"/>
              </w:rPr>
              <w:t>4,31</w:t>
            </w:r>
          </w:p>
        </w:tc>
        <w:tc>
          <w:tcPr>
            <w:tcW w:w="964" w:type="dxa"/>
            <w:tcBorders>
              <w:top w:val="single" w:sz="4" w:space="0" w:color="000000"/>
              <w:bottom w:val="single" w:sz="4" w:space="0" w:color="000000"/>
              <w:right w:val="single" w:sz="4" w:space="0" w:color="000000"/>
            </w:tcBorders>
            <w:shd w:color="auto" w:fill="auto" w:val="clear"/>
            <w:vAlign w:val="center"/>
          </w:tcPr>
          <w:p>
            <w:pPr>
              <w:pStyle w:val="Normal"/>
              <w:jc w:val="center"/>
              <w:rPr>
                <w:lang w:eastAsia="ru-RU"/>
              </w:rPr>
            </w:pPr>
            <w:r>
              <w:rPr>
                <w:sz w:val="20"/>
                <w:szCs w:val="20"/>
              </w:rPr>
              <w:t>7,11</w:t>
            </w:r>
          </w:p>
        </w:tc>
      </w:tr>
      <w:tr>
        <w:trPr>
          <w:trHeight w:val="106" w:hRule="atLeast"/>
        </w:trPr>
        <w:tc>
          <w:tcPr>
            <w:tcW w:w="345" w:type="dxa"/>
            <w:vMerge w:val="continue"/>
            <w:tcBorders>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r>
          </w:p>
        </w:tc>
        <w:tc>
          <w:tcPr>
            <w:tcW w:w="1601" w:type="dxa"/>
            <w:vMerge w:val="continue"/>
            <w:tcBorders>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r>
          </w:p>
        </w:tc>
        <w:tc>
          <w:tcPr>
            <w:tcW w:w="586" w:type="dxa"/>
            <w:tcBorders>
              <w:top w:val="single" w:sz="4" w:space="0" w:color="000000"/>
              <w:bottom w:val="single" w:sz="4" w:space="0" w:color="000000"/>
              <w:right w:val="single" w:sz="4" w:space="0" w:color="000000"/>
            </w:tcBorders>
            <w:shd w:color="auto" w:fill="auto" w:val="clear"/>
            <w:vAlign w:val="center"/>
          </w:tcPr>
          <w:p>
            <w:pPr>
              <w:pStyle w:val="Normal"/>
              <w:jc w:val="center"/>
              <w:rPr>
                <w:lang w:eastAsia="ru-RU"/>
              </w:rPr>
            </w:pPr>
            <w:r>
              <w:rPr>
                <w:sz w:val="20"/>
                <w:szCs w:val="20"/>
                <w:lang w:eastAsia="ru-RU"/>
              </w:rPr>
              <w:t>2027</w:t>
            </w:r>
          </w:p>
        </w:tc>
        <w:tc>
          <w:tcPr>
            <w:tcW w:w="12037" w:type="dxa"/>
            <w:gridSpan w:val="10"/>
            <w:tcBorders>
              <w:top w:val="single" w:sz="4" w:space="0" w:color="000000"/>
              <w:bottom w:val="single" w:sz="4" w:space="0" w:color="000000"/>
              <w:right w:val="single" w:sz="4" w:space="0" w:color="000000"/>
            </w:tcBorders>
            <w:shd w:color="auto" w:fill="auto" w:val="clear"/>
            <w:vAlign w:val="center"/>
          </w:tcPr>
          <w:p>
            <w:pPr>
              <w:pStyle w:val="Normal"/>
              <w:jc w:val="center"/>
              <w:rPr>
                <w:lang w:eastAsia="ru-RU"/>
              </w:rPr>
            </w:pPr>
            <w:r>
              <w:rPr>
                <w:sz w:val="20"/>
                <w:szCs w:val="20"/>
                <w:lang w:eastAsia="ru-RU"/>
              </w:rPr>
              <w:t>Строительство котельной по ул.Дзержинского, 14 в пгт.Октябрьское. Вывод из эксплуатации котельной № 2 по ул.Пионерская, 17Б и котельной № 6 по ул.Дзержинского, 2Б с переключением нагрузки на новую котельную по ул.Дзержинского, 14</w:t>
            </w:r>
          </w:p>
        </w:tc>
      </w:tr>
      <w:tr>
        <w:trPr>
          <w:trHeight w:val="131" w:hRule="atLeast"/>
        </w:trPr>
        <w:tc>
          <w:tcPr>
            <w:tcW w:w="345" w:type="dxa"/>
            <w:vMerge w:val="restart"/>
            <w:tcBorders>
              <w:left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5</w:t>
            </w:r>
          </w:p>
        </w:tc>
        <w:tc>
          <w:tcPr>
            <w:tcW w:w="1601" w:type="dxa"/>
            <w:vMerge w:val="restart"/>
            <w:tcBorders>
              <w:left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котельная № 7, пгт.Октябрьское, ул.Медицинская, 3Б</w:t>
            </w:r>
          </w:p>
        </w:tc>
        <w:tc>
          <w:tcPr>
            <w:tcW w:w="586" w:type="dxa"/>
            <w:tcBorders>
              <w:top w:val="single" w:sz="4" w:space="0" w:color="000000"/>
              <w:bottom w:val="single" w:sz="4" w:space="0" w:color="000000"/>
              <w:right w:val="single" w:sz="4" w:space="0" w:color="000000"/>
            </w:tcBorders>
            <w:shd w:color="auto" w:fill="auto" w:val="clear"/>
            <w:vAlign w:val="center"/>
          </w:tcPr>
          <w:p>
            <w:pPr>
              <w:pStyle w:val="Normal"/>
              <w:jc w:val="center"/>
              <w:rPr>
                <w:lang w:eastAsia="ru-RU"/>
              </w:rPr>
            </w:pPr>
            <w:r>
              <w:rPr>
                <w:sz w:val="20"/>
                <w:szCs w:val="20"/>
                <w:lang w:eastAsia="ru-RU"/>
              </w:rPr>
              <w:t>2024</w:t>
            </w:r>
          </w:p>
        </w:tc>
        <w:tc>
          <w:tcPr>
            <w:tcW w:w="1598" w:type="dxa"/>
            <w:tcBorders>
              <w:top w:val="single" w:sz="4" w:space="0" w:color="000000"/>
              <w:bottom w:val="single" w:sz="4" w:space="0" w:color="000000"/>
              <w:right w:val="single" w:sz="4" w:space="0" w:color="000000"/>
            </w:tcBorders>
            <w:shd w:color="auto" w:fill="auto" w:val="clear"/>
            <w:vAlign w:val="center"/>
          </w:tcPr>
          <w:p>
            <w:pPr>
              <w:pStyle w:val="Normal"/>
              <w:jc w:val="center"/>
              <w:rPr>
                <w:lang w:eastAsia="ru-RU"/>
              </w:rPr>
            </w:pPr>
            <w:r>
              <w:rPr>
                <w:sz w:val="20"/>
                <w:szCs w:val="20"/>
              </w:rPr>
              <w:t>5,16</w:t>
            </w:r>
          </w:p>
        </w:tc>
        <w:tc>
          <w:tcPr>
            <w:tcW w:w="1540" w:type="dxa"/>
            <w:tcBorders>
              <w:top w:val="single" w:sz="4" w:space="0" w:color="000000"/>
              <w:bottom w:val="single" w:sz="4" w:space="0" w:color="000000"/>
              <w:right w:val="single" w:sz="4" w:space="0" w:color="000000"/>
            </w:tcBorders>
            <w:shd w:color="auto" w:fill="auto" w:val="clear"/>
            <w:vAlign w:val="center"/>
          </w:tcPr>
          <w:p>
            <w:pPr>
              <w:pStyle w:val="Normal"/>
              <w:jc w:val="center"/>
              <w:rPr>
                <w:lang w:eastAsia="ru-RU"/>
              </w:rPr>
            </w:pPr>
            <w:r>
              <w:rPr>
                <w:sz w:val="20"/>
                <w:szCs w:val="20"/>
              </w:rPr>
              <w:t>5,16</w:t>
            </w:r>
          </w:p>
        </w:tc>
        <w:tc>
          <w:tcPr>
            <w:tcW w:w="1141" w:type="dxa"/>
            <w:tcBorders>
              <w:top w:val="single" w:sz="4" w:space="0" w:color="000000"/>
              <w:bottom w:val="single" w:sz="4" w:space="0" w:color="000000"/>
              <w:right w:val="single" w:sz="4" w:space="0" w:color="000000"/>
            </w:tcBorders>
            <w:shd w:color="auto" w:fill="auto" w:val="clear"/>
            <w:vAlign w:val="center"/>
          </w:tcPr>
          <w:p>
            <w:pPr>
              <w:pStyle w:val="Normal"/>
              <w:jc w:val="center"/>
              <w:rPr>
                <w:lang w:eastAsia="ru-RU"/>
              </w:rPr>
            </w:pPr>
            <w:r>
              <w:rPr>
                <w:sz w:val="20"/>
                <w:szCs w:val="20"/>
              </w:rPr>
              <w:t>5,05</w:t>
            </w:r>
          </w:p>
        </w:tc>
        <w:tc>
          <w:tcPr>
            <w:tcW w:w="1407" w:type="dxa"/>
            <w:tcBorders>
              <w:top w:val="single" w:sz="4" w:space="0" w:color="000000"/>
              <w:bottom w:val="single" w:sz="4" w:space="0" w:color="000000"/>
              <w:right w:val="single" w:sz="4" w:space="0" w:color="000000"/>
            </w:tcBorders>
            <w:shd w:color="auto" w:fill="auto" w:val="clear"/>
            <w:vAlign w:val="center"/>
          </w:tcPr>
          <w:p>
            <w:pPr>
              <w:pStyle w:val="Normal"/>
              <w:jc w:val="center"/>
              <w:rPr>
                <w:lang w:eastAsia="ru-RU"/>
              </w:rPr>
            </w:pPr>
            <w:r>
              <w:rPr>
                <w:sz w:val="20"/>
                <w:szCs w:val="20"/>
              </w:rPr>
              <w:t>0,0</w:t>
            </w:r>
          </w:p>
        </w:tc>
        <w:tc>
          <w:tcPr>
            <w:tcW w:w="1001" w:type="dxa"/>
            <w:tcBorders>
              <w:top w:val="single" w:sz="4" w:space="0" w:color="000000"/>
              <w:bottom w:val="single" w:sz="4" w:space="0" w:color="000000"/>
              <w:right w:val="single" w:sz="4" w:space="0" w:color="000000"/>
            </w:tcBorders>
            <w:shd w:color="auto" w:fill="auto" w:val="clear"/>
            <w:vAlign w:val="center"/>
          </w:tcPr>
          <w:p>
            <w:pPr>
              <w:pStyle w:val="Normal"/>
              <w:jc w:val="center"/>
              <w:rPr>
                <w:lang w:eastAsia="ru-RU"/>
              </w:rPr>
            </w:pPr>
            <w:r>
              <w:rPr>
                <w:sz w:val="20"/>
                <w:szCs w:val="20"/>
              </w:rPr>
              <w:t>0,0</w:t>
            </w:r>
          </w:p>
        </w:tc>
        <w:tc>
          <w:tcPr>
            <w:tcW w:w="1782" w:type="dxa"/>
            <w:gridSpan w:val="2"/>
            <w:tcBorders>
              <w:top w:val="single" w:sz="4" w:space="0" w:color="000000"/>
              <w:bottom w:val="single" w:sz="4" w:space="0" w:color="000000"/>
              <w:right w:val="single" w:sz="4" w:space="0" w:color="000000"/>
            </w:tcBorders>
            <w:shd w:color="auto" w:fill="auto" w:val="clear"/>
            <w:vAlign w:val="center"/>
          </w:tcPr>
          <w:p>
            <w:pPr>
              <w:pStyle w:val="Normal"/>
              <w:jc w:val="center"/>
              <w:rPr>
                <w:lang w:eastAsia="ru-RU"/>
              </w:rPr>
            </w:pPr>
            <w:r>
              <w:rPr>
                <w:sz w:val="20"/>
                <w:szCs w:val="20"/>
              </w:rPr>
              <w:t>0,102</w:t>
            </w:r>
          </w:p>
        </w:tc>
        <w:tc>
          <w:tcPr>
            <w:tcW w:w="1163" w:type="dxa"/>
            <w:tcBorders>
              <w:top w:val="single" w:sz="4" w:space="0" w:color="000000"/>
              <w:bottom w:val="single" w:sz="4" w:space="0" w:color="000000"/>
              <w:right w:val="single" w:sz="4" w:space="0" w:color="000000"/>
            </w:tcBorders>
            <w:shd w:color="auto" w:fill="auto" w:val="clear"/>
            <w:vAlign w:val="center"/>
          </w:tcPr>
          <w:p>
            <w:pPr>
              <w:pStyle w:val="Normal"/>
              <w:jc w:val="center"/>
              <w:rPr>
                <w:lang w:eastAsia="ru-RU"/>
              </w:rPr>
            </w:pPr>
            <w:r>
              <w:rPr>
                <w:sz w:val="20"/>
                <w:szCs w:val="20"/>
              </w:rPr>
              <w:t>0,102</w:t>
            </w:r>
          </w:p>
        </w:tc>
        <w:tc>
          <w:tcPr>
            <w:tcW w:w="1441" w:type="dxa"/>
            <w:tcBorders>
              <w:top w:val="single" w:sz="4" w:space="0" w:color="000000"/>
              <w:bottom w:val="single" w:sz="4" w:space="0" w:color="000000"/>
              <w:right w:val="single" w:sz="4" w:space="0" w:color="000000"/>
            </w:tcBorders>
            <w:shd w:color="auto" w:fill="auto" w:val="clear"/>
            <w:vAlign w:val="center"/>
          </w:tcPr>
          <w:p>
            <w:pPr>
              <w:pStyle w:val="Normal"/>
              <w:jc w:val="center"/>
              <w:rPr>
                <w:lang w:eastAsia="ru-RU"/>
              </w:rPr>
            </w:pPr>
            <w:r>
              <w:rPr>
                <w:sz w:val="20"/>
                <w:szCs w:val="20"/>
              </w:rPr>
              <w:t>5,058</w:t>
            </w:r>
          </w:p>
        </w:tc>
        <w:tc>
          <w:tcPr>
            <w:tcW w:w="964" w:type="dxa"/>
            <w:tcBorders>
              <w:top w:val="single" w:sz="4" w:space="0" w:color="000000"/>
              <w:bottom w:val="single" w:sz="4" w:space="0" w:color="000000"/>
              <w:right w:val="single" w:sz="4" w:space="0" w:color="000000"/>
            </w:tcBorders>
            <w:shd w:color="auto" w:fill="auto" w:val="clear"/>
            <w:vAlign w:val="center"/>
          </w:tcPr>
          <w:p>
            <w:pPr>
              <w:pStyle w:val="Normal"/>
              <w:jc w:val="center"/>
              <w:rPr>
                <w:lang w:eastAsia="ru-RU"/>
              </w:rPr>
            </w:pPr>
            <w:r>
              <w:rPr>
                <w:sz w:val="20"/>
                <w:szCs w:val="20"/>
              </w:rPr>
              <w:t>1,98</w:t>
            </w:r>
          </w:p>
        </w:tc>
      </w:tr>
      <w:tr>
        <w:trPr>
          <w:trHeight w:val="131" w:hRule="atLeast"/>
        </w:trPr>
        <w:tc>
          <w:tcPr>
            <w:tcW w:w="345" w:type="dxa"/>
            <w:vMerge w:val="continue"/>
            <w:tcBorders>
              <w:left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r>
          </w:p>
        </w:tc>
        <w:tc>
          <w:tcPr>
            <w:tcW w:w="1601" w:type="dxa"/>
            <w:vMerge w:val="continue"/>
            <w:tcBorders>
              <w:left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r>
          </w:p>
        </w:tc>
        <w:tc>
          <w:tcPr>
            <w:tcW w:w="586" w:type="dxa"/>
            <w:tcBorders>
              <w:top w:val="single" w:sz="4" w:space="0" w:color="000000"/>
              <w:bottom w:val="single" w:sz="4" w:space="0" w:color="000000"/>
              <w:right w:val="single" w:sz="4" w:space="0" w:color="000000"/>
            </w:tcBorders>
            <w:shd w:color="auto" w:fill="auto" w:val="clear"/>
            <w:vAlign w:val="center"/>
          </w:tcPr>
          <w:p>
            <w:pPr>
              <w:pStyle w:val="Normal"/>
              <w:jc w:val="center"/>
              <w:rPr>
                <w:lang w:eastAsia="ru-RU"/>
              </w:rPr>
            </w:pPr>
            <w:r>
              <w:rPr>
                <w:sz w:val="20"/>
                <w:szCs w:val="20"/>
                <w:lang w:eastAsia="ru-RU"/>
              </w:rPr>
              <w:t>2025</w:t>
            </w:r>
          </w:p>
        </w:tc>
        <w:tc>
          <w:tcPr>
            <w:tcW w:w="1598" w:type="dxa"/>
            <w:tcBorders>
              <w:top w:val="single" w:sz="4" w:space="0" w:color="000000"/>
              <w:bottom w:val="single" w:sz="4" w:space="0" w:color="000000"/>
              <w:right w:val="single" w:sz="4" w:space="0" w:color="000000"/>
            </w:tcBorders>
            <w:shd w:color="auto" w:fill="auto" w:val="clear"/>
            <w:vAlign w:val="center"/>
          </w:tcPr>
          <w:p>
            <w:pPr>
              <w:pStyle w:val="Normal"/>
              <w:jc w:val="center"/>
              <w:rPr>
                <w:lang w:eastAsia="ru-RU"/>
              </w:rPr>
            </w:pPr>
            <w:r>
              <w:rPr>
                <w:sz w:val="20"/>
                <w:szCs w:val="20"/>
              </w:rPr>
              <w:t>5,16</w:t>
            </w:r>
          </w:p>
        </w:tc>
        <w:tc>
          <w:tcPr>
            <w:tcW w:w="1540" w:type="dxa"/>
            <w:tcBorders>
              <w:top w:val="single" w:sz="4" w:space="0" w:color="000000"/>
              <w:bottom w:val="single" w:sz="4" w:space="0" w:color="000000"/>
              <w:right w:val="single" w:sz="4" w:space="0" w:color="000000"/>
            </w:tcBorders>
            <w:shd w:color="auto" w:fill="auto" w:val="clear"/>
            <w:vAlign w:val="center"/>
          </w:tcPr>
          <w:p>
            <w:pPr>
              <w:pStyle w:val="Normal"/>
              <w:jc w:val="center"/>
              <w:rPr>
                <w:lang w:eastAsia="ru-RU"/>
              </w:rPr>
            </w:pPr>
            <w:r>
              <w:rPr>
                <w:sz w:val="20"/>
                <w:szCs w:val="20"/>
              </w:rPr>
              <w:t>5,16</w:t>
            </w:r>
          </w:p>
        </w:tc>
        <w:tc>
          <w:tcPr>
            <w:tcW w:w="1141" w:type="dxa"/>
            <w:tcBorders>
              <w:top w:val="single" w:sz="4" w:space="0" w:color="000000"/>
              <w:bottom w:val="single" w:sz="4" w:space="0" w:color="000000"/>
              <w:right w:val="single" w:sz="4" w:space="0" w:color="000000"/>
            </w:tcBorders>
            <w:shd w:color="auto" w:fill="auto" w:val="clear"/>
            <w:vAlign w:val="center"/>
          </w:tcPr>
          <w:p>
            <w:pPr>
              <w:pStyle w:val="Normal"/>
              <w:jc w:val="center"/>
              <w:rPr>
                <w:lang w:eastAsia="ru-RU"/>
              </w:rPr>
            </w:pPr>
            <w:r>
              <w:rPr>
                <w:sz w:val="20"/>
                <w:szCs w:val="20"/>
              </w:rPr>
              <w:t>5,05</w:t>
            </w:r>
          </w:p>
        </w:tc>
        <w:tc>
          <w:tcPr>
            <w:tcW w:w="1407" w:type="dxa"/>
            <w:tcBorders>
              <w:top w:val="single" w:sz="4" w:space="0" w:color="000000"/>
              <w:bottom w:val="single" w:sz="4" w:space="0" w:color="000000"/>
              <w:right w:val="single" w:sz="4" w:space="0" w:color="000000"/>
            </w:tcBorders>
            <w:shd w:color="auto" w:fill="auto" w:val="clear"/>
            <w:vAlign w:val="center"/>
          </w:tcPr>
          <w:p>
            <w:pPr>
              <w:pStyle w:val="Normal"/>
              <w:jc w:val="center"/>
              <w:rPr>
                <w:lang w:eastAsia="ru-RU"/>
              </w:rPr>
            </w:pPr>
            <w:r>
              <w:rPr>
                <w:sz w:val="20"/>
                <w:szCs w:val="20"/>
              </w:rPr>
              <w:t>0,0</w:t>
            </w:r>
          </w:p>
        </w:tc>
        <w:tc>
          <w:tcPr>
            <w:tcW w:w="1001" w:type="dxa"/>
            <w:tcBorders>
              <w:top w:val="single" w:sz="4" w:space="0" w:color="000000"/>
              <w:bottom w:val="single" w:sz="4" w:space="0" w:color="000000"/>
              <w:right w:val="single" w:sz="4" w:space="0" w:color="000000"/>
            </w:tcBorders>
            <w:shd w:color="auto" w:fill="auto" w:val="clear"/>
            <w:vAlign w:val="center"/>
          </w:tcPr>
          <w:p>
            <w:pPr>
              <w:pStyle w:val="Normal"/>
              <w:jc w:val="center"/>
              <w:rPr>
                <w:lang w:eastAsia="ru-RU"/>
              </w:rPr>
            </w:pPr>
            <w:r>
              <w:rPr>
                <w:sz w:val="20"/>
                <w:szCs w:val="20"/>
              </w:rPr>
              <w:t>0,0</w:t>
            </w:r>
          </w:p>
        </w:tc>
        <w:tc>
          <w:tcPr>
            <w:tcW w:w="1782" w:type="dxa"/>
            <w:gridSpan w:val="2"/>
            <w:tcBorders>
              <w:top w:val="single" w:sz="4" w:space="0" w:color="000000"/>
              <w:bottom w:val="single" w:sz="4" w:space="0" w:color="000000"/>
              <w:right w:val="single" w:sz="4" w:space="0" w:color="000000"/>
            </w:tcBorders>
            <w:shd w:color="auto" w:fill="auto" w:val="clear"/>
            <w:vAlign w:val="center"/>
          </w:tcPr>
          <w:p>
            <w:pPr>
              <w:pStyle w:val="Normal"/>
              <w:jc w:val="center"/>
              <w:rPr>
                <w:lang w:eastAsia="ru-RU"/>
              </w:rPr>
            </w:pPr>
            <w:r>
              <w:rPr>
                <w:sz w:val="20"/>
                <w:szCs w:val="20"/>
              </w:rPr>
              <w:t>0,102</w:t>
            </w:r>
          </w:p>
        </w:tc>
        <w:tc>
          <w:tcPr>
            <w:tcW w:w="1163" w:type="dxa"/>
            <w:tcBorders>
              <w:top w:val="single" w:sz="4" w:space="0" w:color="000000"/>
              <w:bottom w:val="single" w:sz="4" w:space="0" w:color="000000"/>
              <w:right w:val="single" w:sz="4" w:space="0" w:color="000000"/>
            </w:tcBorders>
            <w:shd w:color="auto" w:fill="auto" w:val="clear"/>
            <w:vAlign w:val="center"/>
          </w:tcPr>
          <w:p>
            <w:pPr>
              <w:pStyle w:val="Normal"/>
              <w:jc w:val="center"/>
              <w:rPr>
                <w:lang w:eastAsia="ru-RU"/>
              </w:rPr>
            </w:pPr>
            <w:r>
              <w:rPr>
                <w:sz w:val="20"/>
                <w:szCs w:val="20"/>
              </w:rPr>
              <w:t>0,102</w:t>
            </w:r>
          </w:p>
        </w:tc>
        <w:tc>
          <w:tcPr>
            <w:tcW w:w="1441" w:type="dxa"/>
            <w:tcBorders>
              <w:top w:val="single" w:sz="4" w:space="0" w:color="000000"/>
              <w:bottom w:val="single" w:sz="4" w:space="0" w:color="000000"/>
              <w:right w:val="single" w:sz="4" w:space="0" w:color="000000"/>
            </w:tcBorders>
            <w:shd w:color="auto" w:fill="auto" w:val="clear"/>
            <w:vAlign w:val="center"/>
          </w:tcPr>
          <w:p>
            <w:pPr>
              <w:pStyle w:val="Normal"/>
              <w:jc w:val="center"/>
              <w:rPr>
                <w:lang w:eastAsia="ru-RU"/>
              </w:rPr>
            </w:pPr>
            <w:r>
              <w:rPr>
                <w:sz w:val="20"/>
                <w:szCs w:val="20"/>
              </w:rPr>
              <w:t>5,058</w:t>
            </w:r>
          </w:p>
        </w:tc>
        <w:tc>
          <w:tcPr>
            <w:tcW w:w="964" w:type="dxa"/>
            <w:tcBorders>
              <w:top w:val="single" w:sz="4" w:space="0" w:color="000000"/>
              <w:bottom w:val="single" w:sz="4" w:space="0" w:color="000000"/>
              <w:right w:val="single" w:sz="4" w:space="0" w:color="000000"/>
            </w:tcBorders>
            <w:shd w:color="auto" w:fill="auto" w:val="clear"/>
            <w:vAlign w:val="center"/>
          </w:tcPr>
          <w:p>
            <w:pPr>
              <w:pStyle w:val="Normal"/>
              <w:jc w:val="center"/>
              <w:rPr>
                <w:lang w:eastAsia="ru-RU"/>
              </w:rPr>
            </w:pPr>
            <w:r>
              <w:rPr>
                <w:sz w:val="20"/>
                <w:szCs w:val="20"/>
              </w:rPr>
              <w:t>1,98</w:t>
            </w:r>
          </w:p>
        </w:tc>
      </w:tr>
      <w:tr>
        <w:trPr>
          <w:trHeight w:val="131" w:hRule="atLeast"/>
        </w:trPr>
        <w:tc>
          <w:tcPr>
            <w:tcW w:w="345" w:type="dxa"/>
            <w:vMerge w:val="continue"/>
            <w:tcBorders>
              <w:left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r>
          </w:p>
        </w:tc>
        <w:tc>
          <w:tcPr>
            <w:tcW w:w="1601" w:type="dxa"/>
            <w:vMerge w:val="continue"/>
            <w:tcBorders>
              <w:left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r>
          </w:p>
        </w:tc>
        <w:tc>
          <w:tcPr>
            <w:tcW w:w="586" w:type="dxa"/>
            <w:tcBorders>
              <w:top w:val="single" w:sz="4" w:space="0" w:color="000000"/>
              <w:bottom w:val="single" w:sz="4" w:space="0" w:color="000000"/>
              <w:right w:val="single" w:sz="4" w:space="0" w:color="000000"/>
            </w:tcBorders>
            <w:shd w:color="auto" w:fill="auto" w:val="clear"/>
            <w:vAlign w:val="center"/>
          </w:tcPr>
          <w:p>
            <w:pPr>
              <w:pStyle w:val="Normal"/>
              <w:jc w:val="center"/>
              <w:rPr>
                <w:lang w:eastAsia="ru-RU"/>
              </w:rPr>
            </w:pPr>
            <w:r>
              <w:rPr>
                <w:sz w:val="20"/>
                <w:szCs w:val="20"/>
                <w:lang w:eastAsia="ru-RU"/>
              </w:rPr>
              <w:t>2026</w:t>
            </w:r>
          </w:p>
        </w:tc>
        <w:tc>
          <w:tcPr>
            <w:tcW w:w="1598" w:type="dxa"/>
            <w:tcBorders>
              <w:top w:val="single" w:sz="4" w:space="0" w:color="000000"/>
              <w:bottom w:val="single" w:sz="4" w:space="0" w:color="000000"/>
              <w:right w:val="single" w:sz="4" w:space="0" w:color="000000"/>
            </w:tcBorders>
            <w:shd w:color="auto" w:fill="auto" w:val="clear"/>
            <w:vAlign w:val="center"/>
          </w:tcPr>
          <w:p>
            <w:pPr>
              <w:pStyle w:val="Normal"/>
              <w:jc w:val="center"/>
              <w:rPr>
                <w:lang w:eastAsia="ru-RU"/>
              </w:rPr>
            </w:pPr>
            <w:r>
              <w:rPr>
                <w:sz w:val="20"/>
                <w:szCs w:val="20"/>
              </w:rPr>
              <w:t>5,16</w:t>
            </w:r>
          </w:p>
        </w:tc>
        <w:tc>
          <w:tcPr>
            <w:tcW w:w="1540" w:type="dxa"/>
            <w:tcBorders>
              <w:top w:val="single" w:sz="4" w:space="0" w:color="000000"/>
              <w:bottom w:val="single" w:sz="4" w:space="0" w:color="000000"/>
              <w:right w:val="single" w:sz="4" w:space="0" w:color="000000"/>
            </w:tcBorders>
            <w:shd w:color="auto" w:fill="auto" w:val="clear"/>
            <w:vAlign w:val="center"/>
          </w:tcPr>
          <w:p>
            <w:pPr>
              <w:pStyle w:val="Normal"/>
              <w:jc w:val="center"/>
              <w:rPr>
                <w:lang w:eastAsia="ru-RU"/>
              </w:rPr>
            </w:pPr>
            <w:r>
              <w:rPr>
                <w:sz w:val="20"/>
                <w:szCs w:val="20"/>
              </w:rPr>
              <w:t>5,16</w:t>
            </w:r>
          </w:p>
        </w:tc>
        <w:tc>
          <w:tcPr>
            <w:tcW w:w="1141" w:type="dxa"/>
            <w:tcBorders>
              <w:top w:val="single" w:sz="4" w:space="0" w:color="000000"/>
              <w:bottom w:val="single" w:sz="4" w:space="0" w:color="000000"/>
              <w:right w:val="single" w:sz="4" w:space="0" w:color="000000"/>
            </w:tcBorders>
            <w:shd w:color="auto" w:fill="auto" w:val="clear"/>
            <w:vAlign w:val="center"/>
          </w:tcPr>
          <w:p>
            <w:pPr>
              <w:pStyle w:val="Normal"/>
              <w:jc w:val="center"/>
              <w:rPr>
                <w:lang w:eastAsia="ru-RU"/>
              </w:rPr>
            </w:pPr>
            <w:r>
              <w:rPr>
                <w:sz w:val="20"/>
                <w:szCs w:val="20"/>
              </w:rPr>
              <w:t>5,05</w:t>
            </w:r>
          </w:p>
        </w:tc>
        <w:tc>
          <w:tcPr>
            <w:tcW w:w="1407" w:type="dxa"/>
            <w:tcBorders>
              <w:top w:val="single" w:sz="4" w:space="0" w:color="000000"/>
              <w:bottom w:val="single" w:sz="4" w:space="0" w:color="000000"/>
              <w:right w:val="single" w:sz="4" w:space="0" w:color="000000"/>
            </w:tcBorders>
            <w:shd w:color="auto" w:fill="auto" w:val="clear"/>
            <w:vAlign w:val="center"/>
          </w:tcPr>
          <w:p>
            <w:pPr>
              <w:pStyle w:val="Normal"/>
              <w:jc w:val="center"/>
              <w:rPr>
                <w:lang w:eastAsia="ru-RU"/>
              </w:rPr>
            </w:pPr>
            <w:r>
              <w:rPr>
                <w:sz w:val="20"/>
                <w:szCs w:val="20"/>
              </w:rPr>
              <w:t>0,0</w:t>
            </w:r>
          </w:p>
        </w:tc>
        <w:tc>
          <w:tcPr>
            <w:tcW w:w="1001" w:type="dxa"/>
            <w:tcBorders>
              <w:top w:val="single" w:sz="4" w:space="0" w:color="000000"/>
              <w:bottom w:val="single" w:sz="4" w:space="0" w:color="000000"/>
              <w:right w:val="single" w:sz="4" w:space="0" w:color="000000"/>
            </w:tcBorders>
            <w:shd w:color="auto" w:fill="auto" w:val="clear"/>
            <w:vAlign w:val="center"/>
          </w:tcPr>
          <w:p>
            <w:pPr>
              <w:pStyle w:val="Normal"/>
              <w:jc w:val="center"/>
              <w:rPr>
                <w:lang w:eastAsia="ru-RU"/>
              </w:rPr>
            </w:pPr>
            <w:r>
              <w:rPr>
                <w:sz w:val="20"/>
                <w:szCs w:val="20"/>
              </w:rPr>
              <w:t>0,0</w:t>
            </w:r>
          </w:p>
        </w:tc>
        <w:tc>
          <w:tcPr>
            <w:tcW w:w="1782" w:type="dxa"/>
            <w:gridSpan w:val="2"/>
            <w:tcBorders>
              <w:top w:val="single" w:sz="4" w:space="0" w:color="000000"/>
              <w:bottom w:val="single" w:sz="4" w:space="0" w:color="000000"/>
              <w:right w:val="single" w:sz="4" w:space="0" w:color="000000"/>
            </w:tcBorders>
            <w:shd w:color="auto" w:fill="auto" w:val="clear"/>
            <w:vAlign w:val="center"/>
          </w:tcPr>
          <w:p>
            <w:pPr>
              <w:pStyle w:val="Normal"/>
              <w:jc w:val="center"/>
              <w:rPr>
                <w:lang w:eastAsia="ru-RU"/>
              </w:rPr>
            </w:pPr>
            <w:r>
              <w:rPr>
                <w:sz w:val="20"/>
                <w:szCs w:val="20"/>
              </w:rPr>
              <w:t>0,102</w:t>
            </w:r>
          </w:p>
        </w:tc>
        <w:tc>
          <w:tcPr>
            <w:tcW w:w="1163" w:type="dxa"/>
            <w:tcBorders>
              <w:top w:val="single" w:sz="4" w:space="0" w:color="000000"/>
              <w:bottom w:val="single" w:sz="4" w:space="0" w:color="000000"/>
              <w:right w:val="single" w:sz="4" w:space="0" w:color="000000"/>
            </w:tcBorders>
            <w:shd w:color="auto" w:fill="auto" w:val="clear"/>
            <w:vAlign w:val="center"/>
          </w:tcPr>
          <w:p>
            <w:pPr>
              <w:pStyle w:val="Normal"/>
              <w:jc w:val="center"/>
              <w:rPr>
                <w:lang w:eastAsia="ru-RU"/>
              </w:rPr>
            </w:pPr>
            <w:r>
              <w:rPr>
                <w:sz w:val="20"/>
                <w:szCs w:val="20"/>
              </w:rPr>
              <w:t>0,102</w:t>
            </w:r>
          </w:p>
        </w:tc>
        <w:tc>
          <w:tcPr>
            <w:tcW w:w="1441" w:type="dxa"/>
            <w:tcBorders>
              <w:top w:val="single" w:sz="4" w:space="0" w:color="000000"/>
              <w:bottom w:val="single" w:sz="4" w:space="0" w:color="000000"/>
              <w:right w:val="single" w:sz="4" w:space="0" w:color="000000"/>
            </w:tcBorders>
            <w:shd w:color="auto" w:fill="auto" w:val="clear"/>
            <w:vAlign w:val="center"/>
          </w:tcPr>
          <w:p>
            <w:pPr>
              <w:pStyle w:val="Normal"/>
              <w:jc w:val="center"/>
              <w:rPr>
                <w:lang w:eastAsia="ru-RU"/>
              </w:rPr>
            </w:pPr>
            <w:r>
              <w:rPr>
                <w:sz w:val="20"/>
                <w:szCs w:val="20"/>
              </w:rPr>
              <w:t>5,058</w:t>
            </w:r>
          </w:p>
        </w:tc>
        <w:tc>
          <w:tcPr>
            <w:tcW w:w="964" w:type="dxa"/>
            <w:tcBorders>
              <w:top w:val="single" w:sz="4" w:space="0" w:color="000000"/>
              <w:bottom w:val="single" w:sz="4" w:space="0" w:color="000000"/>
              <w:right w:val="single" w:sz="4" w:space="0" w:color="000000"/>
            </w:tcBorders>
            <w:shd w:color="auto" w:fill="auto" w:val="clear"/>
            <w:vAlign w:val="center"/>
          </w:tcPr>
          <w:p>
            <w:pPr>
              <w:pStyle w:val="Normal"/>
              <w:jc w:val="center"/>
              <w:rPr>
                <w:lang w:eastAsia="ru-RU"/>
              </w:rPr>
            </w:pPr>
            <w:r>
              <w:rPr>
                <w:sz w:val="20"/>
                <w:szCs w:val="20"/>
              </w:rPr>
              <w:t>1,98</w:t>
            </w:r>
          </w:p>
        </w:tc>
      </w:tr>
      <w:tr>
        <w:trPr>
          <w:trHeight w:val="131" w:hRule="atLeast"/>
        </w:trPr>
        <w:tc>
          <w:tcPr>
            <w:tcW w:w="345" w:type="dxa"/>
            <w:vMerge w:val="continue"/>
            <w:tcBorders>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r>
          </w:p>
        </w:tc>
        <w:tc>
          <w:tcPr>
            <w:tcW w:w="1601" w:type="dxa"/>
            <w:vMerge w:val="continue"/>
            <w:tcBorders>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r>
          </w:p>
        </w:tc>
        <w:tc>
          <w:tcPr>
            <w:tcW w:w="586" w:type="dxa"/>
            <w:tcBorders>
              <w:top w:val="single" w:sz="4" w:space="0" w:color="000000"/>
              <w:bottom w:val="single" w:sz="4" w:space="0" w:color="000000"/>
              <w:right w:val="single" w:sz="4" w:space="0" w:color="000000"/>
            </w:tcBorders>
            <w:shd w:color="auto" w:fill="auto" w:val="clear"/>
            <w:vAlign w:val="center"/>
          </w:tcPr>
          <w:p>
            <w:pPr>
              <w:pStyle w:val="Normal"/>
              <w:jc w:val="center"/>
              <w:rPr>
                <w:lang w:eastAsia="ru-RU"/>
              </w:rPr>
            </w:pPr>
            <w:r>
              <w:rPr>
                <w:sz w:val="20"/>
                <w:szCs w:val="20"/>
                <w:lang w:eastAsia="ru-RU"/>
              </w:rPr>
              <w:t>2027</w:t>
            </w:r>
          </w:p>
        </w:tc>
        <w:tc>
          <w:tcPr>
            <w:tcW w:w="12037" w:type="dxa"/>
            <w:gridSpan w:val="10"/>
            <w:tcBorders>
              <w:top w:val="single" w:sz="4" w:space="0" w:color="000000"/>
              <w:bottom w:val="single" w:sz="4" w:space="0" w:color="000000"/>
              <w:right w:val="single" w:sz="4" w:space="0" w:color="000000"/>
            </w:tcBorders>
            <w:shd w:color="auto" w:fill="auto" w:val="clear"/>
            <w:vAlign w:val="center"/>
          </w:tcPr>
          <w:p>
            <w:pPr>
              <w:pStyle w:val="Normal"/>
              <w:jc w:val="center"/>
              <w:rPr>
                <w:lang w:eastAsia="ru-RU"/>
              </w:rPr>
            </w:pPr>
            <w:r>
              <w:rPr>
                <w:sz w:val="20"/>
                <w:szCs w:val="20"/>
                <w:lang w:eastAsia="ru-RU"/>
              </w:rPr>
              <w:t>Вывод из эксплуатации котельной № 7 по ул.Медицинская, 3Б с переключением нагрузки на котельную № 12 по ул.Медицинская, 3К</w:t>
            </w:r>
          </w:p>
        </w:tc>
      </w:tr>
      <w:tr>
        <w:trPr>
          <w:trHeight w:val="223" w:hRule="atLeast"/>
        </w:trPr>
        <w:tc>
          <w:tcPr>
            <w:tcW w:w="345" w:type="dxa"/>
            <w:vMerge w:val="restart"/>
            <w:tcBorders>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6</w:t>
            </w:r>
          </w:p>
        </w:tc>
        <w:tc>
          <w:tcPr>
            <w:tcW w:w="1601" w:type="dxa"/>
            <w:vMerge w:val="restart"/>
            <w:tcBorders>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котельная № 12, пгт.Октябрьское, ул.Медицинская, 3к</w:t>
            </w:r>
          </w:p>
        </w:tc>
        <w:tc>
          <w:tcPr>
            <w:tcW w:w="586" w:type="dxa"/>
            <w:tcBorders>
              <w:top w:val="single" w:sz="4" w:space="0" w:color="000000"/>
              <w:bottom w:val="single" w:sz="4" w:space="0" w:color="000000"/>
              <w:right w:val="single" w:sz="4" w:space="0" w:color="000000"/>
            </w:tcBorders>
            <w:shd w:color="auto" w:fill="auto" w:val="clear"/>
            <w:vAlign w:val="center"/>
          </w:tcPr>
          <w:p>
            <w:pPr>
              <w:pStyle w:val="Normal"/>
              <w:jc w:val="center"/>
              <w:rPr>
                <w:lang w:eastAsia="ru-RU"/>
              </w:rPr>
            </w:pPr>
            <w:r>
              <w:rPr>
                <w:sz w:val="20"/>
                <w:szCs w:val="20"/>
                <w:lang w:eastAsia="ru-RU"/>
              </w:rPr>
              <w:t>2024</w:t>
            </w:r>
          </w:p>
        </w:tc>
        <w:tc>
          <w:tcPr>
            <w:tcW w:w="1598" w:type="dxa"/>
            <w:tcBorders>
              <w:top w:val="single" w:sz="4" w:space="0" w:color="000000"/>
              <w:bottom w:val="single" w:sz="4" w:space="0" w:color="000000"/>
              <w:right w:val="single" w:sz="4" w:space="0" w:color="000000"/>
            </w:tcBorders>
            <w:shd w:color="auto" w:fill="auto" w:val="clear"/>
            <w:vAlign w:val="center"/>
          </w:tcPr>
          <w:p>
            <w:pPr>
              <w:pStyle w:val="Normal"/>
              <w:jc w:val="center"/>
              <w:rPr>
                <w:lang w:eastAsia="ru-RU"/>
              </w:rPr>
            </w:pPr>
            <w:r>
              <w:rPr>
                <w:sz w:val="20"/>
                <w:szCs w:val="20"/>
              </w:rPr>
              <w:t>4,30</w:t>
            </w:r>
          </w:p>
        </w:tc>
        <w:tc>
          <w:tcPr>
            <w:tcW w:w="1540" w:type="dxa"/>
            <w:tcBorders>
              <w:top w:val="single" w:sz="4" w:space="0" w:color="000000"/>
              <w:bottom w:val="single" w:sz="4" w:space="0" w:color="000000"/>
              <w:right w:val="single" w:sz="4" w:space="0" w:color="000000"/>
            </w:tcBorders>
            <w:shd w:color="auto" w:fill="auto" w:val="clear"/>
            <w:vAlign w:val="center"/>
          </w:tcPr>
          <w:p>
            <w:pPr>
              <w:pStyle w:val="Normal"/>
              <w:jc w:val="center"/>
              <w:rPr>
                <w:lang w:eastAsia="ru-RU"/>
              </w:rPr>
            </w:pPr>
            <w:r>
              <w:rPr>
                <w:sz w:val="20"/>
                <w:szCs w:val="20"/>
              </w:rPr>
              <w:t>4,30</w:t>
            </w:r>
          </w:p>
        </w:tc>
        <w:tc>
          <w:tcPr>
            <w:tcW w:w="1141" w:type="dxa"/>
            <w:tcBorders>
              <w:top w:val="single" w:sz="4" w:space="0" w:color="000000"/>
              <w:bottom w:val="single" w:sz="4" w:space="0" w:color="000000"/>
              <w:right w:val="single" w:sz="4" w:space="0" w:color="000000"/>
            </w:tcBorders>
            <w:shd w:color="auto" w:fill="auto" w:val="clear"/>
            <w:vAlign w:val="center"/>
          </w:tcPr>
          <w:p>
            <w:pPr>
              <w:pStyle w:val="Normal"/>
              <w:jc w:val="center"/>
              <w:rPr>
                <w:lang w:eastAsia="ru-RU"/>
              </w:rPr>
            </w:pPr>
            <w:r>
              <w:rPr>
                <w:sz w:val="20"/>
                <w:szCs w:val="20"/>
              </w:rPr>
              <w:t>4,15</w:t>
            </w:r>
          </w:p>
        </w:tc>
        <w:tc>
          <w:tcPr>
            <w:tcW w:w="1407" w:type="dxa"/>
            <w:tcBorders>
              <w:top w:val="single" w:sz="4" w:space="0" w:color="000000"/>
              <w:bottom w:val="single" w:sz="4" w:space="0" w:color="000000"/>
              <w:right w:val="single" w:sz="4" w:space="0" w:color="000000"/>
            </w:tcBorders>
            <w:shd w:color="auto" w:fill="auto" w:val="clear"/>
            <w:vAlign w:val="center"/>
          </w:tcPr>
          <w:p>
            <w:pPr>
              <w:pStyle w:val="Normal"/>
              <w:jc w:val="center"/>
              <w:rPr>
                <w:lang w:eastAsia="ru-RU"/>
              </w:rPr>
            </w:pPr>
            <w:r>
              <w:rPr>
                <w:sz w:val="20"/>
                <w:szCs w:val="20"/>
              </w:rPr>
              <w:t>0,0</w:t>
            </w:r>
          </w:p>
        </w:tc>
        <w:tc>
          <w:tcPr>
            <w:tcW w:w="1013" w:type="dxa"/>
            <w:gridSpan w:val="2"/>
            <w:tcBorders>
              <w:top w:val="single" w:sz="4" w:space="0" w:color="000000"/>
              <w:bottom w:val="single" w:sz="4" w:space="0" w:color="000000"/>
              <w:right w:val="single" w:sz="4" w:space="0" w:color="000000"/>
            </w:tcBorders>
            <w:shd w:color="auto" w:fill="auto" w:val="clear"/>
            <w:vAlign w:val="center"/>
          </w:tcPr>
          <w:p>
            <w:pPr>
              <w:pStyle w:val="Normal"/>
              <w:jc w:val="center"/>
              <w:rPr>
                <w:lang w:eastAsia="ru-RU"/>
              </w:rPr>
            </w:pPr>
            <w:r>
              <w:rPr>
                <w:sz w:val="20"/>
                <w:szCs w:val="20"/>
              </w:rPr>
              <w:t>0,0</w:t>
            </w:r>
          </w:p>
        </w:tc>
        <w:tc>
          <w:tcPr>
            <w:tcW w:w="1770" w:type="dxa"/>
            <w:tcBorders>
              <w:top w:val="single" w:sz="4" w:space="0" w:color="000000"/>
              <w:bottom w:val="single" w:sz="4" w:space="0" w:color="000000"/>
              <w:right w:val="single" w:sz="4" w:space="0" w:color="000000"/>
            </w:tcBorders>
            <w:shd w:color="auto" w:fill="auto" w:val="clear"/>
            <w:vAlign w:val="center"/>
          </w:tcPr>
          <w:p>
            <w:pPr>
              <w:pStyle w:val="Normal"/>
              <w:jc w:val="center"/>
              <w:rPr>
                <w:lang w:eastAsia="ru-RU"/>
              </w:rPr>
            </w:pPr>
            <w:r>
              <w:rPr>
                <w:sz w:val="20"/>
                <w:szCs w:val="20"/>
              </w:rPr>
              <w:t>2,50</w:t>
            </w:r>
          </w:p>
        </w:tc>
        <w:tc>
          <w:tcPr>
            <w:tcW w:w="1163" w:type="dxa"/>
            <w:tcBorders>
              <w:top w:val="single" w:sz="4" w:space="0" w:color="000000"/>
              <w:bottom w:val="single" w:sz="4" w:space="0" w:color="000000"/>
              <w:right w:val="single" w:sz="4" w:space="0" w:color="000000"/>
            </w:tcBorders>
            <w:shd w:color="auto" w:fill="auto" w:val="clear"/>
            <w:vAlign w:val="center"/>
          </w:tcPr>
          <w:p>
            <w:pPr>
              <w:pStyle w:val="Normal"/>
              <w:jc w:val="center"/>
              <w:rPr>
                <w:lang w:eastAsia="ru-RU"/>
              </w:rPr>
            </w:pPr>
            <w:r>
              <w:rPr>
                <w:sz w:val="20"/>
                <w:szCs w:val="20"/>
                <w:lang w:eastAsia="ru-RU"/>
              </w:rPr>
              <w:t>2,50</w:t>
            </w:r>
          </w:p>
        </w:tc>
        <w:tc>
          <w:tcPr>
            <w:tcW w:w="1441" w:type="dxa"/>
            <w:tcBorders>
              <w:top w:val="single" w:sz="4" w:space="0" w:color="000000"/>
              <w:bottom w:val="single" w:sz="4" w:space="0" w:color="000000"/>
              <w:right w:val="single" w:sz="4" w:space="0" w:color="000000"/>
            </w:tcBorders>
            <w:shd w:color="auto" w:fill="auto" w:val="clear"/>
            <w:vAlign w:val="center"/>
          </w:tcPr>
          <w:p>
            <w:pPr>
              <w:pStyle w:val="Normal"/>
              <w:jc w:val="center"/>
              <w:rPr>
                <w:lang w:eastAsia="ru-RU"/>
              </w:rPr>
            </w:pPr>
            <w:r>
              <w:rPr>
                <w:sz w:val="20"/>
                <w:szCs w:val="20"/>
              </w:rPr>
              <w:t>1,8</w:t>
            </w:r>
          </w:p>
        </w:tc>
        <w:tc>
          <w:tcPr>
            <w:tcW w:w="964" w:type="dxa"/>
            <w:tcBorders>
              <w:top w:val="single" w:sz="4" w:space="0" w:color="000000"/>
              <w:bottom w:val="single" w:sz="4" w:space="0" w:color="000000"/>
              <w:right w:val="single" w:sz="4" w:space="0" w:color="000000"/>
            </w:tcBorders>
            <w:shd w:color="auto" w:fill="auto" w:val="clear"/>
            <w:vAlign w:val="center"/>
          </w:tcPr>
          <w:p>
            <w:pPr>
              <w:pStyle w:val="Normal"/>
              <w:jc w:val="center"/>
              <w:rPr>
                <w:lang w:eastAsia="ru-RU"/>
              </w:rPr>
            </w:pPr>
            <w:r>
              <w:rPr>
                <w:sz w:val="20"/>
                <w:szCs w:val="20"/>
              </w:rPr>
              <w:t>58,14</w:t>
            </w:r>
          </w:p>
        </w:tc>
      </w:tr>
      <w:tr>
        <w:trPr>
          <w:trHeight w:val="20" w:hRule="atLeast"/>
        </w:trPr>
        <w:tc>
          <w:tcPr>
            <w:tcW w:w="345" w:type="dxa"/>
            <w:vMerge w:val="continue"/>
            <w:tcBorders>
              <w:left w:val="single" w:sz="4" w:space="0" w:color="000000"/>
              <w:bottom w:val="single" w:sz="4" w:space="0" w:color="000000"/>
              <w:right w:val="single" w:sz="4" w:space="0" w:color="000000"/>
            </w:tcBorders>
            <w:shd w:color="auto" w:fill="auto" w:val="clear"/>
            <w:vAlign w:val="center"/>
          </w:tcPr>
          <w:p>
            <w:pPr>
              <w:pStyle w:val="Normal"/>
              <w:rPr>
                <w:sz w:val="20"/>
                <w:szCs w:val="20"/>
                <w:lang w:eastAsia="ru-RU"/>
              </w:rPr>
            </w:pPr>
            <w:r>
              <w:rPr>
                <w:sz w:val="20"/>
                <w:szCs w:val="20"/>
                <w:lang w:eastAsia="ru-RU"/>
              </w:rPr>
            </w:r>
          </w:p>
        </w:tc>
        <w:tc>
          <w:tcPr>
            <w:tcW w:w="1601" w:type="dxa"/>
            <w:vMerge w:val="continue"/>
            <w:tcBorders>
              <w:left w:val="single" w:sz="4" w:space="0" w:color="000000"/>
              <w:bottom w:val="single" w:sz="4" w:space="0" w:color="000000"/>
              <w:right w:val="single" w:sz="4" w:space="0" w:color="000000"/>
            </w:tcBorders>
            <w:shd w:color="auto" w:fill="auto" w:val="clear"/>
            <w:vAlign w:val="center"/>
          </w:tcPr>
          <w:p>
            <w:pPr>
              <w:pStyle w:val="Normal"/>
              <w:rPr>
                <w:sz w:val="20"/>
                <w:szCs w:val="20"/>
                <w:lang w:eastAsia="ru-RU"/>
              </w:rPr>
            </w:pPr>
            <w:r>
              <w:rPr>
                <w:sz w:val="20"/>
                <w:szCs w:val="20"/>
                <w:lang w:eastAsia="ru-RU"/>
              </w:rPr>
            </w:r>
          </w:p>
        </w:tc>
        <w:tc>
          <w:tcPr>
            <w:tcW w:w="586" w:type="dxa"/>
            <w:tcBorders>
              <w:top w:val="single" w:sz="4" w:space="0" w:color="000000"/>
              <w:bottom w:val="single" w:sz="4" w:space="0" w:color="000000"/>
              <w:right w:val="single" w:sz="4" w:space="0" w:color="000000"/>
            </w:tcBorders>
            <w:shd w:color="auto" w:fill="auto" w:val="clear"/>
            <w:vAlign w:val="center"/>
          </w:tcPr>
          <w:p>
            <w:pPr>
              <w:pStyle w:val="Normal"/>
              <w:jc w:val="center"/>
              <w:rPr>
                <w:lang w:eastAsia="ru-RU"/>
              </w:rPr>
            </w:pPr>
            <w:r>
              <w:rPr>
                <w:sz w:val="20"/>
                <w:szCs w:val="20"/>
                <w:lang w:eastAsia="ru-RU"/>
              </w:rPr>
              <w:t>2025</w:t>
            </w:r>
          </w:p>
        </w:tc>
        <w:tc>
          <w:tcPr>
            <w:tcW w:w="1598" w:type="dxa"/>
            <w:tcBorders>
              <w:top w:val="single" w:sz="4" w:space="0" w:color="000000"/>
              <w:bottom w:val="single" w:sz="4" w:space="0" w:color="000000"/>
              <w:right w:val="single" w:sz="4" w:space="0" w:color="000000"/>
            </w:tcBorders>
            <w:shd w:color="auto" w:fill="auto" w:val="clear"/>
            <w:vAlign w:val="center"/>
          </w:tcPr>
          <w:p>
            <w:pPr>
              <w:pStyle w:val="Normal"/>
              <w:jc w:val="center"/>
              <w:rPr>
                <w:lang w:eastAsia="ru-RU"/>
              </w:rPr>
            </w:pPr>
            <w:r>
              <w:rPr>
                <w:sz w:val="20"/>
                <w:szCs w:val="20"/>
              </w:rPr>
              <w:t>4,30</w:t>
            </w:r>
          </w:p>
        </w:tc>
        <w:tc>
          <w:tcPr>
            <w:tcW w:w="1540" w:type="dxa"/>
            <w:tcBorders>
              <w:top w:val="single" w:sz="4" w:space="0" w:color="000000"/>
              <w:bottom w:val="single" w:sz="4" w:space="0" w:color="000000"/>
              <w:right w:val="single" w:sz="4" w:space="0" w:color="000000"/>
            </w:tcBorders>
            <w:shd w:color="auto" w:fill="auto" w:val="clear"/>
            <w:vAlign w:val="center"/>
          </w:tcPr>
          <w:p>
            <w:pPr>
              <w:pStyle w:val="Normal"/>
              <w:jc w:val="center"/>
              <w:rPr>
                <w:lang w:eastAsia="ru-RU"/>
              </w:rPr>
            </w:pPr>
            <w:r>
              <w:rPr>
                <w:sz w:val="20"/>
                <w:szCs w:val="20"/>
              </w:rPr>
              <w:t>4,30</w:t>
            </w:r>
          </w:p>
        </w:tc>
        <w:tc>
          <w:tcPr>
            <w:tcW w:w="1141" w:type="dxa"/>
            <w:tcBorders>
              <w:top w:val="single" w:sz="4" w:space="0" w:color="000000"/>
              <w:bottom w:val="single" w:sz="4" w:space="0" w:color="000000"/>
              <w:right w:val="single" w:sz="4" w:space="0" w:color="000000"/>
            </w:tcBorders>
            <w:shd w:color="auto" w:fill="auto" w:val="clear"/>
            <w:vAlign w:val="center"/>
          </w:tcPr>
          <w:p>
            <w:pPr>
              <w:pStyle w:val="Normal"/>
              <w:jc w:val="center"/>
              <w:rPr>
                <w:lang w:eastAsia="ru-RU"/>
              </w:rPr>
            </w:pPr>
            <w:r>
              <w:rPr>
                <w:sz w:val="20"/>
                <w:szCs w:val="20"/>
              </w:rPr>
              <w:t>4,15</w:t>
            </w:r>
          </w:p>
        </w:tc>
        <w:tc>
          <w:tcPr>
            <w:tcW w:w="1407" w:type="dxa"/>
            <w:tcBorders>
              <w:top w:val="single" w:sz="4" w:space="0" w:color="000000"/>
              <w:bottom w:val="single" w:sz="4" w:space="0" w:color="000000"/>
              <w:right w:val="single" w:sz="4" w:space="0" w:color="000000"/>
            </w:tcBorders>
            <w:shd w:color="auto" w:fill="auto" w:val="clear"/>
            <w:vAlign w:val="center"/>
          </w:tcPr>
          <w:p>
            <w:pPr>
              <w:pStyle w:val="Normal"/>
              <w:jc w:val="center"/>
              <w:rPr>
                <w:lang w:eastAsia="ru-RU"/>
              </w:rPr>
            </w:pPr>
            <w:r>
              <w:rPr>
                <w:sz w:val="20"/>
                <w:szCs w:val="20"/>
              </w:rPr>
              <w:t>0,0</w:t>
            </w:r>
          </w:p>
        </w:tc>
        <w:tc>
          <w:tcPr>
            <w:tcW w:w="1013" w:type="dxa"/>
            <w:gridSpan w:val="2"/>
            <w:tcBorders>
              <w:top w:val="single" w:sz="4" w:space="0" w:color="000000"/>
              <w:bottom w:val="single" w:sz="4" w:space="0" w:color="000000"/>
              <w:right w:val="single" w:sz="4" w:space="0" w:color="000000"/>
            </w:tcBorders>
            <w:shd w:color="auto" w:fill="auto" w:val="clear"/>
            <w:vAlign w:val="center"/>
          </w:tcPr>
          <w:p>
            <w:pPr>
              <w:pStyle w:val="Normal"/>
              <w:jc w:val="center"/>
              <w:rPr>
                <w:lang w:eastAsia="ru-RU"/>
              </w:rPr>
            </w:pPr>
            <w:r>
              <w:rPr>
                <w:sz w:val="20"/>
                <w:szCs w:val="20"/>
              </w:rPr>
              <w:t>0,0</w:t>
            </w:r>
          </w:p>
        </w:tc>
        <w:tc>
          <w:tcPr>
            <w:tcW w:w="1770" w:type="dxa"/>
            <w:tcBorders>
              <w:top w:val="single" w:sz="4" w:space="0" w:color="000000"/>
              <w:bottom w:val="single" w:sz="4" w:space="0" w:color="000000"/>
              <w:right w:val="single" w:sz="4" w:space="0" w:color="000000"/>
            </w:tcBorders>
            <w:shd w:color="auto" w:fill="auto" w:val="clear"/>
            <w:vAlign w:val="center"/>
          </w:tcPr>
          <w:p>
            <w:pPr>
              <w:pStyle w:val="Normal"/>
              <w:jc w:val="center"/>
              <w:rPr>
                <w:lang w:eastAsia="ru-RU"/>
              </w:rPr>
            </w:pPr>
            <w:r>
              <w:rPr>
                <w:sz w:val="20"/>
                <w:szCs w:val="20"/>
              </w:rPr>
              <w:t>2,50</w:t>
            </w:r>
          </w:p>
        </w:tc>
        <w:tc>
          <w:tcPr>
            <w:tcW w:w="1163" w:type="dxa"/>
            <w:tcBorders>
              <w:top w:val="single" w:sz="4" w:space="0" w:color="000000"/>
              <w:bottom w:val="single" w:sz="4" w:space="0" w:color="000000"/>
              <w:right w:val="single" w:sz="4" w:space="0" w:color="000000"/>
            </w:tcBorders>
            <w:shd w:color="auto" w:fill="auto" w:val="clear"/>
            <w:vAlign w:val="center"/>
          </w:tcPr>
          <w:p>
            <w:pPr>
              <w:pStyle w:val="Normal"/>
              <w:jc w:val="center"/>
              <w:rPr>
                <w:lang w:eastAsia="ru-RU"/>
              </w:rPr>
            </w:pPr>
            <w:r>
              <w:rPr>
                <w:sz w:val="20"/>
                <w:szCs w:val="20"/>
                <w:lang w:eastAsia="ru-RU"/>
              </w:rPr>
              <w:t>2,50</w:t>
            </w:r>
          </w:p>
        </w:tc>
        <w:tc>
          <w:tcPr>
            <w:tcW w:w="1441" w:type="dxa"/>
            <w:tcBorders>
              <w:top w:val="single" w:sz="4" w:space="0" w:color="000000"/>
              <w:bottom w:val="single" w:sz="4" w:space="0" w:color="000000"/>
              <w:right w:val="single" w:sz="4" w:space="0" w:color="000000"/>
            </w:tcBorders>
            <w:shd w:color="auto" w:fill="auto" w:val="clear"/>
            <w:vAlign w:val="center"/>
          </w:tcPr>
          <w:p>
            <w:pPr>
              <w:pStyle w:val="Normal"/>
              <w:jc w:val="center"/>
              <w:rPr>
                <w:lang w:eastAsia="ru-RU"/>
              </w:rPr>
            </w:pPr>
            <w:r>
              <w:rPr>
                <w:sz w:val="20"/>
                <w:szCs w:val="20"/>
              </w:rPr>
              <w:t>1,8</w:t>
            </w:r>
          </w:p>
        </w:tc>
        <w:tc>
          <w:tcPr>
            <w:tcW w:w="964" w:type="dxa"/>
            <w:tcBorders>
              <w:top w:val="single" w:sz="4" w:space="0" w:color="000000"/>
              <w:bottom w:val="single" w:sz="4" w:space="0" w:color="000000"/>
              <w:right w:val="single" w:sz="4" w:space="0" w:color="000000"/>
            </w:tcBorders>
            <w:shd w:color="auto" w:fill="auto" w:val="clear"/>
            <w:vAlign w:val="center"/>
          </w:tcPr>
          <w:p>
            <w:pPr>
              <w:pStyle w:val="Normal"/>
              <w:jc w:val="center"/>
              <w:rPr>
                <w:lang w:eastAsia="ru-RU"/>
              </w:rPr>
            </w:pPr>
            <w:r>
              <w:rPr>
                <w:sz w:val="20"/>
                <w:szCs w:val="20"/>
              </w:rPr>
              <w:t>58,14</w:t>
            </w:r>
          </w:p>
        </w:tc>
      </w:tr>
      <w:tr>
        <w:trPr>
          <w:trHeight w:val="20" w:hRule="atLeast"/>
        </w:trPr>
        <w:tc>
          <w:tcPr>
            <w:tcW w:w="345" w:type="dxa"/>
            <w:vMerge w:val="continue"/>
            <w:tcBorders>
              <w:left w:val="single" w:sz="4" w:space="0" w:color="000000"/>
              <w:bottom w:val="single" w:sz="4" w:space="0" w:color="000000"/>
              <w:right w:val="single" w:sz="4" w:space="0" w:color="000000"/>
            </w:tcBorders>
            <w:shd w:color="auto" w:fill="auto" w:val="clear"/>
            <w:vAlign w:val="center"/>
          </w:tcPr>
          <w:p>
            <w:pPr>
              <w:pStyle w:val="Normal"/>
              <w:rPr>
                <w:sz w:val="20"/>
                <w:szCs w:val="20"/>
                <w:lang w:eastAsia="ru-RU"/>
              </w:rPr>
            </w:pPr>
            <w:r>
              <w:rPr>
                <w:sz w:val="20"/>
                <w:szCs w:val="20"/>
                <w:lang w:eastAsia="ru-RU"/>
              </w:rPr>
            </w:r>
          </w:p>
        </w:tc>
        <w:tc>
          <w:tcPr>
            <w:tcW w:w="1601" w:type="dxa"/>
            <w:vMerge w:val="continue"/>
            <w:tcBorders>
              <w:left w:val="single" w:sz="4" w:space="0" w:color="000000"/>
              <w:bottom w:val="single" w:sz="4" w:space="0" w:color="000000"/>
              <w:right w:val="single" w:sz="4" w:space="0" w:color="000000"/>
            </w:tcBorders>
            <w:shd w:color="auto" w:fill="auto" w:val="clear"/>
            <w:vAlign w:val="center"/>
          </w:tcPr>
          <w:p>
            <w:pPr>
              <w:pStyle w:val="Normal"/>
              <w:rPr>
                <w:sz w:val="20"/>
                <w:szCs w:val="20"/>
                <w:lang w:eastAsia="ru-RU"/>
              </w:rPr>
            </w:pPr>
            <w:r>
              <w:rPr>
                <w:sz w:val="20"/>
                <w:szCs w:val="20"/>
                <w:lang w:eastAsia="ru-RU"/>
              </w:rPr>
            </w:r>
          </w:p>
        </w:tc>
        <w:tc>
          <w:tcPr>
            <w:tcW w:w="586" w:type="dxa"/>
            <w:tcBorders>
              <w:bottom w:val="single" w:sz="4" w:space="0" w:color="000000"/>
              <w:right w:val="single" w:sz="4" w:space="0" w:color="000000"/>
            </w:tcBorders>
            <w:shd w:color="auto" w:fill="auto" w:val="clear"/>
            <w:vAlign w:val="center"/>
          </w:tcPr>
          <w:p>
            <w:pPr>
              <w:pStyle w:val="Normal"/>
              <w:jc w:val="center"/>
              <w:rPr>
                <w:lang w:eastAsia="ru-RU"/>
              </w:rPr>
            </w:pPr>
            <w:r>
              <w:rPr>
                <w:sz w:val="20"/>
                <w:szCs w:val="20"/>
                <w:lang w:eastAsia="ru-RU"/>
              </w:rPr>
              <w:t>2026</w:t>
            </w:r>
          </w:p>
        </w:tc>
        <w:tc>
          <w:tcPr>
            <w:tcW w:w="1598" w:type="dxa"/>
            <w:tcBorders>
              <w:bottom w:val="single" w:sz="4" w:space="0" w:color="000000"/>
              <w:right w:val="single" w:sz="4" w:space="0" w:color="000000"/>
            </w:tcBorders>
            <w:shd w:color="auto" w:fill="auto" w:val="clear"/>
            <w:vAlign w:val="center"/>
          </w:tcPr>
          <w:p>
            <w:pPr>
              <w:pStyle w:val="Normal"/>
              <w:jc w:val="center"/>
              <w:rPr>
                <w:lang w:eastAsia="ru-RU"/>
              </w:rPr>
            </w:pPr>
            <w:r>
              <w:rPr>
                <w:sz w:val="20"/>
                <w:szCs w:val="20"/>
              </w:rPr>
              <w:t>4,30</w:t>
            </w:r>
          </w:p>
        </w:tc>
        <w:tc>
          <w:tcPr>
            <w:tcW w:w="1540" w:type="dxa"/>
            <w:tcBorders>
              <w:bottom w:val="single" w:sz="4" w:space="0" w:color="000000"/>
              <w:right w:val="single" w:sz="4" w:space="0" w:color="000000"/>
            </w:tcBorders>
            <w:shd w:color="auto" w:fill="auto" w:val="clear"/>
            <w:vAlign w:val="center"/>
          </w:tcPr>
          <w:p>
            <w:pPr>
              <w:pStyle w:val="Normal"/>
              <w:jc w:val="center"/>
              <w:rPr>
                <w:lang w:eastAsia="ru-RU"/>
              </w:rPr>
            </w:pPr>
            <w:r>
              <w:rPr>
                <w:sz w:val="20"/>
                <w:szCs w:val="20"/>
              </w:rPr>
              <w:t>4,30</w:t>
            </w:r>
          </w:p>
        </w:tc>
        <w:tc>
          <w:tcPr>
            <w:tcW w:w="1141" w:type="dxa"/>
            <w:tcBorders>
              <w:bottom w:val="single" w:sz="4" w:space="0" w:color="000000"/>
              <w:right w:val="single" w:sz="4" w:space="0" w:color="000000"/>
            </w:tcBorders>
            <w:shd w:color="auto" w:fill="auto" w:val="clear"/>
            <w:vAlign w:val="center"/>
          </w:tcPr>
          <w:p>
            <w:pPr>
              <w:pStyle w:val="Normal"/>
              <w:jc w:val="center"/>
              <w:rPr>
                <w:lang w:eastAsia="ru-RU"/>
              </w:rPr>
            </w:pPr>
            <w:r>
              <w:rPr>
                <w:sz w:val="20"/>
                <w:szCs w:val="20"/>
              </w:rPr>
              <w:t>4,15</w:t>
            </w:r>
          </w:p>
        </w:tc>
        <w:tc>
          <w:tcPr>
            <w:tcW w:w="1407" w:type="dxa"/>
            <w:tcBorders>
              <w:bottom w:val="single" w:sz="4" w:space="0" w:color="000000"/>
              <w:right w:val="single" w:sz="4" w:space="0" w:color="000000"/>
            </w:tcBorders>
            <w:shd w:color="auto" w:fill="auto" w:val="clear"/>
            <w:vAlign w:val="center"/>
          </w:tcPr>
          <w:p>
            <w:pPr>
              <w:pStyle w:val="Normal"/>
              <w:jc w:val="center"/>
              <w:rPr>
                <w:lang w:eastAsia="ru-RU"/>
              </w:rPr>
            </w:pPr>
            <w:r>
              <w:rPr>
                <w:sz w:val="20"/>
                <w:szCs w:val="20"/>
              </w:rPr>
              <w:t>0,0</w:t>
            </w:r>
          </w:p>
        </w:tc>
        <w:tc>
          <w:tcPr>
            <w:tcW w:w="1013" w:type="dxa"/>
            <w:gridSpan w:val="2"/>
            <w:tcBorders>
              <w:bottom w:val="single" w:sz="4" w:space="0" w:color="000000"/>
              <w:right w:val="single" w:sz="4" w:space="0" w:color="000000"/>
            </w:tcBorders>
            <w:shd w:color="auto" w:fill="auto" w:val="clear"/>
            <w:vAlign w:val="center"/>
          </w:tcPr>
          <w:p>
            <w:pPr>
              <w:pStyle w:val="Normal"/>
              <w:jc w:val="center"/>
              <w:rPr>
                <w:lang w:eastAsia="ru-RU"/>
              </w:rPr>
            </w:pPr>
            <w:r>
              <w:rPr>
                <w:sz w:val="20"/>
                <w:szCs w:val="20"/>
              </w:rPr>
              <w:t>0,0</w:t>
            </w:r>
          </w:p>
        </w:tc>
        <w:tc>
          <w:tcPr>
            <w:tcW w:w="1770" w:type="dxa"/>
            <w:tcBorders>
              <w:bottom w:val="single" w:sz="4" w:space="0" w:color="000000"/>
              <w:right w:val="single" w:sz="4" w:space="0" w:color="000000"/>
            </w:tcBorders>
            <w:shd w:color="auto" w:fill="auto" w:val="clear"/>
            <w:vAlign w:val="center"/>
          </w:tcPr>
          <w:p>
            <w:pPr>
              <w:pStyle w:val="Normal"/>
              <w:jc w:val="center"/>
              <w:rPr>
                <w:lang w:eastAsia="ru-RU"/>
              </w:rPr>
            </w:pPr>
            <w:r>
              <w:rPr>
                <w:sz w:val="20"/>
                <w:szCs w:val="20"/>
              </w:rPr>
              <w:t>2,50</w:t>
            </w:r>
          </w:p>
        </w:tc>
        <w:tc>
          <w:tcPr>
            <w:tcW w:w="1163" w:type="dxa"/>
            <w:tcBorders>
              <w:bottom w:val="single" w:sz="4" w:space="0" w:color="000000"/>
              <w:right w:val="single" w:sz="4" w:space="0" w:color="000000"/>
            </w:tcBorders>
            <w:shd w:color="auto" w:fill="auto" w:val="clear"/>
            <w:vAlign w:val="center"/>
          </w:tcPr>
          <w:p>
            <w:pPr>
              <w:pStyle w:val="Normal"/>
              <w:jc w:val="center"/>
              <w:rPr>
                <w:lang w:eastAsia="ru-RU"/>
              </w:rPr>
            </w:pPr>
            <w:r>
              <w:rPr>
                <w:sz w:val="20"/>
                <w:szCs w:val="20"/>
                <w:lang w:eastAsia="ru-RU"/>
              </w:rPr>
              <w:t>2,50</w:t>
            </w:r>
          </w:p>
        </w:tc>
        <w:tc>
          <w:tcPr>
            <w:tcW w:w="1441" w:type="dxa"/>
            <w:tcBorders>
              <w:bottom w:val="single" w:sz="4" w:space="0" w:color="000000"/>
              <w:right w:val="single" w:sz="4" w:space="0" w:color="000000"/>
            </w:tcBorders>
            <w:shd w:color="auto" w:fill="auto" w:val="clear"/>
            <w:vAlign w:val="center"/>
          </w:tcPr>
          <w:p>
            <w:pPr>
              <w:pStyle w:val="Normal"/>
              <w:jc w:val="center"/>
              <w:rPr>
                <w:lang w:eastAsia="ru-RU"/>
              </w:rPr>
            </w:pPr>
            <w:r>
              <w:rPr>
                <w:sz w:val="20"/>
                <w:szCs w:val="20"/>
              </w:rPr>
              <w:t>1,8</w:t>
            </w:r>
          </w:p>
        </w:tc>
        <w:tc>
          <w:tcPr>
            <w:tcW w:w="964" w:type="dxa"/>
            <w:tcBorders>
              <w:bottom w:val="single" w:sz="4" w:space="0" w:color="000000"/>
              <w:right w:val="single" w:sz="4" w:space="0" w:color="000000"/>
            </w:tcBorders>
            <w:shd w:color="auto" w:fill="auto" w:val="clear"/>
            <w:vAlign w:val="center"/>
          </w:tcPr>
          <w:p>
            <w:pPr>
              <w:pStyle w:val="Normal"/>
              <w:jc w:val="center"/>
              <w:rPr>
                <w:lang w:eastAsia="ru-RU"/>
              </w:rPr>
            </w:pPr>
            <w:r>
              <w:rPr>
                <w:sz w:val="20"/>
                <w:szCs w:val="20"/>
              </w:rPr>
              <w:t>58,14</w:t>
            </w:r>
          </w:p>
        </w:tc>
      </w:tr>
      <w:tr>
        <w:trPr>
          <w:trHeight w:val="20" w:hRule="atLeast"/>
        </w:trPr>
        <w:tc>
          <w:tcPr>
            <w:tcW w:w="345" w:type="dxa"/>
            <w:vMerge w:val="continue"/>
            <w:tcBorders>
              <w:left w:val="single" w:sz="4" w:space="0" w:color="000000"/>
              <w:bottom w:val="single" w:sz="4" w:space="0" w:color="000000"/>
              <w:right w:val="single" w:sz="4" w:space="0" w:color="000000"/>
            </w:tcBorders>
            <w:shd w:color="auto" w:fill="auto" w:val="clear"/>
            <w:vAlign w:val="center"/>
          </w:tcPr>
          <w:p>
            <w:pPr>
              <w:pStyle w:val="Normal"/>
              <w:rPr>
                <w:sz w:val="20"/>
                <w:szCs w:val="20"/>
                <w:lang w:eastAsia="ru-RU"/>
              </w:rPr>
            </w:pPr>
            <w:r>
              <w:rPr>
                <w:sz w:val="20"/>
                <w:szCs w:val="20"/>
                <w:lang w:eastAsia="ru-RU"/>
              </w:rPr>
            </w:r>
          </w:p>
        </w:tc>
        <w:tc>
          <w:tcPr>
            <w:tcW w:w="1601" w:type="dxa"/>
            <w:vMerge w:val="continue"/>
            <w:tcBorders>
              <w:left w:val="single" w:sz="4" w:space="0" w:color="000000"/>
              <w:bottom w:val="single" w:sz="4" w:space="0" w:color="000000"/>
              <w:right w:val="single" w:sz="4" w:space="0" w:color="000000"/>
            </w:tcBorders>
            <w:shd w:color="auto" w:fill="auto" w:val="clear"/>
            <w:vAlign w:val="center"/>
          </w:tcPr>
          <w:p>
            <w:pPr>
              <w:pStyle w:val="Normal"/>
              <w:rPr>
                <w:sz w:val="20"/>
                <w:szCs w:val="20"/>
                <w:lang w:eastAsia="ru-RU"/>
              </w:rPr>
            </w:pPr>
            <w:r>
              <w:rPr>
                <w:sz w:val="20"/>
                <w:szCs w:val="20"/>
                <w:lang w:eastAsia="ru-RU"/>
              </w:rPr>
            </w:r>
          </w:p>
        </w:tc>
        <w:tc>
          <w:tcPr>
            <w:tcW w:w="586" w:type="dxa"/>
            <w:tcBorders>
              <w:bottom w:val="single" w:sz="4" w:space="0" w:color="000000"/>
              <w:right w:val="single" w:sz="4" w:space="0" w:color="000000"/>
            </w:tcBorders>
            <w:shd w:color="auto" w:fill="auto" w:val="clear"/>
            <w:vAlign w:val="center"/>
          </w:tcPr>
          <w:p>
            <w:pPr>
              <w:pStyle w:val="Normal"/>
              <w:jc w:val="center"/>
              <w:rPr>
                <w:lang w:eastAsia="ru-RU"/>
              </w:rPr>
            </w:pPr>
            <w:r>
              <w:rPr>
                <w:sz w:val="20"/>
                <w:szCs w:val="20"/>
                <w:lang w:eastAsia="ru-RU"/>
              </w:rPr>
              <w:t>2027</w:t>
            </w:r>
          </w:p>
        </w:tc>
        <w:tc>
          <w:tcPr>
            <w:tcW w:w="1598" w:type="dxa"/>
            <w:tcBorders>
              <w:bottom w:val="single" w:sz="4" w:space="0" w:color="000000"/>
              <w:right w:val="single" w:sz="4" w:space="0" w:color="000000"/>
            </w:tcBorders>
            <w:shd w:color="auto" w:fill="auto" w:val="clear"/>
            <w:vAlign w:val="center"/>
          </w:tcPr>
          <w:p>
            <w:pPr>
              <w:pStyle w:val="Normal"/>
              <w:jc w:val="center"/>
              <w:rPr>
                <w:lang w:eastAsia="ru-RU"/>
              </w:rPr>
            </w:pPr>
            <w:r>
              <w:rPr>
                <w:sz w:val="20"/>
                <w:szCs w:val="20"/>
              </w:rPr>
              <w:t>4,30</w:t>
            </w:r>
          </w:p>
        </w:tc>
        <w:tc>
          <w:tcPr>
            <w:tcW w:w="1540" w:type="dxa"/>
            <w:tcBorders>
              <w:bottom w:val="single" w:sz="4" w:space="0" w:color="000000"/>
              <w:right w:val="single" w:sz="4" w:space="0" w:color="000000"/>
            </w:tcBorders>
            <w:shd w:color="auto" w:fill="auto" w:val="clear"/>
            <w:vAlign w:val="center"/>
          </w:tcPr>
          <w:p>
            <w:pPr>
              <w:pStyle w:val="Normal"/>
              <w:jc w:val="center"/>
              <w:rPr>
                <w:lang w:eastAsia="ru-RU"/>
              </w:rPr>
            </w:pPr>
            <w:r>
              <w:rPr>
                <w:sz w:val="20"/>
                <w:szCs w:val="20"/>
              </w:rPr>
              <w:t>4,30</w:t>
            </w:r>
          </w:p>
        </w:tc>
        <w:tc>
          <w:tcPr>
            <w:tcW w:w="1141" w:type="dxa"/>
            <w:tcBorders>
              <w:bottom w:val="single" w:sz="4" w:space="0" w:color="000000"/>
              <w:right w:val="single" w:sz="4" w:space="0" w:color="000000"/>
            </w:tcBorders>
            <w:shd w:color="auto" w:fill="auto" w:val="clear"/>
            <w:vAlign w:val="center"/>
          </w:tcPr>
          <w:p>
            <w:pPr>
              <w:pStyle w:val="Normal"/>
              <w:jc w:val="center"/>
              <w:rPr>
                <w:lang w:eastAsia="ru-RU"/>
              </w:rPr>
            </w:pPr>
            <w:r>
              <w:rPr>
                <w:sz w:val="20"/>
                <w:szCs w:val="20"/>
              </w:rPr>
              <w:t>4,15</w:t>
            </w:r>
          </w:p>
        </w:tc>
        <w:tc>
          <w:tcPr>
            <w:tcW w:w="1407" w:type="dxa"/>
            <w:tcBorders>
              <w:bottom w:val="single" w:sz="4" w:space="0" w:color="000000"/>
              <w:right w:val="single" w:sz="4" w:space="0" w:color="000000"/>
            </w:tcBorders>
            <w:shd w:color="auto" w:fill="auto" w:val="clear"/>
            <w:vAlign w:val="center"/>
          </w:tcPr>
          <w:p>
            <w:pPr>
              <w:pStyle w:val="Normal"/>
              <w:jc w:val="center"/>
              <w:rPr>
                <w:lang w:eastAsia="ru-RU"/>
              </w:rPr>
            </w:pPr>
            <w:r>
              <w:rPr>
                <w:sz w:val="20"/>
                <w:szCs w:val="20"/>
              </w:rPr>
              <w:t>0,0</w:t>
            </w:r>
          </w:p>
        </w:tc>
        <w:tc>
          <w:tcPr>
            <w:tcW w:w="1013" w:type="dxa"/>
            <w:gridSpan w:val="2"/>
            <w:tcBorders>
              <w:bottom w:val="single" w:sz="4" w:space="0" w:color="000000"/>
              <w:right w:val="single" w:sz="4" w:space="0" w:color="000000"/>
            </w:tcBorders>
            <w:shd w:color="auto" w:fill="auto" w:val="clear"/>
            <w:vAlign w:val="center"/>
          </w:tcPr>
          <w:p>
            <w:pPr>
              <w:pStyle w:val="Normal"/>
              <w:jc w:val="center"/>
              <w:rPr>
                <w:lang w:eastAsia="ru-RU"/>
              </w:rPr>
            </w:pPr>
            <w:r>
              <w:rPr>
                <w:sz w:val="20"/>
                <w:szCs w:val="20"/>
              </w:rPr>
              <w:t>0,0</w:t>
            </w:r>
          </w:p>
        </w:tc>
        <w:tc>
          <w:tcPr>
            <w:tcW w:w="1770" w:type="dxa"/>
            <w:tcBorders>
              <w:bottom w:val="single" w:sz="4" w:space="0" w:color="000000"/>
              <w:right w:val="single" w:sz="4" w:space="0" w:color="000000"/>
            </w:tcBorders>
            <w:shd w:color="auto" w:fill="auto" w:val="clear"/>
            <w:vAlign w:val="center"/>
          </w:tcPr>
          <w:p>
            <w:pPr>
              <w:pStyle w:val="Normal"/>
              <w:jc w:val="center"/>
              <w:rPr>
                <w:lang w:eastAsia="ru-RU"/>
              </w:rPr>
            </w:pPr>
            <w:r>
              <w:rPr>
                <w:sz w:val="20"/>
                <w:szCs w:val="20"/>
              </w:rPr>
              <w:t>2,598</w:t>
            </w:r>
          </w:p>
        </w:tc>
        <w:tc>
          <w:tcPr>
            <w:tcW w:w="1163" w:type="dxa"/>
            <w:tcBorders>
              <w:bottom w:val="single" w:sz="4" w:space="0" w:color="000000"/>
              <w:right w:val="single" w:sz="4" w:space="0" w:color="000000"/>
            </w:tcBorders>
            <w:shd w:color="auto" w:fill="auto" w:val="clear"/>
            <w:vAlign w:val="center"/>
          </w:tcPr>
          <w:p>
            <w:pPr>
              <w:pStyle w:val="Normal"/>
              <w:jc w:val="center"/>
              <w:rPr>
                <w:lang w:eastAsia="ru-RU"/>
              </w:rPr>
            </w:pPr>
            <w:r>
              <w:rPr>
                <w:sz w:val="20"/>
                <w:szCs w:val="20"/>
                <w:lang w:eastAsia="ru-RU"/>
              </w:rPr>
              <w:t>2,598</w:t>
            </w:r>
          </w:p>
        </w:tc>
        <w:tc>
          <w:tcPr>
            <w:tcW w:w="1441" w:type="dxa"/>
            <w:tcBorders>
              <w:bottom w:val="single" w:sz="4" w:space="0" w:color="000000"/>
              <w:right w:val="single" w:sz="4" w:space="0" w:color="000000"/>
            </w:tcBorders>
            <w:shd w:color="auto" w:fill="auto" w:val="clear"/>
            <w:vAlign w:val="center"/>
          </w:tcPr>
          <w:p>
            <w:pPr>
              <w:pStyle w:val="Normal"/>
              <w:jc w:val="center"/>
              <w:rPr>
                <w:lang w:eastAsia="ru-RU"/>
              </w:rPr>
            </w:pPr>
            <w:r>
              <w:rPr>
                <w:sz w:val="20"/>
                <w:szCs w:val="20"/>
              </w:rPr>
              <w:t>1,702</w:t>
            </w:r>
          </w:p>
        </w:tc>
        <w:tc>
          <w:tcPr>
            <w:tcW w:w="964" w:type="dxa"/>
            <w:tcBorders>
              <w:bottom w:val="single" w:sz="4" w:space="0" w:color="000000"/>
              <w:right w:val="single" w:sz="4" w:space="0" w:color="000000"/>
            </w:tcBorders>
            <w:shd w:color="auto" w:fill="auto" w:val="clear"/>
            <w:vAlign w:val="center"/>
          </w:tcPr>
          <w:p>
            <w:pPr>
              <w:pStyle w:val="Normal"/>
              <w:jc w:val="center"/>
              <w:rPr>
                <w:lang w:eastAsia="ru-RU"/>
              </w:rPr>
            </w:pPr>
            <w:r>
              <w:rPr>
                <w:sz w:val="20"/>
                <w:szCs w:val="20"/>
              </w:rPr>
              <w:t>60,42</w:t>
            </w:r>
          </w:p>
        </w:tc>
      </w:tr>
      <w:tr>
        <w:trPr>
          <w:trHeight w:val="20" w:hRule="atLeast"/>
        </w:trPr>
        <w:tc>
          <w:tcPr>
            <w:tcW w:w="345" w:type="dxa"/>
            <w:vMerge w:val="continue"/>
            <w:tcBorders>
              <w:left w:val="single" w:sz="4" w:space="0" w:color="000000"/>
              <w:bottom w:val="single" w:sz="4" w:space="0" w:color="000000"/>
              <w:right w:val="single" w:sz="4" w:space="0" w:color="000000"/>
            </w:tcBorders>
            <w:shd w:color="auto" w:fill="auto" w:val="clear"/>
            <w:vAlign w:val="center"/>
          </w:tcPr>
          <w:p>
            <w:pPr>
              <w:pStyle w:val="Normal"/>
              <w:rPr>
                <w:sz w:val="20"/>
                <w:szCs w:val="20"/>
                <w:lang w:eastAsia="ru-RU"/>
              </w:rPr>
            </w:pPr>
            <w:r>
              <w:rPr>
                <w:sz w:val="20"/>
                <w:szCs w:val="20"/>
                <w:lang w:eastAsia="ru-RU"/>
              </w:rPr>
            </w:r>
          </w:p>
        </w:tc>
        <w:tc>
          <w:tcPr>
            <w:tcW w:w="1601" w:type="dxa"/>
            <w:vMerge w:val="continue"/>
            <w:tcBorders>
              <w:left w:val="single" w:sz="4" w:space="0" w:color="000000"/>
              <w:bottom w:val="single" w:sz="4" w:space="0" w:color="000000"/>
              <w:right w:val="single" w:sz="4" w:space="0" w:color="000000"/>
            </w:tcBorders>
            <w:shd w:color="auto" w:fill="auto" w:val="clear"/>
            <w:vAlign w:val="center"/>
          </w:tcPr>
          <w:p>
            <w:pPr>
              <w:pStyle w:val="Normal"/>
              <w:rPr>
                <w:sz w:val="20"/>
                <w:szCs w:val="20"/>
                <w:lang w:eastAsia="ru-RU"/>
              </w:rPr>
            </w:pPr>
            <w:r>
              <w:rPr>
                <w:sz w:val="20"/>
                <w:szCs w:val="20"/>
                <w:lang w:eastAsia="ru-RU"/>
              </w:rPr>
            </w:r>
          </w:p>
        </w:tc>
        <w:tc>
          <w:tcPr>
            <w:tcW w:w="586" w:type="dxa"/>
            <w:tcBorders>
              <w:bottom w:val="single" w:sz="4" w:space="0" w:color="000000"/>
              <w:right w:val="single" w:sz="4" w:space="0" w:color="000000"/>
            </w:tcBorders>
            <w:shd w:color="auto" w:fill="auto" w:val="clear"/>
            <w:vAlign w:val="center"/>
          </w:tcPr>
          <w:p>
            <w:pPr>
              <w:pStyle w:val="Normal"/>
              <w:jc w:val="center"/>
              <w:rPr>
                <w:lang w:eastAsia="ru-RU"/>
              </w:rPr>
            </w:pPr>
            <w:r>
              <w:rPr>
                <w:sz w:val="20"/>
                <w:szCs w:val="20"/>
                <w:lang w:eastAsia="ru-RU"/>
              </w:rPr>
              <w:t>2028</w:t>
            </w:r>
          </w:p>
        </w:tc>
        <w:tc>
          <w:tcPr>
            <w:tcW w:w="1598" w:type="dxa"/>
            <w:tcBorders>
              <w:bottom w:val="single" w:sz="4" w:space="0" w:color="000000"/>
              <w:right w:val="single" w:sz="4" w:space="0" w:color="000000"/>
            </w:tcBorders>
            <w:shd w:color="auto" w:fill="auto" w:val="clear"/>
            <w:vAlign w:val="center"/>
          </w:tcPr>
          <w:p>
            <w:pPr>
              <w:pStyle w:val="Normal"/>
              <w:jc w:val="center"/>
              <w:rPr>
                <w:lang w:eastAsia="ru-RU"/>
              </w:rPr>
            </w:pPr>
            <w:r>
              <w:rPr>
                <w:sz w:val="20"/>
                <w:szCs w:val="20"/>
              </w:rPr>
              <w:t>4,30</w:t>
            </w:r>
          </w:p>
        </w:tc>
        <w:tc>
          <w:tcPr>
            <w:tcW w:w="1540" w:type="dxa"/>
            <w:tcBorders>
              <w:bottom w:val="single" w:sz="4" w:space="0" w:color="000000"/>
              <w:right w:val="single" w:sz="4" w:space="0" w:color="000000"/>
            </w:tcBorders>
            <w:shd w:color="auto" w:fill="auto" w:val="clear"/>
            <w:vAlign w:val="center"/>
          </w:tcPr>
          <w:p>
            <w:pPr>
              <w:pStyle w:val="Normal"/>
              <w:jc w:val="center"/>
              <w:rPr>
                <w:lang w:eastAsia="ru-RU"/>
              </w:rPr>
            </w:pPr>
            <w:r>
              <w:rPr>
                <w:sz w:val="20"/>
                <w:szCs w:val="20"/>
              </w:rPr>
              <w:t>4,30</w:t>
            </w:r>
          </w:p>
        </w:tc>
        <w:tc>
          <w:tcPr>
            <w:tcW w:w="1141" w:type="dxa"/>
            <w:tcBorders>
              <w:bottom w:val="single" w:sz="4" w:space="0" w:color="000000"/>
              <w:right w:val="single" w:sz="4" w:space="0" w:color="000000"/>
            </w:tcBorders>
            <w:shd w:color="auto" w:fill="auto" w:val="clear"/>
            <w:vAlign w:val="center"/>
          </w:tcPr>
          <w:p>
            <w:pPr>
              <w:pStyle w:val="Normal"/>
              <w:jc w:val="center"/>
              <w:rPr>
                <w:lang w:eastAsia="ru-RU"/>
              </w:rPr>
            </w:pPr>
            <w:r>
              <w:rPr>
                <w:sz w:val="20"/>
                <w:szCs w:val="20"/>
              </w:rPr>
              <w:t>4,15</w:t>
            </w:r>
          </w:p>
        </w:tc>
        <w:tc>
          <w:tcPr>
            <w:tcW w:w="1407" w:type="dxa"/>
            <w:tcBorders>
              <w:bottom w:val="single" w:sz="4" w:space="0" w:color="000000"/>
              <w:right w:val="single" w:sz="4" w:space="0" w:color="000000"/>
            </w:tcBorders>
            <w:shd w:color="auto" w:fill="auto" w:val="clear"/>
            <w:vAlign w:val="center"/>
          </w:tcPr>
          <w:p>
            <w:pPr>
              <w:pStyle w:val="Normal"/>
              <w:jc w:val="center"/>
              <w:rPr>
                <w:lang w:eastAsia="ru-RU"/>
              </w:rPr>
            </w:pPr>
            <w:r>
              <w:rPr>
                <w:sz w:val="20"/>
                <w:szCs w:val="20"/>
              </w:rPr>
              <w:t>0,0</w:t>
            </w:r>
          </w:p>
        </w:tc>
        <w:tc>
          <w:tcPr>
            <w:tcW w:w="1013" w:type="dxa"/>
            <w:gridSpan w:val="2"/>
            <w:tcBorders>
              <w:bottom w:val="single" w:sz="4" w:space="0" w:color="000000"/>
              <w:right w:val="single" w:sz="4" w:space="0" w:color="000000"/>
            </w:tcBorders>
            <w:shd w:color="auto" w:fill="auto" w:val="clear"/>
            <w:vAlign w:val="center"/>
          </w:tcPr>
          <w:p>
            <w:pPr>
              <w:pStyle w:val="Normal"/>
              <w:jc w:val="center"/>
              <w:rPr>
                <w:lang w:eastAsia="ru-RU"/>
              </w:rPr>
            </w:pPr>
            <w:r>
              <w:rPr>
                <w:sz w:val="20"/>
                <w:szCs w:val="20"/>
              </w:rPr>
              <w:t>0,0</w:t>
            </w:r>
          </w:p>
        </w:tc>
        <w:tc>
          <w:tcPr>
            <w:tcW w:w="1770" w:type="dxa"/>
            <w:tcBorders>
              <w:bottom w:val="single" w:sz="4" w:space="0" w:color="000000"/>
              <w:right w:val="single" w:sz="4" w:space="0" w:color="000000"/>
            </w:tcBorders>
            <w:shd w:color="auto" w:fill="auto" w:val="clear"/>
            <w:vAlign w:val="center"/>
          </w:tcPr>
          <w:p>
            <w:pPr>
              <w:pStyle w:val="Normal"/>
              <w:jc w:val="center"/>
              <w:rPr>
                <w:lang w:eastAsia="ru-RU"/>
              </w:rPr>
            </w:pPr>
            <w:r>
              <w:rPr>
                <w:sz w:val="20"/>
                <w:szCs w:val="20"/>
              </w:rPr>
              <w:t>2,598</w:t>
            </w:r>
          </w:p>
        </w:tc>
        <w:tc>
          <w:tcPr>
            <w:tcW w:w="1163" w:type="dxa"/>
            <w:tcBorders>
              <w:bottom w:val="single" w:sz="4" w:space="0" w:color="000000"/>
              <w:right w:val="single" w:sz="4" w:space="0" w:color="000000"/>
            </w:tcBorders>
            <w:shd w:color="auto" w:fill="auto" w:val="clear"/>
            <w:vAlign w:val="center"/>
          </w:tcPr>
          <w:p>
            <w:pPr>
              <w:pStyle w:val="Normal"/>
              <w:jc w:val="center"/>
              <w:rPr>
                <w:lang w:eastAsia="ru-RU"/>
              </w:rPr>
            </w:pPr>
            <w:r>
              <w:rPr>
                <w:sz w:val="20"/>
                <w:szCs w:val="20"/>
                <w:lang w:eastAsia="ru-RU"/>
              </w:rPr>
              <w:t>2,598</w:t>
            </w:r>
          </w:p>
        </w:tc>
        <w:tc>
          <w:tcPr>
            <w:tcW w:w="1441" w:type="dxa"/>
            <w:tcBorders>
              <w:bottom w:val="single" w:sz="4" w:space="0" w:color="000000"/>
              <w:right w:val="single" w:sz="4" w:space="0" w:color="000000"/>
            </w:tcBorders>
            <w:shd w:color="auto" w:fill="auto" w:val="clear"/>
            <w:vAlign w:val="center"/>
          </w:tcPr>
          <w:p>
            <w:pPr>
              <w:pStyle w:val="Normal"/>
              <w:jc w:val="center"/>
              <w:rPr>
                <w:lang w:eastAsia="ru-RU"/>
              </w:rPr>
            </w:pPr>
            <w:r>
              <w:rPr>
                <w:sz w:val="20"/>
                <w:szCs w:val="20"/>
              </w:rPr>
              <w:t>1,702</w:t>
            </w:r>
          </w:p>
        </w:tc>
        <w:tc>
          <w:tcPr>
            <w:tcW w:w="964" w:type="dxa"/>
            <w:tcBorders>
              <w:bottom w:val="single" w:sz="4" w:space="0" w:color="000000"/>
              <w:right w:val="single" w:sz="4" w:space="0" w:color="000000"/>
            </w:tcBorders>
            <w:shd w:color="auto" w:fill="auto" w:val="clear"/>
            <w:vAlign w:val="center"/>
          </w:tcPr>
          <w:p>
            <w:pPr>
              <w:pStyle w:val="Normal"/>
              <w:jc w:val="center"/>
              <w:rPr>
                <w:lang w:eastAsia="ru-RU"/>
              </w:rPr>
            </w:pPr>
            <w:r>
              <w:rPr>
                <w:sz w:val="20"/>
                <w:szCs w:val="20"/>
              </w:rPr>
              <w:t>60,42</w:t>
            </w:r>
          </w:p>
        </w:tc>
      </w:tr>
      <w:tr>
        <w:trPr>
          <w:trHeight w:val="20" w:hRule="atLeast"/>
        </w:trPr>
        <w:tc>
          <w:tcPr>
            <w:tcW w:w="345" w:type="dxa"/>
            <w:vMerge w:val="continue"/>
            <w:tcBorders>
              <w:left w:val="single" w:sz="4" w:space="0" w:color="000000"/>
              <w:bottom w:val="single" w:sz="4" w:space="0" w:color="000000"/>
              <w:right w:val="single" w:sz="4" w:space="0" w:color="000000"/>
            </w:tcBorders>
            <w:shd w:color="auto" w:fill="auto" w:val="clear"/>
            <w:vAlign w:val="center"/>
          </w:tcPr>
          <w:p>
            <w:pPr>
              <w:pStyle w:val="Normal"/>
              <w:rPr>
                <w:sz w:val="20"/>
                <w:szCs w:val="20"/>
                <w:lang w:eastAsia="ru-RU"/>
              </w:rPr>
            </w:pPr>
            <w:r>
              <w:rPr>
                <w:sz w:val="20"/>
                <w:szCs w:val="20"/>
                <w:lang w:eastAsia="ru-RU"/>
              </w:rPr>
            </w:r>
          </w:p>
        </w:tc>
        <w:tc>
          <w:tcPr>
            <w:tcW w:w="1601" w:type="dxa"/>
            <w:vMerge w:val="continue"/>
            <w:tcBorders>
              <w:left w:val="single" w:sz="4" w:space="0" w:color="000000"/>
              <w:bottom w:val="single" w:sz="4" w:space="0" w:color="000000"/>
              <w:right w:val="single" w:sz="4" w:space="0" w:color="000000"/>
            </w:tcBorders>
            <w:shd w:color="auto" w:fill="auto" w:val="clear"/>
            <w:vAlign w:val="center"/>
          </w:tcPr>
          <w:p>
            <w:pPr>
              <w:pStyle w:val="Normal"/>
              <w:rPr>
                <w:sz w:val="20"/>
                <w:szCs w:val="20"/>
                <w:lang w:eastAsia="ru-RU"/>
              </w:rPr>
            </w:pPr>
            <w:r>
              <w:rPr>
                <w:sz w:val="20"/>
                <w:szCs w:val="20"/>
                <w:lang w:eastAsia="ru-RU"/>
              </w:rPr>
            </w:r>
          </w:p>
        </w:tc>
        <w:tc>
          <w:tcPr>
            <w:tcW w:w="586" w:type="dxa"/>
            <w:tcBorders>
              <w:bottom w:val="single" w:sz="4" w:space="0" w:color="000000"/>
              <w:right w:val="single" w:sz="4" w:space="0" w:color="000000"/>
            </w:tcBorders>
            <w:shd w:color="auto" w:fill="auto" w:val="clear"/>
            <w:vAlign w:val="center"/>
          </w:tcPr>
          <w:p>
            <w:pPr>
              <w:pStyle w:val="Normal"/>
              <w:jc w:val="center"/>
              <w:rPr>
                <w:lang w:eastAsia="ru-RU"/>
              </w:rPr>
            </w:pPr>
            <w:r>
              <w:rPr>
                <w:sz w:val="20"/>
                <w:szCs w:val="20"/>
                <w:lang w:eastAsia="ru-RU"/>
              </w:rPr>
              <w:t>2029-2032</w:t>
            </w:r>
          </w:p>
        </w:tc>
        <w:tc>
          <w:tcPr>
            <w:tcW w:w="1598" w:type="dxa"/>
            <w:tcBorders>
              <w:bottom w:val="single" w:sz="4" w:space="0" w:color="000000"/>
              <w:right w:val="single" w:sz="4" w:space="0" w:color="000000"/>
            </w:tcBorders>
            <w:shd w:color="auto" w:fill="auto" w:val="clear"/>
            <w:vAlign w:val="center"/>
          </w:tcPr>
          <w:p>
            <w:pPr>
              <w:pStyle w:val="Normal"/>
              <w:jc w:val="center"/>
              <w:rPr>
                <w:lang w:eastAsia="ru-RU"/>
              </w:rPr>
            </w:pPr>
            <w:r>
              <w:rPr>
                <w:sz w:val="20"/>
                <w:szCs w:val="20"/>
              </w:rPr>
              <w:t>4,30</w:t>
            </w:r>
          </w:p>
        </w:tc>
        <w:tc>
          <w:tcPr>
            <w:tcW w:w="1540" w:type="dxa"/>
            <w:tcBorders>
              <w:bottom w:val="single" w:sz="4" w:space="0" w:color="000000"/>
              <w:right w:val="single" w:sz="4" w:space="0" w:color="000000"/>
            </w:tcBorders>
            <w:shd w:color="auto" w:fill="auto" w:val="clear"/>
            <w:vAlign w:val="center"/>
          </w:tcPr>
          <w:p>
            <w:pPr>
              <w:pStyle w:val="Normal"/>
              <w:jc w:val="center"/>
              <w:rPr>
                <w:lang w:eastAsia="ru-RU"/>
              </w:rPr>
            </w:pPr>
            <w:r>
              <w:rPr>
                <w:sz w:val="20"/>
                <w:szCs w:val="20"/>
              </w:rPr>
              <w:t>4,30</w:t>
            </w:r>
          </w:p>
        </w:tc>
        <w:tc>
          <w:tcPr>
            <w:tcW w:w="1141" w:type="dxa"/>
            <w:tcBorders>
              <w:bottom w:val="single" w:sz="4" w:space="0" w:color="000000"/>
              <w:right w:val="single" w:sz="4" w:space="0" w:color="000000"/>
            </w:tcBorders>
            <w:shd w:color="auto" w:fill="auto" w:val="clear"/>
            <w:vAlign w:val="center"/>
          </w:tcPr>
          <w:p>
            <w:pPr>
              <w:pStyle w:val="Normal"/>
              <w:jc w:val="center"/>
              <w:rPr>
                <w:lang w:eastAsia="ru-RU"/>
              </w:rPr>
            </w:pPr>
            <w:r>
              <w:rPr>
                <w:sz w:val="20"/>
                <w:szCs w:val="20"/>
              </w:rPr>
              <w:t>4,15</w:t>
            </w:r>
          </w:p>
        </w:tc>
        <w:tc>
          <w:tcPr>
            <w:tcW w:w="1407" w:type="dxa"/>
            <w:tcBorders>
              <w:bottom w:val="single" w:sz="4" w:space="0" w:color="000000"/>
              <w:right w:val="single" w:sz="4" w:space="0" w:color="000000"/>
            </w:tcBorders>
            <w:shd w:color="auto" w:fill="auto" w:val="clear"/>
            <w:vAlign w:val="center"/>
          </w:tcPr>
          <w:p>
            <w:pPr>
              <w:pStyle w:val="Normal"/>
              <w:jc w:val="center"/>
              <w:rPr>
                <w:lang w:eastAsia="ru-RU"/>
              </w:rPr>
            </w:pPr>
            <w:r>
              <w:rPr>
                <w:sz w:val="20"/>
                <w:szCs w:val="20"/>
              </w:rPr>
              <w:t>0,0</w:t>
            </w:r>
          </w:p>
        </w:tc>
        <w:tc>
          <w:tcPr>
            <w:tcW w:w="1013" w:type="dxa"/>
            <w:gridSpan w:val="2"/>
            <w:tcBorders>
              <w:bottom w:val="single" w:sz="4" w:space="0" w:color="000000"/>
              <w:right w:val="single" w:sz="4" w:space="0" w:color="000000"/>
            </w:tcBorders>
            <w:shd w:color="auto" w:fill="auto" w:val="clear"/>
            <w:vAlign w:val="center"/>
          </w:tcPr>
          <w:p>
            <w:pPr>
              <w:pStyle w:val="Normal"/>
              <w:jc w:val="center"/>
              <w:rPr>
                <w:lang w:eastAsia="ru-RU"/>
              </w:rPr>
            </w:pPr>
            <w:r>
              <w:rPr>
                <w:sz w:val="20"/>
                <w:szCs w:val="20"/>
              </w:rPr>
              <w:t>0,0</w:t>
            </w:r>
          </w:p>
        </w:tc>
        <w:tc>
          <w:tcPr>
            <w:tcW w:w="1770" w:type="dxa"/>
            <w:tcBorders>
              <w:bottom w:val="single" w:sz="4" w:space="0" w:color="000000"/>
              <w:right w:val="single" w:sz="4" w:space="0" w:color="000000"/>
            </w:tcBorders>
            <w:shd w:color="auto" w:fill="auto" w:val="clear"/>
            <w:vAlign w:val="center"/>
          </w:tcPr>
          <w:p>
            <w:pPr>
              <w:pStyle w:val="Normal"/>
              <w:jc w:val="center"/>
              <w:rPr>
                <w:lang w:eastAsia="ru-RU"/>
              </w:rPr>
            </w:pPr>
            <w:r>
              <w:rPr>
                <w:sz w:val="20"/>
                <w:szCs w:val="20"/>
              </w:rPr>
              <w:t>2,598</w:t>
            </w:r>
          </w:p>
        </w:tc>
        <w:tc>
          <w:tcPr>
            <w:tcW w:w="1163" w:type="dxa"/>
            <w:tcBorders>
              <w:bottom w:val="single" w:sz="4" w:space="0" w:color="000000"/>
              <w:right w:val="single" w:sz="4" w:space="0" w:color="000000"/>
            </w:tcBorders>
            <w:shd w:color="auto" w:fill="auto" w:val="clear"/>
            <w:vAlign w:val="center"/>
          </w:tcPr>
          <w:p>
            <w:pPr>
              <w:pStyle w:val="Normal"/>
              <w:jc w:val="center"/>
              <w:rPr>
                <w:lang w:eastAsia="ru-RU"/>
              </w:rPr>
            </w:pPr>
            <w:r>
              <w:rPr>
                <w:sz w:val="20"/>
                <w:szCs w:val="20"/>
                <w:lang w:eastAsia="ru-RU"/>
              </w:rPr>
              <w:t>2,598</w:t>
            </w:r>
          </w:p>
        </w:tc>
        <w:tc>
          <w:tcPr>
            <w:tcW w:w="1441" w:type="dxa"/>
            <w:tcBorders>
              <w:bottom w:val="single" w:sz="4" w:space="0" w:color="000000"/>
              <w:right w:val="single" w:sz="4" w:space="0" w:color="000000"/>
            </w:tcBorders>
            <w:shd w:color="auto" w:fill="auto" w:val="clear"/>
            <w:vAlign w:val="center"/>
          </w:tcPr>
          <w:p>
            <w:pPr>
              <w:pStyle w:val="Normal"/>
              <w:jc w:val="center"/>
              <w:rPr>
                <w:lang w:eastAsia="ru-RU"/>
              </w:rPr>
            </w:pPr>
            <w:r>
              <w:rPr>
                <w:sz w:val="20"/>
                <w:szCs w:val="20"/>
              </w:rPr>
              <w:t>1,702</w:t>
            </w:r>
          </w:p>
        </w:tc>
        <w:tc>
          <w:tcPr>
            <w:tcW w:w="964" w:type="dxa"/>
            <w:tcBorders>
              <w:bottom w:val="single" w:sz="4" w:space="0" w:color="000000"/>
              <w:right w:val="single" w:sz="4" w:space="0" w:color="000000"/>
            </w:tcBorders>
            <w:shd w:color="auto" w:fill="auto" w:val="clear"/>
            <w:vAlign w:val="center"/>
          </w:tcPr>
          <w:p>
            <w:pPr>
              <w:pStyle w:val="Normal"/>
              <w:jc w:val="center"/>
              <w:rPr>
                <w:lang w:eastAsia="ru-RU"/>
              </w:rPr>
            </w:pPr>
            <w:r>
              <w:rPr>
                <w:sz w:val="20"/>
                <w:szCs w:val="20"/>
              </w:rPr>
              <w:t>60,42</w:t>
            </w:r>
          </w:p>
        </w:tc>
      </w:tr>
      <w:tr>
        <w:trPr>
          <w:trHeight w:val="20" w:hRule="atLeast"/>
        </w:trPr>
        <w:tc>
          <w:tcPr>
            <w:tcW w:w="345" w:type="dxa"/>
            <w:vMerge w:val="continue"/>
            <w:tcBorders>
              <w:left w:val="single" w:sz="4" w:space="0" w:color="000000"/>
              <w:bottom w:val="single" w:sz="4" w:space="0" w:color="000000"/>
              <w:right w:val="single" w:sz="4" w:space="0" w:color="000000"/>
            </w:tcBorders>
            <w:shd w:color="auto" w:fill="auto" w:val="clear"/>
            <w:vAlign w:val="center"/>
          </w:tcPr>
          <w:p>
            <w:pPr>
              <w:pStyle w:val="Normal"/>
              <w:rPr>
                <w:sz w:val="20"/>
                <w:szCs w:val="20"/>
                <w:lang w:eastAsia="ru-RU"/>
              </w:rPr>
            </w:pPr>
            <w:r>
              <w:rPr>
                <w:sz w:val="20"/>
                <w:szCs w:val="20"/>
                <w:lang w:eastAsia="ru-RU"/>
              </w:rPr>
            </w:r>
          </w:p>
        </w:tc>
        <w:tc>
          <w:tcPr>
            <w:tcW w:w="1601" w:type="dxa"/>
            <w:vMerge w:val="continue"/>
            <w:tcBorders>
              <w:left w:val="single" w:sz="4" w:space="0" w:color="000000"/>
              <w:bottom w:val="single" w:sz="4" w:space="0" w:color="000000"/>
              <w:right w:val="single" w:sz="4" w:space="0" w:color="000000"/>
            </w:tcBorders>
            <w:shd w:color="auto" w:fill="auto" w:val="clear"/>
            <w:vAlign w:val="center"/>
          </w:tcPr>
          <w:p>
            <w:pPr>
              <w:pStyle w:val="Normal"/>
              <w:rPr>
                <w:sz w:val="20"/>
                <w:szCs w:val="20"/>
                <w:lang w:eastAsia="ru-RU"/>
              </w:rPr>
            </w:pPr>
            <w:r>
              <w:rPr>
                <w:sz w:val="20"/>
                <w:szCs w:val="20"/>
                <w:lang w:eastAsia="ru-RU"/>
              </w:rPr>
            </w:r>
          </w:p>
        </w:tc>
        <w:tc>
          <w:tcPr>
            <w:tcW w:w="586" w:type="dxa"/>
            <w:tcBorders>
              <w:bottom w:val="single" w:sz="4" w:space="0" w:color="000000"/>
              <w:right w:val="single" w:sz="4" w:space="0" w:color="000000"/>
            </w:tcBorders>
            <w:shd w:color="auto" w:fill="auto" w:val="clear"/>
            <w:vAlign w:val="center"/>
          </w:tcPr>
          <w:p>
            <w:pPr>
              <w:pStyle w:val="Normal"/>
              <w:jc w:val="center"/>
              <w:rPr>
                <w:lang w:eastAsia="ru-RU"/>
              </w:rPr>
            </w:pPr>
            <w:r>
              <w:rPr>
                <w:sz w:val="20"/>
                <w:szCs w:val="20"/>
                <w:lang w:eastAsia="ru-RU"/>
              </w:rPr>
              <w:t>2033-2035</w:t>
            </w:r>
          </w:p>
        </w:tc>
        <w:tc>
          <w:tcPr>
            <w:tcW w:w="1598" w:type="dxa"/>
            <w:tcBorders>
              <w:bottom w:val="single" w:sz="4" w:space="0" w:color="000000"/>
              <w:right w:val="single" w:sz="4" w:space="0" w:color="000000"/>
            </w:tcBorders>
            <w:shd w:color="auto" w:fill="auto" w:val="clear"/>
            <w:vAlign w:val="center"/>
          </w:tcPr>
          <w:p>
            <w:pPr>
              <w:pStyle w:val="Normal"/>
              <w:jc w:val="center"/>
              <w:rPr>
                <w:lang w:eastAsia="ru-RU"/>
              </w:rPr>
            </w:pPr>
            <w:r>
              <w:rPr>
                <w:sz w:val="20"/>
                <w:szCs w:val="20"/>
              </w:rPr>
              <w:t>4,30</w:t>
            </w:r>
          </w:p>
        </w:tc>
        <w:tc>
          <w:tcPr>
            <w:tcW w:w="1540" w:type="dxa"/>
            <w:tcBorders>
              <w:bottom w:val="single" w:sz="4" w:space="0" w:color="000000"/>
              <w:right w:val="single" w:sz="4" w:space="0" w:color="000000"/>
            </w:tcBorders>
            <w:shd w:color="auto" w:fill="auto" w:val="clear"/>
            <w:vAlign w:val="center"/>
          </w:tcPr>
          <w:p>
            <w:pPr>
              <w:pStyle w:val="Normal"/>
              <w:jc w:val="center"/>
              <w:rPr>
                <w:lang w:eastAsia="ru-RU"/>
              </w:rPr>
            </w:pPr>
            <w:r>
              <w:rPr>
                <w:sz w:val="20"/>
                <w:szCs w:val="20"/>
              </w:rPr>
              <w:t>4,30</w:t>
            </w:r>
          </w:p>
        </w:tc>
        <w:tc>
          <w:tcPr>
            <w:tcW w:w="1141" w:type="dxa"/>
            <w:tcBorders>
              <w:bottom w:val="single" w:sz="4" w:space="0" w:color="000000"/>
              <w:right w:val="single" w:sz="4" w:space="0" w:color="000000"/>
            </w:tcBorders>
            <w:shd w:color="auto" w:fill="auto" w:val="clear"/>
            <w:vAlign w:val="center"/>
          </w:tcPr>
          <w:p>
            <w:pPr>
              <w:pStyle w:val="Normal"/>
              <w:jc w:val="center"/>
              <w:rPr>
                <w:lang w:eastAsia="ru-RU"/>
              </w:rPr>
            </w:pPr>
            <w:r>
              <w:rPr>
                <w:sz w:val="20"/>
                <w:szCs w:val="20"/>
              </w:rPr>
              <w:t>4,15</w:t>
            </w:r>
          </w:p>
        </w:tc>
        <w:tc>
          <w:tcPr>
            <w:tcW w:w="1407" w:type="dxa"/>
            <w:tcBorders>
              <w:bottom w:val="single" w:sz="4" w:space="0" w:color="000000"/>
              <w:right w:val="single" w:sz="4" w:space="0" w:color="000000"/>
            </w:tcBorders>
            <w:shd w:color="auto" w:fill="auto" w:val="clear"/>
            <w:vAlign w:val="center"/>
          </w:tcPr>
          <w:p>
            <w:pPr>
              <w:pStyle w:val="Normal"/>
              <w:jc w:val="center"/>
              <w:rPr>
                <w:lang w:eastAsia="ru-RU"/>
              </w:rPr>
            </w:pPr>
            <w:r>
              <w:rPr>
                <w:sz w:val="20"/>
                <w:szCs w:val="20"/>
              </w:rPr>
              <w:t>0,0</w:t>
            </w:r>
          </w:p>
        </w:tc>
        <w:tc>
          <w:tcPr>
            <w:tcW w:w="1013" w:type="dxa"/>
            <w:gridSpan w:val="2"/>
            <w:tcBorders>
              <w:bottom w:val="single" w:sz="4" w:space="0" w:color="000000"/>
              <w:right w:val="single" w:sz="4" w:space="0" w:color="000000"/>
            </w:tcBorders>
            <w:shd w:color="auto" w:fill="auto" w:val="clear"/>
            <w:vAlign w:val="center"/>
          </w:tcPr>
          <w:p>
            <w:pPr>
              <w:pStyle w:val="Normal"/>
              <w:jc w:val="center"/>
              <w:rPr>
                <w:lang w:eastAsia="ru-RU"/>
              </w:rPr>
            </w:pPr>
            <w:r>
              <w:rPr>
                <w:sz w:val="20"/>
                <w:szCs w:val="20"/>
              </w:rPr>
              <w:t>0,0</w:t>
            </w:r>
          </w:p>
        </w:tc>
        <w:tc>
          <w:tcPr>
            <w:tcW w:w="1770" w:type="dxa"/>
            <w:tcBorders>
              <w:bottom w:val="single" w:sz="4" w:space="0" w:color="000000"/>
              <w:right w:val="single" w:sz="4" w:space="0" w:color="000000"/>
            </w:tcBorders>
            <w:shd w:color="auto" w:fill="auto" w:val="clear"/>
            <w:vAlign w:val="center"/>
          </w:tcPr>
          <w:p>
            <w:pPr>
              <w:pStyle w:val="Normal"/>
              <w:jc w:val="center"/>
              <w:rPr>
                <w:lang w:eastAsia="ru-RU"/>
              </w:rPr>
            </w:pPr>
            <w:r>
              <w:rPr>
                <w:sz w:val="20"/>
                <w:szCs w:val="20"/>
              </w:rPr>
              <w:t>2,598</w:t>
            </w:r>
          </w:p>
        </w:tc>
        <w:tc>
          <w:tcPr>
            <w:tcW w:w="1163" w:type="dxa"/>
            <w:tcBorders>
              <w:bottom w:val="single" w:sz="4" w:space="0" w:color="000000"/>
              <w:right w:val="single" w:sz="4" w:space="0" w:color="000000"/>
            </w:tcBorders>
            <w:shd w:color="auto" w:fill="auto" w:val="clear"/>
            <w:vAlign w:val="center"/>
          </w:tcPr>
          <w:p>
            <w:pPr>
              <w:pStyle w:val="Normal"/>
              <w:jc w:val="center"/>
              <w:rPr>
                <w:lang w:eastAsia="ru-RU"/>
              </w:rPr>
            </w:pPr>
            <w:r>
              <w:rPr>
                <w:sz w:val="20"/>
                <w:szCs w:val="20"/>
                <w:lang w:eastAsia="ru-RU"/>
              </w:rPr>
              <w:t>2,598</w:t>
            </w:r>
          </w:p>
        </w:tc>
        <w:tc>
          <w:tcPr>
            <w:tcW w:w="1441" w:type="dxa"/>
            <w:tcBorders>
              <w:bottom w:val="single" w:sz="4" w:space="0" w:color="000000"/>
              <w:right w:val="single" w:sz="4" w:space="0" w:color="000000"/>
            </w:tcBorders>
            <w:shd w:color="auto" w:fill="auto" w:val="clear"/>
            <w:vAlign w:val="center"/>
          </w:tcPr>
          <w:p>
            <w:pPr>
              <w:pStyle w:val="Normal"/>
              <w:jc w:val="center"/>
              <w:rPr>
                <w:lang w:eastAsia="ru-RU"/>
              </w:rPr>
            </w:pPr>
            <w:r>
              <w:rPr>
                <w:sz w:val="20"/>
                <w:szCs w:val="20"/>
              </w:rPr>
              <w:t>1,702</w:t>
            </w:r>
          </w:p>
        </w:tc>
        <w:tc>
          <w:tcPr>
            <w:tcW w:w="964" w:type="dxa"/>
            <w:tcBorders>
              <w:bottom w:val="single" w:sz="4" w:space="0" w:color="000000"/>
              <w:right w:val="single" w:sz="4" w:space="0" w:color="000000"/>
            </w:tcBorders>
            <w:shd w:color="auto" w:fill="auto" w:val="clear"/>
            <w:vAlign w:val="center"/>
          </w:tcPr>
          <w:p>
            <w:pPr>
              <w:pStyle w:val="Normal"/>
              <w:jc w:val="center"/>
              <w:rPr>
                <w:lang w:eastAsia="ru-RU"/>
              </w:rPr>
            </w:pPr>
            <w:r>
              <w:rPr>
                <w:sz w:val="20"/>
                <w:szCs w:val="20"/>
              </w:rPr>
              <w:t>60,42</w:t>
            </w:r>
          </w:p>
        </w:tc>
      </w:tr>
      <w:tr>
        <w:trPr>
          <w:trHeight w:val="20" w:hRule="atLeast"/>
        </w:trPr>
        <w:tc>
          <w:tcPr>
            <w:tcW w:w="345" w:type="dxa"/>
            <w:vMerge w:val="restart"/>
            <w:tcBorders>
              <w:left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7</w:t>
            </w:r>
          </w:p>
        </w:tc>
        <w:tc>
          <w:tcPr>
            <w:tcW w:w="1601" w:type="dxa"/>
            <w:vMerge w:val="restart"/>
            <w:tcBorders>
              <w:left w:val="single" w:sz="4" w:space="0" w:color="000000"/>
              <w:right w:val="single" w:sz="4" w:space="0" w:color="000000"/>
            </w:tcBorders>
            <w:shd w:color="auto" w:fill="auto" w:val="clear"/>
            <w:vAlign w:val="center"/>
          </w:tcPr>
          <w:p>
            <w:pPr>
              <w:pStyle w:val="Normal"/>
              <w:rPr>
                <w:sz w:val="20"/>
                <w:szCs w:val="20"/>
                <w:lang w:eastAsia="ru-RU"/>
              </w:rPr>
            </w:pPr>
            <w:r>
              <w:rPr>
                <w:sz w:val="20"/>
                <w:szCs w:val="20"/>
                <w:lang w:eastAsia="ru-RU"/>
              </w:rPr>
              <w:t>котельная № 8, пгт.Октябрьское, ул.50 лет, 38А</w:t>
            </w:r>
          </w:p>
        </w:tc>
        <w:tc>
          <w:tcPr>
            <w:tcW w:w="586" w:type="dxa"/>
            <w:tcBorders>
              <w:bottom w:val="single" w:sz="4" w:space="0" w:color="000000"/>
              <w:right w:val="single" w:sz="4" w:space="0" w:color="000000"/>
            </w:tcBorders>
            <w:shd w:color="auto" w:fill="auto" w:val="clear"/>
            <w:vAlign w:val="center"/>
          </w:tcPr>
          <w:p>
            <w:pPr>
              <w:pStyle w:val="Normal"/>
              <w:jc w:val="center"/>
              <w:rPr>
                <w:lang w:eastAsia="ru-RU"/>
              </w:rPr>
            </w:pPr>
            <w:r>
              <w:rPr>
                <w:sz w:val="20"/>
                <w:szCs w:val="20"/>
                <w:lang w:eastAsia="ru-RU"/>
              </w:rPr>
              <w:t>2024</w:t>
            </w:r>
          </w:p>
        </w:tc>
        <w:tc>
          <w:tcPr>
            <w:tcW w:w="1598" w:type="dxa"/>
            <w:tcBorders>
              <w:bottom w:val="single" w:sz="4" w:space="0" w:color="000000"/>
              <w:right w:val="single" w:sz="4" w:space="0" w:color="000000"/>
            </w:tcBorders>
            <w:shd w:color="auto" w:fill="auto" w:val="clear"/>
            <w:vAlign w:val="center"/>
          </w:tcPr>
          <w:p>
            <w:pPr>
              <w:pStyle w:val="Normal"/>
              <w:jc w:val="center"/>
              <w:rPr>
                <w:lang w:eastAsia="ru-RU"/>
              </w:rPr>
            </w:pPr>
            <w:r>
              <w:rPr>
                <w:sz w:val="20"/>
                <w:szCs w:val="20"/>
              </w:rPr>
              <w:t>0,43</w:t>
            </w:r>
          </w:p>
        </w:tc>
        <w:tc>
          <w:tcPr>
            <w:tcW w:w="1540" w:type="dxa"/>
            <w:tcBorders>
              <w:bottom w:val="single" w:sz="4" w:space="0" w:color="000000"/>
              <w:right w:val="single" w:sz="4" w:space="0" w:color="000000"/>
            </w:tcBorders>
            <w:shd w:color="auto" w:fill="auto" w:val="clear"/>
            <w:vAlign w:val="center"/>
          </w:tcPr>
          <w:p>
            <w:pPr>
              <w:pStyle w:val="Normal"/>
              <w:jc w:val="center"/>
              <w:rPr>
                <w:lang w:eastAsia="ru-RU"/>
              </w:rPr>
            </w:pPr>
            <w:r>
              <w:rPr>
                <w:sz w:val="20"/>
                <w:szCs w:val="20"/>
              </w:rPr>
              <w:t>0,43</w:t>
            </w:r>
          </w:p>
        </w:tc>
        <w:tc>
          <w:tcPr>
            <w:tcW w:w="1141" w:type="dxa"/>
            <w:tcBorders>
              <w:bottom w:val="single" w:sz="4" w:space="0" w:color="000000"/>
              <w:right w:val="single" w:sz="4" w:space="0" w:color="000000"/>
            </w:tcBorders>
            <w:shd w:color="auto" w:fill="auto" w:val="clear"/>
            <w:vAlign w:val="center"/>
          </w:tcPr>
          <w:p>
            <w:pPr>
              <w:pStyle w:val="Normal"/>
              <w:jc w:val="center"/>
              <w:rPr>
                <w:lang w:eastAsia="ru-RU"/>
              </w:rPr>
            </w:pPr>
            <w:r>
              <w:rPr>
                <w:sz w:val="20"/>
                <w:szCs w:val="20"/>
              </w:rPr>
              <w:t>0,43</w:t>
            </w:r>
          </w:p>
        </w:tc>
        <w:tc>
          <w:tcPr>
            <w:tcW w:w="1407" w:type="dxa"/>
            <w:tcBorders>
              <w:bottom w:val="single" w:sz="4" w:space="0" w:color="000000"/>
              <w:right w:val="single" w:sz="4" w:space="0" w:color="000000"/>
            </w:tcBorders>
            <w:shd w:color="auto" w:fill="auto" w:val="clear"/>
            <w:vAlign w:val="center"/>
          </w:tcPr>
          <w:p>
            <w:pPr>
              <w:pStyle w:val="Normal"/>
              <w:jc w:val="center"/>
              <w:rPr>
                <w:lang w:eastAsia="ru-RU"/>
              </w:rPr>
            </w:pPr>
            <w:r>
              <w:rPr>
                <w:sz w:val="20"/>
                <w:szCs w:val="20"/>
              </w:rPr>
              <w:t>0,0</w:t>
            </w:r>
          </w:p>
        </w:tc>
        <w:tc>
          <w:tcPr>
            <w:tcW w:w="1013" w:type="dxa"/>
            <w:gridSpan w:val="2"/>
            <w:tcBorders>
              <w:bottom w:val="single" w:sz="4" w:space="0" w:color="000000"/>
              <w:right w:val="single" w:sz="4" w:space="0" w:color="000000"/>
            </w:tcBorders>
            <w:shd w:color="auto" w:fill="auto" w:val="clear"/>
            <w:vAlign w:val="center"/>
          </w:tcPr>
          <w:p>
            <w:pPr>
              <w:pStyle w:val="Normal"/>
              <w:jc w:val="center"/>
              <w:rPr>
                <w:lang w:eastAsia="ru-RU"/>
              </w:rPr>
            </w:pPr>
            <w:r>
              <w:rPr>
                <w:sz w:val="20"/>
                <w:szCs w:val="20"/>
              </w:rPr>
              <w:t>0,0</w:t>
            </w:r>
          </w:p>
        </w:tc>
        <w:tc>
          <w:tcPr>
            <w:tcW w:w="1770" w:type="dxa"/>
            <w:tcBorders>
              <w:bottom w:val="single" w:sz="4" w:space="0" w:color="000000"/>
              <w:right w:val="single" w:sz="4" w:space="0" w:color="000000"/>
            </w:tcBorders>
            <w:shd w:color="auto" w:fill="auto" w:val="clear"/>
            <w:vAlign w:val="center"/>
          </w:tcPr>
          <w:p>
            <w:pPr>
              <w:pStyle w:val="Normal"/>
              <w:jc w:val="center"/>
              <w:rPr>
                <w:lang w:eastAsia="ru-RU"/>
              </w:rPr>
            </w:pPr>
            <w:r>
              <w:rPr>
                <w:sz w:val="20"/>
                <w:szCs w:val="20"/>
              </w:rPr>
              <w:t>0,07</w:t>
            </w:r>
          </w:p>
        </w:tc>
        <w:tc>
          <w:tcPr>
            <w:tcW w:w="1163" w:type="dxa"/>
            <w:tcBorders>
              <w:bottom w:val="single" w:sz="4" w:space="0" w:color="000000"/>
              <w:right w:val="single" w:sz="4" w:space="0" w:color="000000"/>
            </w:tcBorders>
            <w:shd w:color="auto" w:fill="auto" w:val="clear"/>
            <w:vAlign w:val="center"/>
          </w:tcPr>
          <w:p>
            <w:pPr>
              <w:pStyle w:val="Normal"/>
              <w:jc w:val="center"/>
              <w:rPr>
                <w:lang w:eastAsia="ru-RU"/>
              </w:rPr>
            </w:pPr>
            <w:r>
              <w:rPr>
                <w:sz w:val="20"/>
                <w:szCs w:val="20"/>
              </w:rPr>
              <w:t>0,07</w:t>
            </w:r>
          </w:p>
        </w:tc>
        <w:tc>
          <w:tcPr>
            <w:tcW w:w="1441" w:type="dxa"/>
            <w:tcBorders>
              <w:bottom w:val="single" w:sz="4" w:space="0" w:color="000000"/>
              <w:right w:val="single" w:sz="4" w:space="0" w:color="000000"/>
            </w:tcBorders>
            <w:shd w:color="auto" w:fill="auto" w:val="clear"/>
            <w:vAlign w:val="center"/>
          </w:tcPr>
          <w:p>
            <w:pPr>
              <w:pStyle w:val="Normal"/>
              <w:jc w:val="center"/>
              <w:rPr>
                <w:lang w:eastAsia="ru-RU"/>
              </w:rPr>
            </w:pPr>
            <w:r>
              <w:rPr>
                <w:sz w:val="20"/>
                <w:szCs w:val="20"/>
              </w:rPr>
              <w:t>0,36</w:t>
            </w:r>
          </w:p>
        </w:tc>
        <w:tc>
          <w:tcPr>
            <w:tcW w:w="964" w:type="dxa"/>
            <w:tcBorders>
              <w:bottom w:val="single" w:sz="4" w:space="0" w:color="000000"/>
              <w:right w:val="single" w:sz="4" w:space="0" w:color="000000"/>
            </w:tcBorders>
            <w:shd w:color="auto" w:fill="auto" w:val="clear"/>
            <w:vAlign w:val="center"/>
          </w:tcPr>
          <w:p>
            <w:pPr>
              <w:pStyle w:val="Normal"/>
              <w:jc w:val="center"/>
              <w:rPr>
                <w:lang w:eastAsia="ru-RU"/>
              </w:rPr>
            </w:pPr>
            <w:r>
              <w:rPr>
                <w:sz w:val="20"/>
                <w:szCs w:val="20"/>
              </w:rPr>
              <w:t>16,28</w:t>
            </w:r>
          </w:p>
        </w:tc>
      </w:tr>
      <w:tr>
        <w:trPr>
          <w:trHeight w:val="106" w:hRule="atLeast"/>
        </w:trPr>
        <w:tc>
          <w:tcPr>
            <w:tcW w:w="345" w:type="dxa"/>
            <w:vMerge w:val="continue"/>
            <w:tcBorders>
              <w:left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r>
          </w:p>
        </w:tc>
        <w:tc>
          <w:tcPr>
            <w:tcW w:w="1601" w:type="dxa"/>
            <w:vMerge w:val="continue"/>
            <w:tcBorders>
              <w:left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r>
          </w:p>
        </w:tc>
        <w:tc>
          <w:tcPr>
            <w:tcW w:w="586" w:type="dxa"/>
            <w:tcBorders>
              <w:top w:val="single" w:sz="4" w:space="0" w:color="000000"/>
              <w:bottom w:val="single" w:sz="4" w:space="0" w:color="000000"/>
              <w:right w:val="single" w:sz="4" w:space="0" w:color="000000"/>
            </w:tcBorders>
            <w:shd w:color="auto" w:fill="auto" w:val="clear"/>
            <w:vAlign w:val="center"/>
          </w:tcPr>
          <w:p>
            <w:pPr>
              <w:pStyle w:val="Normal"/>
              <w:jc w:val="center"/>
              <w:rPr>
                <w:lang w:eastAsia="ru-RU"/>
              </w:rPr>
            </w:pPr>
            <w:r>
              <w:rPr>
                <w:sz w:val="20"/>
                <w:szCs w:val="20"/>
                <w:lang w:eastAsia="ru-RU"/>
              </w:rPr>
              <w:t>2025</w:t>
            </w:r>
          </w:p>
        </w:tc>
        <w:tc>
          <w:tcPr>
            <w:tcW w:w="1598" w:type="dxa"/>
            <w:tcBorders>
              <w:top w:val="single" w:sz="4" w:space="0" w:color="000000"/>
              <w:bottom w:val="single" w:sz="4" w:space="0" w:color="000000"/>
              <w:right w:val="single" w:sz="4" w:space="0" w:color="000000"/>
            </w:tcBorders>
            <w:shd w:color="auto" w:fill="auto" w:val="clear"/>
            <w:vAlign w:val="center"/>
          </w:tcPr>
          <w:p>
            <w:pPr>
              <w:pStyle w:val="Normal"/>
              <w:jc w:val="center"/>
              <w:rPr>
                <w:lang w:eastAsia="ru-RU"/>
              </w:rPr>
            </w:pPr>
            <w:r>
              <w:rPr>
                <w:sz w:val="20"/>
                <w:szCs w:val="20"/>
              </w:rPr>
              <w:t>0,43</w:t>
            </w:r>
          </w:p>
        </w:tc>
        <w:tc>
          <w:tcPr>
            <w:tcW w:w="1540" w:type="dxa"/>
            <w:tcBorders>
              <w:top w:val="single" w:sz="4" w:space="0" w:color="000000"/>
              <w:bottom w:val="single" w:sz="4" w:space="0" w:color="000000"/>
              <w:right w:val="single" w:sz="4" w:space="0" w:color="000000"/>
            </w:tcBorders>
            <w:shd w:color="auto" w:fill="auto" w:val="clear"/>
            <w:vAlign w:val="center"/>
          </w:tcPr>
          <w:p>
            <w:pPr>
              <w:pStyle w:val="Normal"/>
              <w:jc w:val="center"/>
              <w:rPr>
                <w:lang w:eastAsia="ru-RU"/>
              </w:rPr>
            </w:pPr>
            <w:r>
              <w:rPr>
                <w:sz w:val="20"/>
                <w:szCs w:val="20"/>
              </w:rPr>
              <w:t>0,43</w:t>
            </w:r>
          </w:p>
        </w:tc>
        <w:tc>
          <w:tcPr>
            <w:tcW w:w="1141" w:type="dxa"/>
            <w:tcBorders>
              <w:top w:val="single" w:sz="4" w:space="0" w:color="000000"/>
              <w:bottom w:val="single" w:sz="4" w:space="0" w:color="000000"/>
              <w:right w:val="single" w:sz="4" w:space="0" w:color="000000"/>
            </w:tcBorders>
            <w:shd w:color="auto" w:fill="auto" w:val="clear"/>
            <w:vAlign w:val="center"/>
          </w:tcPr>
          <w:p>
            <w:pPr>
              <w:pStyle w:val="Normal"/>
              <w:jc w:val="center"/>
              <w:rPr>
                <w:lang w:eastAsia="ru-RU"/>
              </w:rPr>
            </w:pPr>
            <w:r>
              <w:rPr>
                <w:sz w:val="20"/>
                <w:szCs w:val="20"/>
              </w:rPr>
              <w:t>0,43</w:t>
            </w:r>
          </w:p>
        </w:tc>
        <w:tc>
          <w:tcPr>
            <w:tcW w:w="1407" w:type="dxa"/>
            <w:tcBorders>
              <w:top w:val="single" w:sz="4" w:space="0" w:color="000000"/>
              <w:bottom w:val="single" w:sz="4" w:space="0" w:color="000000"/>
              <w:right w:val="single" w:sz="4" w:space="0" w:color="000000"/>
            </w:tcBorders>
            <w:shd w:color="auto" w:fill="auto" w:val="clear"/>
            <w:vAlign w:val="center"/>
          </w:tcPr>
          <w:p>
            <w:pPr>
              <w:pStyle w:val="Normal"/>
              <w:jc w:val="center"/>
              <w:rPr>
                <w:lang w:eastAsia="ru-RU"/>
              </w:rPr>
            </w:pPr>
            <w:r>
              <w:rPr>
                <w:sz w:val="20"/>
                <w:szCs w:val="20"/>
              </w:rPr>
              <w:t>0,0</w:t>
            </w:r>
          </w:p>
        </w:tc>
        <w:tc>
          <w:tcPr>
            <w:tcW w:w="1001" w:type="dxa"/>
            <w:tcBorders>
              <w:top w:val="single" w:sz="4" w:space="0" w:color="000000"/>
              <w:bottom w:val="single" w:sz="4" w:space="0" w:color="000000"/>
              <w:right w:val="single" w:sz="4" w:space="0" w:color="000000"/>
            </w:tcBorders>
            <w:shd w:color="auto" w:fill="auto" w:val="clear"/>
            <w:vAlign w:val="center"/>
          </w:tcPr>
          <w:p>
            <w:pPr>
              <w:pStyle w:val="Normal"/>
              <w:jc w:val="center"/>
              <w:rPr>
                <w:lang w:eastAsia="ru-RU"/>
              </w:rPr>
            </w:pPr>
            <w:r>
              <w:rPr>
                <w:sz w:val="20"/>
                <w:szCs w:val="20"/>
              </w:rPr>
              <w:t>0,0</w:t>
            </w:r>
          </w:p>
        </w:tc>
        <w:tc>
          <w:tcPr>
            <w:tcW w:w="1782" w:type="dxa"/>
            <w:gridSpan w:val="2"/>
            <w:tcBorders>
              <w:top w:val="single" w:sz="4" w:space="0" w:color="000000"/>
              <w:bottom w:val="single" w:sz="4" w:space="0" w:color="000000"/>
              <w:right w:val="single" w:sz="4" w:space="0" w:color="000000"/>
            </w:tcBorders>
            <w:shd w:color="auto" w:fill="auto" w:val="clear"/>
            <w:vAlign w:val="center"/>
          </w:tcPr>
          <w:p>
            <w:pPr>
              <w:pStyle w:val="Normal"/>
              <w:jc w:val="center"/>
              <w:rPr>
                <w:lang w:eastAsia="ru-RU"/>
              </w:rPr>
            </w:pPr>
            <w:r>
              <w:rPr>
                <w:sz w:val="20"/>
                <w:szCs w:val="20"/>
              </w:rPr>
              <w:t>0,07</w:t>
            </w:r>
          </w:p>
        </w:tc>
        <w:tc>
          <w:tcPr>
            <w:tcW w:w="1163" w:type="dxa"/>
            <w:tcBorders>
              <w:top w:val="single" w:sz="4" w:space="0" w:color="000000"/>
              <w:bottom w:val="single" w:sz="4" w:space="0" w:color="000000"/>
              <w:right w:val="single" w:sz="4" w:space="0" w:color="000000"/>
            </w:tcBorders>
            <w:shd w:color="auto" w:fill="auto" w:val="clear"/>
            <w:vAlign w:val="center"/>
          </w:tcPr>
          <w:p>
            <w:pPr>
              <w:pStyle w:val="Normal"/>
              <w:jc w:val="center"/>
              <w:rPr>
                <w:lang w:eastAsia="ru-RU"/>
              </w:rPr>
            </w:pPr>
            <w:r>
              <w:rPr>
                <w:sz w:val="20"/>
                <w:szCs w:val="20"/>
              </w:rPr>
              <w:t>0,07</w:t>
            </w:r>
          </w:p>
        </w:tc>
        <w:tc>
          <w:tcPr>
            <w:tcW w:w="1441" w:type="dxa"/>
            <w:tcBorders>
              <w:top w:val="single" w:sz="4" w:space="0" w:color="000000"/>
              <w:bottom w:val="single" w:sz="4" w:space="0" w:color="000000"/>
              <w:right w:val="single" w:sz="4" w:space="0" w:color="000000"/>
            </w:tcBorders>
            <w:shd w:color="auto" w:fill="auto" w:val="clear"/>
            <w:vAlign w:val="center"/>
          </w:tcPr>
          <w:p>
            <w:pPr>
              <w:pStyle w:val="Normal"/>
              <w:jc w:val="center"/>
              <w:rPr>
                <w:lang w:eastAsia="ru-RU"/>
              </w:rPr>
            </w:pPr>
            <w:r>
              <w:rPr>
                <w:sz w:val="20"/>
                <w:szCs w:val="20"/>
              </w:rPr>
              <w:t>0,36</w:t>
            </w:r>
          </w:p>
        </w:tc>
        <w:tc>
          <w:tcPr>
            <w:tcW w:w="964" w:type="dxa"/>
            <w:tcBorders>
              <w:top w:val="single" w:sz="4" w:space="0" w:color="000000"/>
              <w:bottom w:val="single" w:sz="4" w:space="0" w:color="000000"/>
              <w:right w:val="single" w:sz="4" w:space="0" w:color="000000"/>
            </w:tcBorders>
            <w:shd w:color="auto" w:fill="auto" w:val="clear"/>
            <w:vAlign w:val="center"/>
          </w:tcPr>
          <w:p>
            <w:pPr>
              <w:pStyle w:val="Normal"/>
              <w:jc w:val="center"/>
              <w:rPr>
                <w:lang w:eastAsia="ru-RU"/>
              </w:rPr>
            </w:pPr>
            <w:r>
              <w:rPr>
                <w:sz w:val="20"/>
                <w:szCs w:val="20"/>
              </w:rPr>
              <w:t>16,28</w:t>
            </w:r>
          </w:p>
        </w:tc>
      </w:tr>
      <w:tr>
        <w:trPr>
          <w:trHeight w:val="106" w:hRule="atLeast"/>
        </w:trPr>
        <w:tc>
          <w:tcPr>
            <w:tcW w:w="345" w:type="dxa"/>
            <w:vMerge w:val="continue"/>
            <w:tcBorders>
              <w:left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r>
          </w:p>
        </w:tc>
        <w:tc>
          <w:tcPr>
            <w:tcW w:w="1601" w:type="dxa"/>
            <w:vMerge w:val="continue"/>
            <w:tcBorders>
              <w:left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r>
          </w:p>
        </w:tc>
        <w:tc>
          <w:tcPr>
            <w:tcW w:w="586" w:type="dxa"/>
            <w:tcBorders>
              <w:top w:val="single" w:sz="4" w:space="0" w:color="000000"/>
              <w:bottom w:val="single" w:sz="4" w:space="0" w:color="000000"/>
              <w:right w:val="single" w:sz="4" w:space="0" w:color="000000"/>
            </w:tcBorders>
            <w:shd w:color="auto" w:fill="auto" w:val="clear"/>
            <w:vAlign w:val="center"/>
          </w:tcPr>
          <w:p>
            <w:pPr>
              <w:pStyle w:val="Normal"/>
              <w:jc w:val="center"/>
              <w:rPr>
                <w:lang w:eastAsia="ru-RU"/>
              </w:rPr>
            </w:pPr>
            <w:r>
              <w:rPr>
                <w:sz w:val="20"/>
                <w:szCs w:val="20"/>
                <w:lang w:eastAsia="ru-RU"/>
              </w:rPr>
              <w:t>2026</w:t>
            </w:r>
          </w:p>
        </w:tc>
        <w:tc>
          <w:tcPr>
            <w:tcW w:w="1598" w:type="dxa"/>
            <w:tcBorders>
              <w:top w:val="single" w:sz="4" w:space="0" w:color="000000"/>
              <w:bottom w:val="single" w:sz="4" w:space="0" w:color="000000"/>
              <w:right w:val="single" w:sz="4" w:space="0" w:color="000000"/>
            </w:tcBorders>
            <w:shd w:color="auto" w:fill="auto" w:val="clear"/>
            <w:vAlign w:val="center"/>
          </w:tcPr>
          <w:p>
            <w:pPr>
              <w:pStyle w:val="Normal"/>
              <w:jc w:val="center"/>
              <w:rPr>
                <w:lang w:eastAsia="ru-RU"/>
              </w:rPr>
            </w:pPr>
            <w:r>
              <w:rPr>
                <w:sz w:val="20"/>
                <w:szCs w:val="20"/>
              </w:rPr>
              <w:t>0,43</w:t>
            </w:r>
          </w:p>
        </w:tc>
        <w:tc>
          <w:tcPr>
            <w:tcW w:w="1540" w:type="dxa"/>
            <w:tcBorders>
              <w:top w:val="single" w:sz="4" w:space="0" w:color="000000"/>
              <w:bottom w:val="single" w:sz="4" w:space="0" w:color="000000"/>
              <w:right w:val="single" w:sz="4" w:space="0" w:color="000000"/>
            </w:tcBorders>
            <w:shd w:color="auto" w:fill="auto" w:val="clear"/>
            <w:vAlign w:val="center"/>
          </w:tcPr>
          <w:p>
            <w:pPr>
              <w:pStyle w:val="Normal"/>
              <w:jc w:val="center"/>
              <w:rPr>
                <w:lang w:eastAsia="ru-RU"/>
              </w:rPr>
            </w:pPr>
            <w:r>
              <w:rPr>
                <w:sz w:val="20"/>
                <w:szCs w:val="20"/>
              </w:rPr>
              <w:t>0,43</w:t>
            </w:r>
          </w:p>
        </w:tc>
        <w:tc>
          <w:tcPr>
            <w:tcW w:w="1141" w:type="dxa"/>
            <w:tcBorders>
              <w:top w:val="single" w:sz="4" w:space="0" w:color="000000"/>
              <w:bottom w:val="single" w:sz="4" w:space="0" w:color="000000"/>
              <w:right w:val="single" w:sz="4" w:space="0" w:color="000000"/>
            </w:tcBorders>
            <w:shd w:color="auto" w:fill="auto" w:val="clear"/>
            <w:vAlign w:val="center"/>
          </w:tcPr>
          <w:p>
            <w:pPr>
              <w:pStyle w:val="Normal"/>
              <w:jc w:val="center"/>
              <w:rPr>
                <w:lang w:eastAsia="ru-RU"/>
              </w:rPr>
            </w:pPr>
            <w:r>
              <w:rPr>
                <w:sz w:val="20"/>
                <w:szCs w:val="20"/>
              </w:rPr>
              <w:t>0,43</w:t>
            </w:r>
          </w:p>
        </w:tc>
        <w:tc>
          <w:tcPr>
            <w:tcW w:w="1407" w:type="dxa"/>
            <w:tcBorders>
              <w:top w:val="single" w:sz="4" w:space="0" w:color="000000"/>
              <w:bottom w:val="single" w:sz="4" w:space="0" w:color="000000"/>
              <w:right w:val="single" w:sz="4" w:space="0" w:color="000000"/>
            </w:tcBorders>
            <w:shd w:color="auto" w:fill="auto" w:val="clear"/>
            <w:vAlign w:val="center"/>
          </w:tcPr>
          <w:p>
            <w:pPr>
              <w:pStyle w:val="Normal"/>
              <w:jc w:val="center"/>
              <w:rPr>
                <w:lang w:eastAsia="ru-RU"/>
              </w:rPr>
            </w:pPr>
            <w:r>
              <w:rPr>
                <w:sz w:val="20"/>
                <w:szCs w:val="20"/>
              </w:rPr>
              <w:t>0,0</w:t>
            </w:r>
          </w:p>
        </w:tc>
        <w:tc>
          <w:tcPr>
            <w:tcW w:w="1001" w:type="dxa"/>
            <w:tcBorders>
              <w:top w:val="single" w:sz="4" w:space="0" w:color="000000"/>
              <w:bottom w:val="single" w:sz="4" w:space="0" w:color="000000"/>
              <w:right w:val="single" w:sz="4" w:space="0" w:color="000000"/>
            </w:tcBorders>
            <w:shd w:color="auto" w:fill="auto" w:val="clear"/>
            <w:vAlign w:val="center"/>
          </w:tcPr>
          <w:p>
            <w:pPr>
              <w:pStyle w:val="Normal"/>
              <w:jc w:val="center"/>
              <w:rPr>
                <w:lang w:eastAsia="ru-RU"/>
              </w:rPr>
            </w:pPr>
            <w:r>
              <w:rPr>
                <w:sz w:val="20"/>
                <w:szCs w:val="20"/>
              </w:rPr>
              <w:t>0,0</w:t>
            </w:r>
          </w:p>
        </w:tc>
        <w:tc>
          <w:tcPr>
            <w:tcW w:w="1782" w:type="dxa"/>
            <w:gridSpan w:val="2"/>
            <w:tcBorders>
              <w:top w:val="single" w:sz="4" w:space="0" w:color="000000"/>
              <w:bottom w:val="single" w:sz="4" w:space="0" w:color="000000"/>
              <w:right w:val="single" w:sz="4" w:space="0" w:color="000000"/>
            </w:tcBorders>
            <w:shd w:color="auto" w:fill="auto" w:val="clear"/>
            <w:vAlign w:val="center"/>
          </w:tcPr>
          <w:p>
            <w:pPr>
              <w:pStyle w:val="Normal"/>
              <w:jc w:val="center"/>
              <w:rPr>
                <w:lang w:eastAsia="ru-RU"/>
              </w:rPr>
            </w:pPr>
            <w:r>
              <w:rPr>
                <w:sz w:val="20"/>
                <w:szCs w:val="20"/>
              </w:rPr>
              <w:t>0,07</w:t>
            </w:r>
          </w:p>
        </w:tc>
        <w:tc>
          <w:tcPr>
            <w:tcW w:w="1163" w:type="dxa"/>
            <w:tcBorders>
              <w:top w:val="single" w:sz="4" w:space="0" w:color="000000"/>
              <w:bottom w:val="single" w:sz="4" w:space="0" w:color="000000"/>
              <w:right w:val="single" w:sz="4" w:space="0" w:color="000000"/>
            </w:tcBorders>
            <w:shd w:color="auto" w:fill="auto" w:val="clear"/>
            <w:vAlign w:val="center"/>
          </w:tcPr>
          <w:p>
            <w:pPr>
              <w:pStyle w:val="Normal"/>
              <w:jc w:val="center"/>
              <w:rPr>
                <w:lang w:eastAsia="ru-RU"/>
              </w:rPr>
            </w:pPr>
            <w:r>
              <w:rPr>
                <w:sz w:val="20"/>
                <w:szCs w:val="20"/>
              </w:rPr>
              <w:t>0,07</w:t>
            </w:r>
          </w:p>
        </w:tc>
        <w:tc>
          <w:tcPr>
            <w:tcW w:w="1441" w:type="dxa"/>
            <w:tcBorders>
              <w:top w:val="single" w:sz="4" w:space="0" w:color="000000"/>
              <w:bottom w:val="single" w:sz="4" w:space="0" w:color="000000"/>
              <w:right w:val="single" w:sz="4" w:space="0" w:color="000000"/>
            </w:tcBorders>
            <w:shd w:color="auto" w:fill="auto" w:val="clear"/>
            <w:vAlign w:val="center"/>
          </w:tcPr>
          <w:p>
            <w:pPr>
              <w:pStyle w:val="Normal"/>
              <w:jc w:val="center"/>
              <w:rPr>
                <w:lang w:eastAsia="ru-RU"/>
              </w:rPr>
            </w:pPr>
            <w:r>
              <w:rPr>
                <w:sz w:val="20"/>
                <w:szCs w:val="20"/>
              </w:rPr>
              <w:t>0,36</w:t>
            </w:r>
          </w:p>
        </w:tc>
        <w:tc>
          <w:tcPr>
            <w:tcW w:w="964" w:type="dxa"/>
            <w:tcBorders>
              <w:top w:val="single" w:sz="4" w:space="0" w:color="000000"/>
              <w:bottom w:val="single" w:sz="4" w:space="0" w:color="000000"/>
              <w:right w:val="single" w:sz="4" w:space="0" w:color="000000"/>
            </w:tcBorders>
            <w:shd w:color="auto" w:fill="auto" w:val="clear"/>
            <w:vAlign w:val="center"/>
          </w:tcPr>
          <w:p>
            <w:pPr>
              <w:pStyle w:val="Normal"/>
              <w:jc w:val="center"/>
              <w:rPr>
                <w:lang w:eastAsia="ru-RU"/>
              </w:rPr>
            </w:pPr>
            <w:r>
              <w:rPr>
                <w:sz w:val="20"/>
                <w:szCs w:val="20"/>
              </w:rPr>
              <w:t>16,28</w:t>
            </w:r>
          </w:p>
        </w:tc>
      </w:tr>
      <w:tr>
        <w:trPr>
          <w:trHeight w:val="106" w:hRule="atLeast"/>
        </w:trPr>
        <w:tc>
          <w:tcPr>
            <w:tcW w:w="345" w:type="dxa"/>
            <w:vMerge w:val="continue"/>
            <w:tcBorders>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r>
          </w:p>
        </w:tc>
        <w:tc>
          <w:tcPr>
            <w:tcW w:w="1601" w:type="dxa"/>
            <w:vMerge w:val="continue"/>
            <w:tcBorders>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r>
          </w:p>
        </w:tc>
        <w:tc>
          <w:tcPr>
            <w:tcW w:w="586" w:type="dxa"/>
            <w:tcBorders>
              <w:top w:val="single" w:sz="4" w:space="0" w:color="000000"/>
              <w:bottom w:val="single" w:sz="4" w:space="0" w:color="000000"/>
              <w:right w:val="single" w:sz="4" w:space="0" w:color="000000"/>
            </w:tcBorders>
            <w:shd w:color="auto" w:fill="auto" w:val="clear"/>
            <w:vAlign w:val="center"/>
          </w:tcPr>
          <w:p>
            <w:pPr>
              <w:pStyle w:val="Normal"/>
              <w:jc w:val="center"/>
              <w:rPr>
                <w:lang w:eastAsia="ru-RU"/>
              </w:rPr>
            </w:pPr>
            <w:r>
              <w:rPr>
                <w:sz w:val="20"/>
                <w:szCs w:val="20"/>
                <w:lang w:eastAsia="ru-RU"/>
              </w:rPr>
              <w:t>2027</w:t>
            </w:r>
          </w:p>
        </w:tc>
        <w:tc>
          <w:tcPr>
            <w:tcW w:w="12037" w:type="dxa"/>
            <w:gridSpan w:val="10"/>
            <w:tcBorders>
              <w:top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xml:space="preserve">Децентрализация системы теплоснабжения пгт.Октябрьское путем перехода на автономные источники теплоснабжения, </w:t>
            </w:r>
          </w:p>
          <w:p>
            <w:pPr>
              <w:pStyle w:val="Normal"/>
              <w:jc w:val="center"/>
              <w:rPr>
                <w:lang w:eastAsia="ru-RU"/>
              </w:rPr>
            </w:pPr>
            <w:r>
              <w:rPr>
                <w:sz w:val="20"/>
                <w:szCs w:val="20"/>
                <w:lang w:eastAsia="ru-RU"/>
              </w:rPr>
              <w:t>отказ от эксплуатации тепловых сетей, вывод котельной № 8 пгт.Октябрьское, ул.50 лет Победы, 38а из эксплуатации.</w:t>
            </w:r>
          </w:p>
        </w:tc>
      </w:tr>
      <w:tr>
        <w:trPr>
          <w:trHeight w:val="158" w:hRule="atLeast"/>
        </w:trPr>
        <w:tc>
          <w:tcPr>
            <w:tcW w:w="345" w:type="dxa"/>
            <w:vMerge w:val="restart"/>
            <w:tcBorders>
              <w:left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8</w:t>
            </w:r>
          </w:p>
        </w:tc>
        <w:tc>
          <w:tcPr>
            <w:tcW w:w="1601" w:type="dxa"/>
            <w:vMerge w:val="restart"/>
            <w:tcBorders>
              <w:left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перспективная котельная, пгт.Октябрьское, ул.Дзержинск</w:t>
            </w:r>
          </w:p>
          <w:p>
            <w:pPr>
              <w:pStyle w:val="Normal"/>
              <w:jc w:val="center"/>
              <w:rPr>
                <w:sz w:val="20"/>
                <w:szCs w:val="20"/>
                <w:lang w:eastAsia="ru-RU"/>
              </w:rPr>
            </w:pPr>
            <w:r>
              <w:rPr>
                <w:sz w:val="20"/>
                <w:szCs w:val="20"/>
                <w:lang w:eastAsia="ru-RU"/>
              </w:rPr>
              <w:t>ого, 14</w:t>
            </w:r>
          </w:p>
        </w:tc>
        <w:tc>
          <w:tcPr>
            <w:tcW w:w="586" w:type="dxa"/>
            <w:tcBorders>
              <w:top w:val="single" w:sz="4" w:space="0" w:color="000000"/>
              <w:bottom w:val="single" w:sz="4" w:space="0" w:color="000000"/>
              <w:right w:val="single" w:sz="4" w:space="0" w:color="000000"/>
            </w:tcBorders>
            <w:shd w:color="auto" w:fill="auto" w:val="clear"/>
            <w:vAlign w:val="center"/>
          </w:tcPr>
          <w:p>
            <w:pPr>
              <w:pStyle w:val="Normal"/>
              <w:jc w:val="center"/>
              <w:rPr>
                <w:lang w:eastAsia="ru-RU"/>
              </w:rPr>
            </w:pPr>
            <w:r>
              <w:rPr>
                <w:sz w:val="20"/>
                <w:szCs w:val="20"/>
                <w:lang w:eastAsia="ru-RU"/>
              </w:rPr>
              <w:t>2024</w:t>
            </w:r>
          </w:p>
        </w:tc>
        <w:tc>
          <w:tcPr>
            <w:tcW w:w="12037" w:type="dxa"/>
            <w:gridSpan w:val="10"/>
            <w:vMerge w:val="restart"/>
            <w:tcBorders>
              <w:top w:val="single" w:sz="4" w:space="0" w:color="000000"/>
              <w:left w:val="single" w:sz="4" w:space="0" w:color="000000"/>
              <w:right w:val="single" w:sz="4" w:space="0" w:color="000000"/>
            </w:tcBorders>
            <w:shd w:color="auto" w:fill="auto" w:val="clear"/>
            <w:vAlign w:val="center"/>
          </w:tcPr>
          <w:p>
            <w:pPr>
              <w:pStyle w:val="Normal"/>
              <w:jc w:val="center"/>
              <w:rPr>
                <w:lang w:eastAsia="ru-RU"/>
              </w:rPr>
            </w:pPr>
            <w:r>
              <w:rPr>
                <w:sz w:val="20"/>
                <w:szCs w:val="20"/>
                <w:lang w:eastAsia="ru-RU"/>
              </w:rPr>
              <w:t>Строительство котельной по ул.Дзержинского, 14 в пгт.Октябрьское. Вывод из эксплуатации котельной № 2 по ул.Пионерская, 17Б и котельной № 6 по ул.Дзержинского, 2Б с переключением нагрузки на новую котельную по ул.Дзержинского, 14</w:t>
            </w:r>
          </w:p>
        </w:tc>
      </w:tr>
      <w:tr>
        <w:trPr>
          <w:trHeight w:val="20" w:hRule="atLeast"/>
        </w:trPr>
        <w:tc>
          <w:tcPr>
            <w:tcW w:w="345" w:type="dxa"/>
            <w:vMerge w:val="continue"/>
            <w:tcBorders>
              <w:left w:val="single" w:sz="4" w:space="0" w:color="000000"/>
              <w:right w:val="single" w:sz="4" w:space="0" w:color="000000"/>
            </w:tcBorders>
            <w:shd w:color="auto" w:fill="auto" w:val="clear"/>
            <w:vAlign w:val="center"/>
          </w:tcPr>
          <w:p>
            <w:pPr>
              <w:pStyle w:val="Normal"/>
              <w:rPr>
                <w:sz w:val="20"/>
                <w:szCs w:val="20"/>
                <w:lang w:eastAsia="ru-RU"/>
              </w:rPr>
            </w:pPr>
            <w:r>
              <w:rPr>
                <w:sz w:val="20"/>
                <w:szCs w:val="20"/>
                <w:lang w:eastAsia="ru-RU"/>
              </w:rPr>
            </w:r>
          </w:p>
        </w:tc>
        <w:tc>
          <w:tcPr>
            <w:tcW w:w="1601" w:type="dxa"/>
            <w:vMerge w:val="continue"/>
            <w:tcBorders>
              <w:left w:val="single" w:sz="4" w:space="0" w:color="000000"/>
              <w:right w:val="single" w:sz="4" w:space="0" w:color="000000"/>
            </w:tcBorders>
            <w:shd w:color="auto" w:fill="auto" w:val="clear"/>
            <w:vAlign w:val="center"/>
          </w:tcPr>
          <w:p>
            <w:pPr>
              <w:pStyle w:val="Normal"/>
              <w:rPr>
                <w:sz w:val="20"/>
                <w:szCs w:val="20"/>
                <w:lang w:eastAsia="ru-RU"/>
              </w:rPr>
            </w:pPr>
            <w:r>
              <w:rPr>
                <w:sz w:val="20"/>
                <w:szCs w:val="20"/>
                <w:lang w:eastAsia="ru-RU"/>
              </w:rPr>
            </w:r>
          </w:p>
        </w:tc>
        <w:tc>
          <w:tcPr>
            <w:tcW w:w="586" w:type="dxa"/>
            <w:tcBorders>
              <w:bottom w:val="single" w:sz="4" w:space="0" w:color="000000"/>
              <w:right w:val="single" w:sz="4" w:space="0" w:color="000000"/>
            </w:tcBorders>
            <w:shd w:color="auto" w:fill="auto" w:val="clear"/>
            <w:vAlign w:val="center"/>
          </w:tcPr>
          <w:p>
            <w:pPr>
              <w:pStyle w:val="Normal"/>
              <w:jc w:val="center"/>
              <w:rPr>
                <w:lang w:eastAsia="ru-RU"/>
              </w:rPr>
            </w:pPr>
            <w:r>
              <w:rPr>
                <w:sz w:val="20"/>
                <w:szCs w:val="20"/>
                <w:lang w:eastAsia="ru-RU"/>
              </w:rPr>
              <w:t>2025</w:t>
            </w:r>
          </w:p>
        </w:tc>
        <w:tc>
          <w:tcPr>
            <w:tcW w:w="12037" w:type="dxa"/>
            <w:gridSpan w:val="10"/>
            <w:vMerge w:val="continue"/>
            <w:tcBorders>
              <w:left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r>
          </w:p>
        </w:tc>
      </w:tr>
      <w:tr>
        <w:trPr>
          <w:trHeight w:val="20" w:hRule="atLeast"/>
        </w:trPr>
        <w:tc>
          <w:tcPr>
            <w:tcW w:w="345" w:type="dxa"/>
            <w:vMerge w:val="continue"/>
            <w:tcBorders>
              <w:left w:val="single" w:sz="4" w:space="0" w:color="000000"/>
              <w:right w:val="single" w:sz="4" w:space="0" w:color="000000"/>
            </w:tcBorders>
            <w:shd w:color="auto" w:fill="auto" w:val="clear"/>
            <w:vAlign w:val="center"/>
          </w:tcPr>
          <w:p>
            <w:pPr>
              <w:pStyle w:val="Normal"/>
              <w:rPr>
                <w:sz w:val="20"/>
                <w:szCs w:val="20"/>
                <w:lang w:eastAsia="ru-RU"/>
              </w:rPr>
            </w:pPr>
            <w:r>
              <w:rPr>
                <w:sz w:val="20"/>
                <w:szCs w:val="20"/>
                <w:lang w:eastAsia="ru-RU"/>
              </w:rPr>
            </w:r>
          </w:p>
        </w:tc>
        <w:tc>
          <w:tcPr>
            <w:tcW w:w="1601" w:type="dxa"/>
            <w:vMerge w:val="continue"/>
            <w:tcBorders>
              <w:left w:val="single" w:sz="4" w:space="0" w:color="000000"/>
              <w:right w:val="single" w:sz="4" w:space="0" w:color="000000"/>
            </w:tcBorders>
            <w:shd w:color="auto" w:fill="auto" w:val="clear"/>
            <w:vAlign w:val="center"/>
          </w:tcPr>
          <w:p>
            <w:pPr>
              <w:pStyle w:val="Normal"/>
              <w:rPr>
                <w:sz w:val="20"/>
                <w:szCs w:val="20"/>
                <w:lang w:eastAsia="ru-RU"/>
              </w:rPr>
            </w:pPr>
            <w:r>
              <w:rPr>
                <w:sz w:val="20"/>
                <w:szCs w:val="20"/>
                <w:lang w:eastAsia="ru-RU"/>
              </w:rPr>
            </w:r>
          </w:p>
        </w:tc>
        <w:tc>
          <w:tcPr>
            <w:tcW w:w="586" w:type="dxa"/>
            <w:tcBorders>
              <w:bottom w:val="single" w:sz="4" w:space="0" w:color="000000"/>
              <w:right w:val="single" w:sz="4" w:space="0" w:color="000000"/>
            </w:tcBorders>
            <w:shd w:color="auto" w:fill="auto" w:val="clear"/>
            <w:vAlign w:val="center"/>
          </w:tcPr>
          <w:p>
            <w:pPr>
              <w:pStyle w:val="Normal"/>
              <w:jc w:val="center"/>
              <w:rPr>
                <w:lang w:eastAsia="ru-RU"/>
              </w:rPr>
            </w:pPr>
            <w:r>
              <w:rPr>
                <w:sz w:val="20"/>
                <w:szCs w:val="20"/>
                <w:lang w:eastAsia="ru-RU"/>
              </w:rPr>
              <w:t>2026</w:t>
            </w:r>
          </w:p>
        </w:tc>
        <w:tc>
          <w:tcPr>
            <w:tcW w:w="12037" w:type="dxa"/>
            <w:gridSpan w:val="10"/>
            <w:vMerge w:val="continue"/>
            <w:tcBorders>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r>
          </w:p>
        </w:tc>
      </w:tr>
      <w:tr>
        <w:trPr>
          <w:trHeight w:val="20" w:hRule="atLeast"/>
        </w:trPr>
        <w:tc>
          <w:tcPr>
            <w:tcW w:w="345" w:type="dxa"/>
            <w:vMerge w:val="continue"/>
            <w:tcBorders>
              <w:left w:val="single" w:sz="4" w:space="0" w:color="000000"/>
              <w:right w:val="single" w:sz="4" w:space="0" w:color="000000"/>
            </w:tcBorders>
            <w:shd w:color="auto" w:fill="auto" w:val="clear"/>
            <w:vAlign w:val="center"/>
          </w:tcPr>
          <w:p>
            <w:pPr>
              <w:pStyle w:val="Normal"/>
              <w:rPr>
                <w:sz w:val="20"/>
                <w:szCs w:val="20"/>
                <w:lang w:eastAsia="ru-RU"/>
              </w:rPr>
            </w:pPr>
            <w:r>
              <w:rPr>
                <w:sz w:val="20"/>
                <w:szCs w:val="20"/>
                <w:lang w:eastAsia="ru-RU"/>
              </w:rPr>
            </w:r>
          </w:p>
        </w:tc>
        <w:tc>
          <w:tcPr>
            <w:tcW w:w="1601" w:type="dxa"/>
            <w:vMerge w:val="continue"/>
            <w:tcBorders>
              <w:left w:val="single" w:sz="4" w:space="0" w:color="000000"/>
              <w:right w:val="single" w:sz="4" w:space="0" w:color="000000"/>
            </w:tcBorders>
            <w:shd w:color="auto" w:fill="auto" w:val="clear"/>
            <w:vAlign w:val="center"/>
          </w:tcPr>
          <w:p>
            <w:pPr>
              <w:pStyle w:val="Normal"/>
              <w:rPr>
                <w:sz w:val="20"/>
                <w:szCs w:val="20"/>
                <w:lang w:eastAsia="ru-RU"/>
              </w:rPr>
            </w:pPr>
            <w:r>
              <w:rPr>
                <w:sz w:val="20"/>
                <w:szCs w:val="20"/>
                <w:lang w:eastAsia="ru-RU"/>
              </w:rPr>
            </w:r>
          </w:p>
        </w:tc>
        <w:tc>
          <w:tcPr>
            <w:tcW w:w="586" w:type="dxa"/>
            <w:tcBorders>
              <w:bottom w:val="single" w:sz="4" w:space="0" w:color="000000"/>
              <w:right w:val="single" w:sz="4" w:space="0" w:color="000000"/>
            </w:tcBorders>
            <w:shd w:color="auto" w:fill="auto" w:val="clear"/>
            <w:vAlign w:val="center"/>
          </w:tcPr>
          <w:p>
            <w:pPr>
              <w:pStyle w:val="Normal"/>
              <w:jc w:val="center"/>
              <w:rPr>
                <w:lang w:eastAsia="ru-RU"/>
              </w:rPr>
            </w:pPr>
            <w:r>
              <w:rPr>
                <w:sz w:val="20"/>
                <w:szCs w:val="20"/>
                <w:lang w:eastAsia="ru-RU"/>
              </w:rPr>
              <w:t>2027</w:t>
            </w:r>
          </w:p>
        </w:tc>
        <w:tc>
          <w:tcPr>
            <w:tcW w:w="1598" w:type="dxa"/>
            <w:tcBorders>
              <w:bottom w:val="single" w:sz="4" w:space="0" w:color="000000"/>
              <w:right w:val="single" w:sz="4" w:space="0" w:color="000000"/>
            </w:tcBorders>
            <w:shd w:color="auto" w:fill="auto" w:val="clear"/>
            <w:vAlign w:val="center"/>
          </w:tcPr>
          <w:p>
            <w:pPr>
              <w:pStyle w:val="Normal"/>
              <w:jc w:val="center"/>
              <w:rPr>
                <w:lang w:eastAsia="ru-RU"/>
              </w:rPr>
            </w:pPr>
            <w:r>
              <w:rPr>
                <w:sz w:val="20"/>
                <w:szCs w:val="20"/>
              </w:rPr>
              <w:t>11,13</w:t>
            </w:r>
          </w:p>
        </w:tc>
        <w:tc>
          <w:tcPr>
            <w:tcW w:w="1540" w:type="dxa"/>
            <w:tcBorders>
              <w:bottom w:val="single" w:sz="4" w:space="0" w:color="000000"/>
              <w:right w:val="single" w:sz="4" w:space="0" w:color="000000"/>
            </w:tcBorders>
            <w:shd w:color="auto" w:fill="auto" w:val="clear"/>
            <w:vAlign w:val="center"/>
          </w:tcPr>
          <w:p>
            <w:pPr>
              <w:pStyle w:val="Normal"/>
              <w:jc w:val="center"/>
              <w:rPr>
                <w:lang w:eastAsia="ru-RU"/>
              </w:rPr>
            </w:pPr>
            <w:r>
              <w:rPr>
                <w:sz w:val="20"/>
                <w:szCs w:val="20"/>
              </w:rPr>
              <w:t>11,13</w:t>
            </w:r>
          </w:p>
        </w:tc>
        <w:tc>
          <w:tcPr>
            <w:tcW w:w="1141" w:type="dxa"/>
            <w:tcBorders>
              <w:bottom w:val="single" w:sz="4" w:space="0" w:color="000000"/>
              <w:right w:val="single" w:sz="4" w:space="0" w:color="000000"/>
            </w:tcBorders>
            <w:shd w:color="auto" w:fill="auto" w:val="clear"/>
            <w:vAlign w:val="center"/>
          </w:tcPr>
          <w:p>
            <w:pPr>
              <w:pStyle w:val="Normal"/>
              <w:jc w:val="center"/>
              <w:rPr>
                <w:lang w:eastAsia="ru-RU"/>
              </w:rPr>
            </w:pPr>
            <w:r>
              <w:rPr>
                <w:sz w:val="20"/>
                <w:szCs w:val="20"/>
              </w:rPr>
              <w:t>11,00</w:t>
            </w:r>
          </w:p>
        </w:tc>
        <w:tc>
          <w:tcPr>
            <w:tcW w:w="1407" w:type="dxa"/>
            <w:tcBorders>
              <w:bottom w:val="single" w:sz="4" w:space="0" w:color="000000"/>
              <w:right w:val="single" w:sz="4" w:space="0" w:color="000000"/>
            </w:tcBorders>
            <w:shd w:color="auto" w:fill="auto" w:val="clear"/>
            <w:vAlign w:val="center"/>
          </w:tcPr>
          <w:p>
            <w:pPr>
              <w:pStyle w:val="Normal"/>
              <w:jc w:val="center"/>
              <w:rPr>
                <w:lang w:eastAsia="ru-RU"/>
              </w:rPr>
            </w:pPr>
            <w:r>
              <w:rPr>
                <w:sz w:val="20"/>
                <w:szCs w:val="20"/>
              </w:rPr>
              <w:t>0,13</w:t>
            </w:r>
          </w:p>
        </w:tc>
        <w:tc>
          <w:tcPr>
            <w:tcW w:w="1013" w:type="dxa"/>
            <w:gridSpan w:val="2"/>
            <w:tcBorders>
              <w:bottom w:val="single" w:sz="4" w:space="0" w:color="000000"/>
              <w:right w:val="single" w:sz="4" w:space="0" w:color="000000"/>
            </w:tcBorders>
            <w:shd w:color="auto" w:fill="auto" w:val="clear"/>
            <w:vAlign w:val="center"/>
          </w:tcPr>
          <w:p>
            <w:pPr>
              <w:pStyle w:val="Normal"/>
              <w:jc w:val="center"/>
              <w:rPr>
                <w:lang w:eastAsia="ru-RU"/>
              </w:rPr>
            </w:pPr>
            <w:r>
              <w:rPr>
                <w:sz w:val="20"/>
                <w:szCs w:val="20"/>
              </w:rPr>
              <w:t>0,080</w:t>
            </w:r>
          </w:p>
        </w:tc>
        <w:tc>
          <w:tcPr>
            <w:tcW w:w="1770" w:type="dxa"/>
            <w:tcBorders>
              <w:bottom w:val="single" w:sz="4" w:space="0" w:color="000000"/>
              <w:right w:val="single" w:sz="4" w:space="0" w:color="000000"/>
            </w:tcBorders>
            <w:shd w:color="auto" w:fill="auto" w:val="clear"/>
            <w:vAlign w:val="center"/>
          </w:tcPr>
          <w:p>
            <w:pPr>
              <w:pStyle w:val="Normal"/>
              <w:jc w:val="center"/>
              <w:rPr>
                <w:lang w:eastAsia="ru-RU"/>
              </w:rPr>
            </w:pPr>
            <w:r>
              <w:rPr>
                <w:sz w:val="20"/>
                <w:szCs w:val="20"/>
              </w:rPr>
              <w:t>8,890</w:t>
            </w:r>
          </w:p>
        </w:tc>
        <w:tc>
          <w:tcPr>
            <w:tcW w:w="1163" w:type="dxa"/>
            <w:tcBorders>
              <w:bottom w:val="single" w:sz="4" w:space="0" w:color="000000"/>
              <w:right w:val="single" w:sz="4" w:space="0" w:color="000000"/>
            </w:tcBorders>
            <w:shd w:color="auto" w:fill="auto" w:val="clear"/>
            <w:vAlign w:val="center"/>
          </w:tcPr>
          <w:p>
            <w:pPr>
              <w:pStyle w:val="Normal"/>
              <w:jc w:val="center"/>
              <w:rPr>
                <w:lang w:eastAsia="ru-RU"/>
              </w:rPr>
            </w:pPr>
            <w:r>
              <w:rPr>
                <w:sz w:val="20"/>
                <w:szCs w:val="20"/>
              </w:rPr>
              <w:t>8,970</w:t>
            </w:r>
          </w:p>
        </w:tc>
        <w:tc>
          <w:tcPr>
            <w:tcW w:w="1441" w:type="dxa"/>
            <w:tcBorders>
              <w:bottom w:val="single" w:sz="4" w:space="0" w:color="000000"/>
              <w:right w:val="single" w:sz="4" w:space="0" w:color="000000"/>
            </w:tcBorders>
            <w:shd w:color="auto" w:fill="auto" w:val="clear"/>
            <w:vAlign w:val="center"/>
          </w:tcPr>
          <w:p>
            <w:pPr>
              <w:pStyle w:val="Normal"/>
              <w:jc w:val="center"/>
              <w:rPr>
                <w:lang w:eastAsia="ru-RU"/>
              </w:rPr>
            </w:pPr>
            <w:r>
              <w:rPr>
                <w:sz w:val="20"/>
                <w:szCs w:val="20"/>
              </w:rPr>
              <w:t>2,030</w:t>
            </w:r>
          </w:p>
        </w:tc>
        <w:tc>
          <w:tcPr>
            <w:tcW w:w="964" w:type="dxa"/>
            <w:tcBorders>
              <w:bottom w:val="single" w:sz="4" w:space="0" w:color="000000"/>
              <w:right w:val="single" w:sz="4" w:space="0" w:color="000000"/>
            </w:tcBorders>
            <w:shd w:color="auto" w:fill="auto" w:val="clear"/>
            <w:vAlign w:val="center"/>
          </w:tcPr>
          <w:p>
            <w:pPr>
              <w:pStyle w:val="Normal"/>
              <w:jc w:val="center"/>
              <w:rPr>
                <w:lang w:eastAsia="ru-RU"/>
              </w:rPr>
            </w:pPr>
            <w:r>
              <w:rPr>
                <w:sz w:val="20"/>
                <w:szCs w:val="20"/>
              </w:rPr>
              <w:t>80,59</w:t>
            </w:r>
          </w:p>
        </w:tc>
      </w:tr>
      <w:tr>
        <w:trPr>
          <w:trHeight w:val="20" w:hRule="atLeast"/>
        </w:trPr>
        <w:tc>
          <w:tcPr>
            <w:tcW w:w="345" w:type="dxa"/>
            <w:vMerge w:val="continue"/>
            <w:tcBorders>
              <w:left w:val="single" w:sz="4" w:space="0" w:color="000000"/>
              <w:right w:val="single" w:sz="4" w:space="0" w:color="000000"/>
            </w:tcBorders>
            <w:shd w:color="auto" w:fill="auto" w:val="clear"/>
            <w:vAlign w:val="center"/>
          </w:tcPr>
          <w:p>
            <w:pPr>
              <w:pStyle w:val="Normal"/>
              <w:rPr>
                <w:sz w:val="20"/>
                <w:szCs w:val="20"/>
                <w:lang w:eastAsia="ru-RU"/>
              </w:rPr>
            </w:pPr>
            <w:r>
              <w:rPr>
                <w:sz w:val="20"/>
                <w:szCs w:val="20"/>
                <w:lang w:eastAsia="ru-RU"/>
              </w:rPr>
            </w:r>
          </w:p>
        </w:tc>
        <w:tc>
          <w:tcPr>
            <w:tcW w:w="1601" w:type="dxa"/>
            <w:vMerge w:val="continue"/>
            <w:tcBorders>
              <w:left w:val="single" w:sz="4" w:space="0" w:color="000000"/>
              <w:right w:val="single" w:sz="4" w:space="0" w:color="000000"/>
            </w:tcBorders>
            <w:shd w:color="auto" w:fill="auto" w:val="clear"/>
            <w:vAlign w:val="center"/>
          </w:tcPr>
          <w:p>
            <w:pPr>
              <w:pStyle w:val="Normal"/>
              <w:rPr>
                <w:sz w:val="20"/>
                <w:szCs w:val="20"/>
                <w:lang w:eastAsia="ru-RU"/>
              </w:rPr>
            </w:pPr>
            <w:r>
              <w:rPr>
                <w:sz w:val="20"/>
                <w:szCs w:val="20"/>
                <w:lang w:eastAsia="ru-RU"/>
              </w:rPr>
            </w:r>
          </w:p>
        </w:tc>
        <w:tc>
          <w:tcPr>
            <w:tcW w:w="586" w:type="dxa"/>
            <w:tcBorders>
              <w:right w:val="single" w:sz="4" w:space="0" w:color="000000"/>
            </w:tcBorders>
            <w:shd w:color="auto" w:fill="auto" w:val="clear"/>
            <w:vAlign w:val="center"/>
          </w:tcPr>
          <w:p>
            <w:pPr>
              <w:pStyle w:val="Normal"/>
              <w:jc w:val="center"/>
              <w:rPr>
                <w:lang w:eastAsia="ru-RU"/>
              </w:rPr>
            </w:pPr>
            <w:r>
              <w:rPr>
                <w:sz w:val="20"/>
                <w:szCs w:val="20"/>
                <w:lang w:eastAsia="ru-RU"/>
              </w:rPr>
              <w:t>2028</w:t>
            </w:r>
          </w:p>
        </w:tc>
        <w:tc>
          <w:tcPr>
            <w:tcW w:w="1598" w:type="dxa"/>
            <w:tcBorders>
              <w:right w:val="single" w:sz="4" w:space="0" w:color="000000"/>
            </w:tcBorders>
            <w:shd w:color="auto" w:fill="auto" w:val="clear"/>
            <w:vAlign w:val="center"/>
          </w:tcPr>
          <w:p>
            <w:pPr>
              <w:pStyle w:val="Normal"/>
              <w:jc w:val="center"/>
              <w:rPr>
                <w:lang w:eastAsia="ru-RU"/>
              </w:rPr>
            </w:pPr>
            <w:r>
              <w:rPr>
                <w:sz w:val="20"/>
                <w:szCs w:val="20"/>
              </w:rPr>
              <w:t>11,13</w:t>
            </w:r>
          </w:p>
        </w:tc>
        <w:tc>
          <w:tcPr>
            <w:tcW w:w="1540" w:type="dxa"/>
            <w:tcBorders>
              <w:right w:val="single" w:sz="4" w:space="0" w:color="000000"/>
            </w:tcBorders>
            <w:shd w:color="auto" w:fill="auto" w:val="clear"/>
            <w:vAlign w:val="center"/>
          </w:tcPr>
          <w:p>
            <w:pPr>
              <w:pStyle w:val="Normal"/>
              <w:jc w:val="center"/>
              <w:rPr>
                <w:lang w:eastAsia="ru-RU"/>
              </w:rPr>
            </w:pPr>
            <w:r>
              <w:rPr>
                <w:sz w:val="20"/>
                <w:szCs w:val="20"/>
              </w:rPr>
              <w:t>11,13</w:t>
            </w:r>
          </w:p>
        </w:tc>
        <w:tc>
          <w:tcPr>
            <w:tcW w:w="1141" w:type="dxa"/>
            <w:tcBorders>
              <w:right w:val="single" w:sz="4" w:space="0" w:color="000000"/>
            </w:tcBorders>
            <w:shd w:color="auto" w:fill="auto" w:val="clear"/>
            <w:vAlign w:val="center"/>
          </w:tcPr>
          <w:p>
            <w:pPr>
              <w:pStyle w:val="Normal"/>
              <w:jc w:val="center"/>
              <w:rPr>
                <w:lang w:eastAsia="ru-RU"/>
              </w:rPr>
            </w:pPr>
            <w:r>
              <w:rPr>
                <w:sz w:val="20"/>
                <w:szCs w:val="20"/>
              </w:rPr>
              <w:t>11,00</w:t>
            </w:r>
          </w:p>
        </w:tc>
        <w:tc>
          <w:tcPr>
            <w:tcW w:w="1407" w:type="dxa"/>
            <w:tcBorders>
              <w:right w:val="single" w:sz="4" w:space="0" w:color="000000"/>
            </w:tcBorders>
            <w:shd w:color="auto" w:fill="auto" w:val="clear"/>
            <w:vAlign w:val="center"/>
          </w:tcPr>
          <w:p>
            <w:pPr>
              <w:pStyle w:val="Normal"/>
              <w:jc w:val="center"/>
              <w:rPr>
                <w:lang w:eastAsia="ru-RU"/>
              </w:rPr>
            </w:pPr>
            <w:r>
              <w:rPr>
                <w:sz w:val="20"/>
                <w:szCs w:val="20"/>
              </w:rPr>
              <w:t>0,13</w:t>
            </w:r>
          </w:p>
        </w:tc>
        <w:tc>
          <w:tcPr>
            <w:tcW w:w="1013" w:type="dxa"/>
            <w:gridSpan w:val="2"/>
            <w:tcBorders>
              <w:right w:val="single" w:sz="4" w:space="0" w:color="000000"/>
            </w:tcBorders>
            <w:shd w:color="auto" w:fill="auto" w:val="clear"/>
            <w:vAlign w:val="center"/>
          </w:tcPr>
          <w:p>
            <w:pPr>
              <w:pStyle w:val="Normal"/>
              <w:jc w:val="center"/>
              <w:rPr>
                <w:lang w:eastAsia="ru-RU"/>
              </w:rPr>
            </w:pPr>
            <w:r>
              <w:rPr>
                <w:sz w:val="20"/>
                <w:szCs w:val="20"/>
              </w:rPr>
              <w:t>0,080</w:t>
            </w:r>
          </w:p>
        </w:tc>
        <w:tc>
          <w:tcPr>
            <w:tcW w:w="1770" w:type="dxa"/>
            <w:tcBorders>
              <w:right w:val="single" w:sz="4" w:space="0" w:color="000000"/>
            </w:tcBorders>
            <w:shd w:color="auto" w:fill="auto" w:val="clear"/>
            <w:vAlign w:val="center"/>
          </w:tcPr>
          <w:p>
            <w:pPr>
              <w:pStyle w:val="Normal"/>
              <w:jc w:val="center"/>
              <w:rPr>
                <w:lang w:eastAsia="ru-RU"/>
              </w:rPr>
            </w:pPr>
            <w:r>
              <w:rPr>
                <w:sz w:val="20"/>
                <w:szCs w:val="20"/>
              </w:rPr>
              <w:t>8,890</w:t>
            </w:r>
          </w:p>
        </w:tc>
        <w:tc>
          <w:tcPr>
            <w:tcW w:w="1163" w:type="dxa"/>
            <w:tcBorders>
              <w:right w:val="single" w:sz="4" w:space="0" w:color="000000"/>
            </w:tcBorders>
            <w:shd w:color="auto" w:fill="auto" w:val="clear"/>
            <w:vAlign w:val="center"/>
          </w:tcPr>
          <w:p>
            <w:pPr>
              <w:pStyle w:val="Normal"/>
              <w:jc w:val="center"/>
              <w:rPr>
                <w:lang w:eastAsia="ru-RU"/>
              </w:rPr>
            </w:pPr>
            <w:r>
              <w:rPr>
                <w:sz w:val="20"/>
                <w:szCs w:val="20"/>
              </w:rPr>
              <w:t>8,970</w:t>
            </w:r>
          </w:p>
        </w:tc>
        <w:tc>
          <w:tcPr>
            <w:tcW w:w="1441" w:type="dxa"/>
            <w:tcBorders>
              <w:right w:val="single" w:sz="4" w:space="0" w:color="000000"/>
            </w:tcBorders>
            <w:shd w:color="auto" w:fill="auto" w:val="clear"/>
            <w:vAlign w:val="center"/>
          </w:tcPr>
          <w:p>
            <w:pPr>
              <w:pStyle w:val="Normal"/>
              <w:jc w:val="center"/>
              <w:rPr>
                <w:lang w:eastAsia="ru-RU"/>
              </w:rPr>
            </w:pPr>
            <w:r>
              <w:rPr>
                <w:sz w:val="20"/>
                <w:szCs w:val="20"/>
              </w:rPr>
              <w:t>2,030</w:t>
            </w:r>
          </w:p>
        </w:tc>
        <w:tc>
          <w:tcPr>
            <w:tcW w:w="964" w:type="dxa"/>
            <w:tcBorders>
              <w:right w:val="single" w:sz="4" w:space="0" w:color="000000"/>
            </w:tcBorders>
            <w:shd w:color="auto" w:fill="auto" w:val="clear"/>
            <w:vAlign w:val="center"/>
          </w:tcPr>
          <w:p>
            <w:pPr>
              <w:pStyle w:val="Normal"/>
              <w:jc w:val="center"/>
              <w:rPr>
                <w:lang w:eastAsia="ru-RU"/>
              </w:rPr>
            </w:pPr>
            <w:r>
              <w:rPr>
                <w:sz w:val="20"/>
                <w:szCs w:val="20"/>
              </w:rPr>
              <w:t>80,59</w:t>
            </w:r>
          </w:p>
        </w:tc>
      </w:tr>
      <w:tr>
        <w:trPr>
          <w:trHeight w:val="20" w:hRule="atLeast"/>
        </w:trPr>
        <w:tc>
          <w:tcPr>
            <w:tcW w:w="345" w:type="dxa"/>
            <w:vMerge w:val="continue"/>
            <w:tcBorders>
              <w:left w:val="single" w:sz="4" w:space="0" w:color="000000"/>
              <w:right w:val="single" w:sz="4" w:space="0" w:color="000000"/>
            </w:tcBorders>
            <w:shd w:color="auto" w:fill="auto" w:val="clear"/>
            <w:vAlign w:val="center"/>
          </w:tcPr>
          <w:p>
            <w:pPr>
              <w:pStyle w:val="Normal"/>
              <w:rPr>
                <w:sz w:val="20"/>
                <w:szCs w:val="20"/>
                <w:lang w:eastAsia="ru-RU"/>
              </w:rPr>
            </w:pPr>
            <w:r>
              <w:rPr>
                <w:sz w:val="20"/>
                <w:szCs w:val="20"/>
                <w:lang w:eastAsia="ru-RU"/>
              </w:rPr>
            </w:r>
          </w:p>
        </w:tc>
        <w:tc>
          <w:tcPr>
            <w:tcW w:w="1601" w:type="dxa"/>
            <w:vMerge w:val="continue"/>
            <w:tcBorders>
              <w:left w:val="single" w:sz="4" w:space="0" w:color="000000"/>
              <w:right w:val="single" w:sz="4" w:space="0" w:color="000000"/>
            </w:tcBorders>
            <w:shd w:color="auto" w:fill="auto" w:val="clear"/>
            <w:vAlign w:val="center"/>
          </w:tcPr>
          <w:p>
            <w:pPr>
              <w:pStyle w:val="Normal"/>
              <w:rPr>
                <w:sz w:val="20"/>
                <w:szCs w:val="20"/>
                <w:lang w:eastAsia="ru-RU"/>
              </w:rPr>
            </w:pPr>
            <w:r>
              <w:rPr>
                <w:sz w:val="20"/>
                <w:szCs w:val="20"/>
                <w:lang w:eastAsia="ru-RU"/>
              </w:rPr>
            </w:r>
          </w:p>
        </w:tc>
        <w:tc>
          <w:tcPr>
            <w:tcW w:w="586" w:type="dxa"/>
            <w:tcBorders>
              <w:bottom w:val="single" w:sz="4" w:space="0" w:color="000000"/>
              <w:right w:val="single" w:sz="4" w:space="0" w:color="000000"/>
            </w:tcBorders>
            <w:shd w:color="auto" w:fill="auto" w:val="clear"/>
            <w:vAlign w:val="center"/>
          </w:tcPr>
          <w:p>
            <w:pPr>
              <w:pStyle w:val="Normal"/>
              <w:jc w:val="center"/>
              <w:rPr>
                <w:lang w:eastAsia="ru-RU"/>
              </w:rPr>
            </w:pPr>
            <w:r>
              <w:rPr>
                <w:sz w:val="20"/>
                <w:szCs w:val="20"/>
                <w:lang w:eastAsia="ru-RU"/>
              </w:rPr>
              <w:t>2029-2032</w:t>
            </w:r>
          </w:p>
        </w:tc>
        <w:tc>
          <w:tcPr>
            <w:tcW w:w="1598" w:type="dxa"/>
            <w:tcBorders>
              <w:bottom w:val="single" w:sz="4" w:space="0" w:color="000000"/>
              <w:right w:val="single" w:sz="4" w:space="0" w:color="000000"/>
            </w:tcBorders>
            <w:shd w:color="auto" w:fill="auto" w:val="clear"/>
            <w:vAlign w:val="center"/>
          </w:tcPr>
          <w:p>
            <w:pPr>
              <w:pStyle w:val="Normal"/>
              <w:jc w:val="center"/>
              <w:rPr>
                <w:lang w:eastAsia="ru-RU"/>
              </w:rPr>
            </w:pPr>
            <w:r>
              <w:rPr>
                <w:sz w:val="20"/>
                <w:szCs w:val="20"/>
              </w:rPr>
              <w:t>11,13</w:t>
            </w:r>
          </w:p>
        </w:tc>
        <w:tc>
          <w:tcPr>
            <w:tcW w:w="1540" w:type="dxa"/>
            <w:tcBorders>
              <w:bottom w:val="single" w:sz="4" w:space="0" w:color="000000"/>
              <w:right w:val="single" w:sz="4" w:space="0" w:color="000000"/>
            </w:tcBorders>
            <w:shd w:color="auto" w:fill="auto" w:val="clear"/>
            <w:vAlign w:val="center"/>
          </w:tcPr>
          <w:p>
            <w:pPr>
              <w:pStyle w:val="Normal"/>
              <w:jc w:val="center"/>
              <w:rPr>
                <w:lang w:eastAsia="ru-RU"/>
              </w:rPr>
            </w:pPr>
            <w:r>
              <w:rPr>
                <w:sz w:val="20"/>
                <w:szCs w:val="20"/>
              </w:rPr>
              <w:t>11,13</w:t>
            </w:r>
          </w:p>
        </w:tc>
        <w:tc>
          <w:tcPr>
            <w:tcW w:w="1141" w:type="dxa"/>
            <w:tcBorders>
              <w:bottom w:val="single" w:sz="4" w:space="0" w:color="000000"/>
              <w:right w:val="single" w:sz="4" w:space="0" w:color="000000"/>
            </w:tcBorders>
            <w:shd w:color="auto" w:fill="auto" w:val="clear"/>
            <w:vAlign w:val="center"/>
          </w:tcPr>
          <w:p>
            <w:pPr>
              <w:pStyle w:val="Normal"/>
              <w:jc w:val="center"/>
              <w:rPr>
                <w:lang w:eastAsia="ru-RU"/>
              </w:rPr>
            </w:pPr>
            <w:r>
              <w:rPr>
                <w:sz w:val="20"/>
                <w:szCs w:val="20"/>
              </w:rPr>
              <w:t>11,00</w:t>
            </w:r>
          </w:p>
        </w:tc>
        <w:tc>
          <w:tcPr>
            <w:tcW w:w="1407" w:type="dxa"/>
            <w:tcBorders>
              <w:bottom w:val="single" w:sz="4" w:space="0" w:color="000000"/>
              <w:right w:val="single" w:sz="4" w:space="0" w:color="000000"/>
            </w:tcBorders>
            <w:shd w:color="auto" w:fill="auto" w:val="clear"/>
            <w:vAlign w:val="center"/>
          </w:tcPr>
          <w:p>
            <w:pPr>
              <w:pStyle w:val="Normal"/>
              <w:jc w:val="center"/>
              <w:rPr>
                <w:lang w:eastAsia="ru-RU"/>
              </w:rPr>
            </w:pPr>
            <w:r>
              <w:rPr>
                <w:sz w:val="20"/>
                <w:szCs w:val="20"/>
              </w:rPr>
              <w:t>0,13</w:t>
            </w:r>
          </w:p>
        </w:tc>
        <w:tc>
          <w:tcPr>
            <w:tcW w:w="1013" w:type="dxa"/>
            <w:gridSpan w:val="2"/>
            <w:tcBorders>
              <w:bottom w:val="single" w:sz="4" w:space="0" w:color="000000"/>
              <w:right w:val="single" w:sz="4" w:space="0" w:color="000000"/>
            </w:tcBorders>
            <w:shd w:color="auto" w:fill="auto" w:val="clear"/>
            <w:vAlign w:val="center"/>
          </w:tcPr>
          <w:p>
            <w:pPr>
              <w:pStyle w:val="Normal"/>
              <w:jc w:val="center"/>
              <w:rPr>
                <w:lang w:eastAsia="ru-RU"/>
              </w:rPr>
            </w:pPr>
            <w:r>
              <w:rPr>
                <w:sz w:val="20"/>
                <w:szCs w:val="20"/>
              </w:rPr>
              <w:t>0,080</w:t>
            </w:r>
          </w:p>
        </w:tc>
        <w:tc>
          <w:tcPr>
            <w:tcW w:w="1770" w:type="dxa"/>
            <w:tcBorders>
              <w:bottom w:val="single" w:sz="4" w:space="0" w:color="000000"/>
              <w:right w:val="single" w:sz="4" w:space="0" w:color="000000"/>
            </w:tcBorders>
            <w:shd w:color="auto" w:fill="auto" w:val="clear"/>
            <w:vAlign w:val="center"/>
          </w:tcPr>
          <w:p>
            <w:pPr>
              <w:pStyle w:val="Normal"/>
              <w:jc w:val="center"/>
              <w:rPr>
                <w:lang w:eastAsia="ru-RU"/>
              </w:rPr>
            </w:pPr>
            <w:r>
              <w:rPr>
                <w:sz w:val="20"/>
                <w:szCs w:val="20"/>
              </w:rPr>
              <w:t>8,890</w:t>
            </w:r>
          </w:p>
        </w:tc>
        <w:tc>
          <w:tcPr>
            <w:tcW w:w="1163" w:type="dxa"/>
            <w:tcBorders>
              <w:bottom w:val="single" w:sz="4" w:space="0" w:color="000000"/>
              <w:right w:val="single" w:sz="4" w:space="0" w:color="000000"/>
            </w:tcBorders>
            <w:shd w:color="auto" w:fill="auto" w:val="clear"/>
            <w:vAlign w:val="center"/>
          </w:tcPr>
          <w:p>
            <w:pPr>
              <w:pStyle w:val="Normal"/>
              <w:jc w:val="center"/>
              <w:rPr>
                <w:lang w:eastAsia="ru-RU"/>
              </w:rPr>
            </w:pPr>
            <w:r>
              <w:rPr>
                <w:sz w:val="20"/>
                <w:szCs w:val="20"/>
              </w:rPr>
              <w:t>8,970</w:t>
            </w:r>
          </w:p>
        </w:tc>
        <w:tc>
          <w:tcPr>
            <w:tcW w:w="1441" w:type="dxa"/>
            <w:tcBorders>
              <w:bottom w:val="single" w:sz="4" w:space="0" w:color="000000"/>
              <w:right w:val="single" w:sz="4" w:space="0" w:color="000000"/>
            </w:tcBorders>
            <w:shd w:color="auto" w:fill="auto" w:val="clear"/>
            <w:vAlign w:val="center"/>
          </w:tcPr>
          <w:p>
            <w:pPr>
              <w:pStyle w:val="Normal"/>
              <w:jc w:val="center"/>
              <w:rPr>
                <w:lang w:eastAsia="ru-RU"/>
              </w:rPr>
            </w:pPr>
            <w:r>
              <w:rPr>
                <w:sz w:val="20"/>
                <w:szCs w:val="20"/>
              </w:rPr>
              <w:t>2,030</w:t>
            </w:r>
          </w:p>
        </w:tc>
        <w:tc>
          <w:tcPr>
            <w:tcW w:w="964" w:type="dxa"/>
            <w:tcBorders>
              <w:bottom w:val="single" w:sz="4" w:space="0" w:color="000000"/>
              <w:right w:val="single" w:sz="4" w:space="0" w:color="000000"/>
            </w:tcBorders>
            <w:shd w:color="auto" w:fill="auto" w:val="clear"/>
            <w:vAlign w:val="center"/>
          </w:tcPr>
          <w:p>
            <w:pPr>
              <w:pStyle w:val="Normal"/>
              <w:jc w:val="center"/>
              <w:rPr>
                <w:lang w:eastAsia="ru-RU"/>
              </w:rPr>
            </w:pPr>
            <w:r>
              <w:rPr>
                <w:sz w:val="20"/>
                <w:szCs w:val="20"/>
              </w:rPr>
              <w:t>80,59</w:t>
            </w:r>
          </w:p>
        </w:tc>
      </w:tr>
      <w:tr>
        <w:trPr>
          <w:trHeight w:val="20" w:hRule="atLeast"/>
        </w:trPr>
        <w:tc>
          <w:tcPr>
            <w:tcW w:w="345" w:type="dxa"/>
            <w:vMerge w:val="continue"/>
            <w:tcBorders>
              <w:left w:val="single" w:sz="4" w:space="0" w:color="000000"/>
              <w:bottom w:val="single" w:sz="4" w:space="0" w:color="000000"/>
              <w:right w:val="single" w:sz="4" w:space="0" w:color="000000"/>
            </w:tcBorders>
            <w:shd w:color="auto" w:fill="auto" w:val="clear"/>
            <w:vAlign w:val="center"/>
          </w:tcPr>
          <w:p>
            <w:pPr>
              <w:pStyle w:val="Normal"/>
              <w:rPr>
                <w:sz w:val="20"/>
                <w:szCs w:val="20"/>
                <w:lang w:eastAsia="ru-RU"/>
              </w:rPr>
            </w:pPr>
            <w:r>
              <w:rPr>
                <w:sz w:val="20"/>
                <w:szCs w:val="20"/>
                <w:lang w:eastAsia="ru-RU"/>
              </w:rPr>
            </w:r>
          </w:p>
        </w:tc>
        <w:tc>
          <w:tcPr>
            <w:tcW w:w="1601" w:type="dxa"/>
            <w:vMerge w:val="continue"/>
            <w:tcBorders>
              <w:left w:val="single" w:sz="4" w:space="0" w:color="000000"/>
              <w:bottom w:val="single" w:sz="4" w:space="0" w:color="000000"/>
              <w:right w:val="single" w:sz="4" w:space="0" w:color="000000"/>
            </w:tcBorders>
            <w:shd w:color="auto" w:fill="auto" w:val="clear"/>
            <w:vAlign w:val="center"/>
          </w:tcPr>
          <w:p>
            <w:pPr>
              <w:pStyle w:val="Normal"/>
              <w:rPr>
                <w:sz w:val="20"/>
                <w:szCs w:val="20"/>
                <w:lang w:eastAsia="ru-RU"/>
              </w:rPr>
            </w:pPr>
            <w:r>
              <w:rPr>
                <w:sz w:val="20"/>
                <w:szCs w:val="20"/>
                <w:lang w:eastAsia="ru-RU"/>
              </w:rPr>
            </w:r>
          </w:p>
        </w:tc>
        <w:tc>
          <w:tcPr>
            <w:tcW w:w="586" w:type="dxa"/>
            <w:tcBorders>
              <w:bottom w:val="single" w:sz="4" w:space="0" w:color="000000"/>
              <w:right w:val="single" w:sz="4" w:space="0" w:color="000000"/>
            </w:tcBorders>
            <w:shd w:color="auto" w:fill="auto" w:val="clear"/>
            <w:vAlign w:val="center"/>
          </w:tcPr>
          <w:p>
            <w:pPr>
              <w:pStyle w:val="Normal"/>
              <w:jc w:val="center"/>
              <w:rPr>
                <w:lang w:eastAsia="ru-RU"/>
              </w:rPr>
            </w:pPr>
            <w:r>
              <w:rPr>
                <w:sz w:val="20"/>
                <w:szCs w:val="20"/>
                <w:lang w:eastAsia="ru-RU"/>
              </w:rPr>
              <w:t>2033-2035</w:t>
            </w:r>
          </w:p>
        </w:tc>
        <w:tc>
          <w:tcPr>
            <w:tcW w:w="1598" w:type="dxa"/>
            <w:tcBorders>
              <w:bottom w:val="single" w:sz="4" w:space="0" w:color="000000"/>
              <w:right w:val="single" w:sz="4" w:space="0" w:color="000000"/>
            </w:tcBorders>
            <w:shd w:color="auto" w:fill="auto" w:val="clear"/>
            <w:vAlign w:val="center"/>
          </w:tcPr>
          <w:p>
            <w:pPr>
              <w:pStyle w:val="Normal"/>
              <w:jc w:val="center"/>
              <w:rPr>
                <w:lang w:eastAsia="ru-RU"/>
              </w:rPr>
            </w:pPr>
            <w:r>
              <w:rPr>
                <w:sz w:val="20"/>
                <w:szCs w:val="20"/>
              </w:rPr>
              <w:t>11,13</w:t>
            </w:r>
          </w:p>
        </w:tc>
        <w:tc>
          <w:tcPr>
            <w:tcW w:w="1540" w:type="dxa"/>
            <w:tcBorders>
              <w:bottom w:val="single" w:sz="4" w:space="0" w:color="000000"/>
              <w:right w:val="single" w:sz="4" w:space="0" w:color="000000"/>
            </w:tcBorders>
            <w:shd w:color="auto" w:fill="auto" w:val="clear"/>
            <w:vAlign w:val="center"/>
          </w:tcPr>
          <w:p>
            <w:pPr>
              <w:pStyle w:val="Normal"/>
              <w:jc w:val="center"/>
              <w:rPr>
                <w:lang w:eastAsia="ru-RU"/>
              </w:rPr>
            </w:pPr>
            <w:r>
              <w:rPr>
                <w:sz w:val="20"/>
                <w:szCs w:val="20"/>
              </w:rPr>
              <w:t>11,13</w:t>
            </w:r>
          </w:p>
        </w:tc>
        <w:tc>
          <w:tcPr>
            <w:tcW w:w="1141" w:type="dxa"/>
            <w:tcBorders>
              <w:bottom w:val="single" w:sz="4" w:space="0" w:color="000000"/>
              <w:right w:val="single" w:sz="4" w:space="0" w:color="000000"/>
            </w:tcBorders>
            <w:shd w:color="auto" w:fill="auto" w:val="clear"/>
            <w:vAlign w:val="center"/>
          </w:tcPr>
          <w:p>
            <w:pPr>
              <w:pStyle w:val="Normal"/>
              <w:jc w:val="center"/>
              <w:rPr>
                <w:lang w:eastAsia="ru-RU"/>
              </w:rPr>
            </w:pPr>
            <w:r>
              <w:rPr>
                <w:sz w:val="20"/>
                <w:szCs w:val="20"/>
              </w:rPr>
              <w:t>11,00</w:t>
            </w:r>
          </w:p>
        </w:tc>
        <w:tc>
          <w:tcPr>
            <w:tcW w:w="1407" w:type="dxa"/>
            <w:tcBorders>
              <w:bottom w:val="single" w:sz="4" w:space="0" w:color="000000"/>
              <w:right w:val="single" w:sz="4" w:space="0" w:color="000000"/>
            </w:tcBorders>
            <w:shd w:color="auto" w:fill="auto" w:val="clear"/>
            <w:vAlign w:val="center"/>
          </w:tcPr>
          <w:p>
            <w:pPr>
              <w:pStyle w:val="Normal"/>
              <w:jc w:val="center"/>
              <w:rPr>
                <w:lang w:eastAsia="ru-RU"/>
              </w:rPr>
            </w:pPr>
            <w:r>
              <w:rPr>
                <w:sz w:val="20"/>
                <w:szCs w:val="20"/>
              </w:rPr>
              <w:t>0,13</w:t>
            </w:r>
          </w:p>
        </w:tc>
        <w:tc>
          <w:tcPr>
            <w:tcW w:w="1013" w:type="dxa"/>
            <w:gridSpan w:val="2"/>
            <w:tcBorders>
              <w:bottom w:val="single" w:sz="4" w:space="0" w:color="000000"/>
              <w:right w:val="single" w:sz="4" w:space="0" w:color="000000"/>
            </w:tcBorders>
            <w:shd w:color="auto" w:fill="auto" w:val="clear"/>
            <w:vAlign w:val="center"/>
          </w:tcPr>
          <w:p>
            <w:pPr>
              <w:pStyle w:val="Normal"/>
              <w:jc w:val="center"/>
              <w:rPr>
                <w:lang w:eastAsia="ru-RU"/>
              </w:rPr>
            </w:pPr>
            <w:r>
              <w:rPr>
                <w:sz w:val="20"/>
                <w:szCs w:val="20"/>
              </w:rPr>
              <w:t>0,080</w:t>
            </w:r>
          </w:p>
        </w:tc>
        <w:tc>
          <w:tcPr>
            <w:tcW w:w="1770" w:type="dxa"/>
            <w:tcBorders>
              <w:bottom w:val="single" w:sz="4" w:space="0" w:color="000000"/>
              <w:right w:val="single" w:sz="4" w:space="0" w:color="000000"/>
            </w:tcBorders>
            <w:shd w:color="auto" w:fill="auto" w:val="clear"/>
            <w:vAlign w:val="center"/>
          </w:tcPr>
          <w:p>
            <w:pPr>
              <w:pStyle w:val="Normal"/>
              <w:jc w:val="center"/>
              <w:rPr>
                <w:lang w:eastAsia="ru-RU"/>
              </w:rPr>
            </w:pPr>
            <w:r>
              <w:rPr>
                <w:sz w:val="20"/>
                <w:szCs w:val="20"/>
              </w:rPr>
              <w:t>8,890</w:t>
            </w:r>
          </w:p>
        </w:tc>
        <w:tc>
          <w:tcPr>
            <w:tcW w:w="1163" w:type="dxa"/>
            <w:tcBorders>
              <w:bottom w:val="single" w:sz="4" w:space="0" w:color="000000"/>
              <w:right w:val="single" w:sz="4" w:space="0" w:color="000000"/>
            </w:tcBorders>
            <w:shd w:color="auto" w:fill="auto" w:val="clear"/>
            <w:vAlign w:val="center"/>
          </w:tcPr>
          <w:p>
            <w:pPr>
              <w:pStyle w:val="Normal"/>
              <w:jc w:val="center"/>
              <w:rPr>
                <w:lang w:eastAsia="ru-RU"/>
              </w:rPr>
            </w:pPr>
            <w:r>
              <w:rPr>
                <w:sz w:val="20"/>
                <w:szCs w:val="20"/>
              </w:rPr>
              <w:t>8,970</w:t>
            </w:r>
          </w:p>
        </w:tc>
        <w:tc>
          <w:tcPr>
            <w:tcW w:w="1441" w:type="dxa"/>
            <w:tcBorders>
              <w:bottom w:val="single" w:sz="4" w:space="0" w:color="000000"/>
              <w:right w:val="single" w:sz="4" w:space="0" w:color="000000"/>
            </w:tcBorders>
            <w:shd w:color="auto" w:fill="auto" w:val="clear"/>
            <w:vAlign w:val="center"/>
          </w:tcPr>
          <w:p>
            <w:pPr>
              <w:pStyle w:val="Normal"/>
              <w:jc w:val="center"/>
              <w:rPr>
                <w:lang w:eastAsia="ru-RU"/>
              </w:rPr>
            </w:pPr>
            <w:r>
              <w:rPr>
                <w:sz w:val="20"/>
                <w:szCs w:val="20"/>
              </w:rPr>
              <w:t>2,030</w:t>
            </w:r>
          </w:p>
        </w:tc>
        <w:tc>
          <w:tcPr>
            <w:tcW w:w="964" w:type="dxa"/>
            <w:tcBorders>
              <w:bottom w:val="single" w:sz="4" w:space="0" w:color="000000"/>
              <w:right w:val="single" w:sz="4" w:space="0" w:color="000000"/>
            </w:tcBorders>
            <w:shd w:color="auto" w:fill="auto" w:val="clear"/>
            <w:vAlign w:val="center"/>
          </w:tcPr>
          <w:p>
            <w:pPr>
              <w:pStyle w:val="Normal"/>
              <w:jc w:val="center"/>
              <w:rPr>
                <w:lang w:eastAsia="ru-RU"/>
              </w:rPr>
            </w:pPr>
            <w:r>
              <w:rPr>
                <w:sz w:val="20"/>
                <w:szCs w:val="20"/>
              </w:rPr>
              <w:t>80,59</w:t>
            </w:r>
            <w:bookmarkStart w:id="41" w:name="_Hlk501238471"/>
            <w:bookmarkStart w:id="42" w:name="_Hlk343846891"/>
            <w:bookmarkEnd w:id="41"/>
            <w:bookmarkEnd w:id="42"/>
          </w:p>
        </w:tc>
      </w:tr>
    </w:tbl>
    <w:p>
      <w:pPr>
        <w:sectPr>
          <w:headerReference w:type="default" r:id="rId16"/>
          <w:footerReference w:type="default" r:id="rId17"/>
          <w:type w:val="nextPage"/>
          <w:pgSz w:orient="landscape" w:w="16838" w:h="11906"/>
          <w:pgMar w:left="1701" w:right="567" w:header="708" w:top="1135" w:footer="0" w:bottom="850" w:gutter="0"/>
          <w:pgNumType w:fmt="decimal"/>
          <w:formProt w:val="false"/>
          <w:textDirection w:val="lrTb"/>
          <w:docGrid w:type="default" w:linePitch="360" w:charSpace="0"/>
        </w:sectPr>
      </w:pPr>
    </w:p>
    <w:p>
      <w:pPr>
        <w:pStyle w:val="Normal"/>
        <w:keepNext w:val="true"/>
        <w:keepLines/>
        <w:numPr>
          <w:ilvl w:val="0"/>
          <w:numId w:val="0"/>
        </w:numPr>
        <w:ind w:left="0" w:firstLine="709"/>
        <w:jc w:val="both"/>
        <w:outlineLvl w:val="1"/>
        <w:rPr>
          <w:rFonts w:eastAsia="Calibri Light" w:cs="Calibri Light"/>
          <w:b/>
          <w:b/>
          <w:szCs w:val="26"/>
          <w:lang w:eastAsia="en-US"/>
        </w:rPr>
      </w:pPr>
      <w:bookmarkStart w:id="43" w:name="_Toc83725888"/>
      <w:bookmarkStart w:id="44" w:name="_Toc160516813"/>
      <w:bookmarkStart w:id="45" w:name="_Toc181366956"/>
      <w:bookmarkStart w:id="46" w:name="_Toc83718928"/>
      <w:bookmarkStart w:id="47" w:name="_Toc160530681"/>
      <w:bookmarkStart w:id="48" w:name="_Toc23034109"/>
      <w:bookmarkEnd w:id="46"/>
      <w:bookmarkEnd w:id="47"/>
      <w:bookmarkEnd w:id="48"/>
      <w:r>
        <w:rPr>
          <w:rFonts w:eastAsia="Calibri Light" w:cs="Calibri Light"/>
          <w:b/>
          <w:szCs w:val="26"/>
          <w:lang w:eastAsia="en-US"/>
        </w:rPr>
        <w:t>2.4. Перспективные балансы тепловой мощности источников тепловой энергии и тепловой нагрузки потребителей в случае, если зона действия источника тепловой энергии расположена в границах двух или более поселений, с указанием величины тепловой нагрузки для потребителей каждого поселения</w:t>
      </w:r>
      <w:bookmarkEnd w:id="43"/>
      <w:bookmarkEnd w:id="44"/>
      <w:bookmarkEnd w:id="45"/>
    </w:p>
    <w:p>
      <w:pPr>
        <w:pStyle w:val="Normal"/>
        <w:keepNext w:val="true"/>
        <w:keepLines/>
        <w:numPr>
          <w:ilvl w:val="0"/>
          <w:numId w:val="0"/>
        </w:numPr>
        <w:ind w:left="0" w:firstLine="709"/>
        <w:jc w:val="both"/>
        <w:outlineLvl w:val="1"/>
        <w:rPr>
          <w:rFonts w:eastAsia="Calibri Light" w:cs="Calibri Light"/>
          <w:b/>
          <w:b/>
          <w:szCs w:val="26"/>
          <w:lang w:eastAsia="en-US"/>
        </w:rPr>
      </w:pPr>
      <w:r>
        <w:rPr>
          <w:rFonts w:eastAsia="Calibri" w:cs="Calibri"/>
          <w:szCs w:val="22"/>
          <w:lang w:eastAsia="en-US"/>
        </w:rPr>
        <w:t xml:space="preserve">Источники теплоснабжения зоны действия которых расположены в границах двух или более поселений отсутствуют. </w:t>
      </w:r>
      <w:bookmarkStart w:id="49" w:name="_Toc181366957"/>
      <w:bookmarkStart w:id="50" w:name="_Toc83725889"/>
      <w:bookmarkStart w:id="51" w:name="_Toc160516814"/>
      <w:bookmarkStart w:id="52" w:name="_Toc837189281"/>
      <w:bookmarkStart w:id="53" w:name="_Hlk160650073"/>
      <w:bookmarkStart w:id="54" w:name="_Toc1605306811"/>
      <w:bookmarkStart w:id="55" w:name="_Toc160530682"/>
      <w:bookmarkEnd w:id="52"/>
      <w:bookmarkEnd w:id="53"/>
      <w:bookmarkEnd w:id="54"/>
      <w:bookmarkEnd w:id="55"/>
    </w:p>
    <w:p>
      <w:pPr>
        <w:pStyle w:val="Normal"/>
        <w:keepNext w:val="true"/>
        <w:keepLines/>
        <w:numPr>
          <w:ilvl w:val="0"/>
          <w:numId w:val="0"/>
        </w:numPr>
        <w:ind w:left="0" w:firstLine="709"/>
        <w:jc w:val="both"/>
        <w:outlineLvl w:val="1"/>
        <w:rPr>
          <w:rFonts w:eastAsia="Calibri Light" w:cs="Calibri Light"/>
          <w:b/>
          <w:b/>
          <w:szCs w:val="26"/>
          <w:lang w:eastAsia="en-US"/>
        </w:rPr>
      </w:pPr>
      <w:r>
        <w:rPr>
          <w:rFonts w:eastAsia="Calibri Light" w:cs="Calibri Light"/>
          <w:b/>
          <w:szCs w:val="26"/>
          <w:lang w:eastAsia="en-US"/>
        </w:rPr>
      </w:r>
    </w:p>
    <w:p>
      <w:pPr>
        <w:pStyle w:val="Normal"/>
        <w:keepNext w:val="true"/>
        <w:keepLines/>
        <w:numPr>
          <w:ilvl w:val="0"/>
          <w:numId w:val="0"/>
        </w:numPr>
        <w:ind w:left="0" w:firstLine="709"/>
        <w:jc w:val="both"/>
        <w:outlineLvl w:val="1"/>
        <w:rPr>
          <w:rFonts w:eastAsia="Tahoma"/>
          <w:b/>
          <w:b/>
        </w:rPr>
      </w:pPr>
      <w:r>
        <w:rPr>
          <w:rFonts w:eastAsia="Calibri Light" w:cs="Calibri Light"/>
          <w:b/>
          <w:lang w:eastAsia="en-US"/>
        </w:rPr>
        <w:t>2.5.</w:t>
        <w:tab/>
        <w:t>Радиус эффективного теплоснабжения</w:t>
      </w:r>
      <w:r>
        <w:rPr>
          <w:rFonts w:eastAsia="Tahoma"/>
          <w:b/>
        </w:rPr>
        <w:t>, определяемый в соответствии                      с методическими указаниями по разработке схем теплоснабжения</w:t>
      </w:r>
      <w:bookmarkEnd w:id="49"/>
      <w:bookmarkEnd w:id="50"/>
      <w:bookmarkEnd w:id="51"/>
    </w:p>
    <w:p>
      <w:pPr>
        <w:pStyle w:val="Normal"/>
        <w:keepNext w:val="true"/>
        <w:keepLines/>
        <w:numPr>
          <w:ilvl w:val="0"/>
          <w:numId w:val="0"/>
        </w:numPr>
        <w:ind w:left="0" w:firstLine="709"/>
        <w:jc w:val="both"/>
        <w:outlineLvl w:val="1"/>
        <w:rPr>
          <w:rFonts w:eastAsia="Calibri Light" w:cs="Calibri Light"/>
          <w:b/>
          <w:b/>
          <w:szCs w:val="26"/>
          <w:lang w:eastAsia="en-US"/>
        </w:rPr>
      </w:pPr>
      <w:r>
        <w:rPr/>
        <w:t>При определении радиуса эффективного теплоснабжения используется методика, приведенная в приложении № 40 к Методическим указаниям по разработке схем теплоснабжения, утвержденным приказом Минэнерго России от 05.03.2019 № 212.</w:t>
      </w:r>
    </w:p>
    <w:p>
      <w:pPr>
        <w:pStyle w:val="Normal"/>
        <w:keepNext w:val="true"/>
        <w:keepLines/>
        <w:numPr>
          <w:ilvl w:val="0"/>
          <w:numId w:val="0"/>
        </w:numPr>
        <w:ind w:left="0" w:firstLine="709"/>
        <w:jc w:val="both"/>
        <w:outlineLvl w:val="1"/>
        <w:rPr>
          <w:rFonts w:eastAsia="Calibri Light" w:cs="Calibri Light"/>
          <w:b/>
          <w:b/>
          <w:szCs w:val="26"/>
          <w:lang w:eastAsia="en-US"/>
        </w:rPr>
      </w:pPr>
      <w:r>
        <w:rPr/>
        <w:t>Расчет радиуса эффективного теплоснабжения позволит определить условия, при которых подключение (технологическое присоединение) теплопотребляющих установок к системе теплоснабжения нецелесообразно вследствие увеличения совокупных расходов в указанной системе.</w:t>
      </w:r>
    </w:p>
    <w:p>
      <w:pPr>
        <w:pStyle w:val="Normal"/>
        <w:keepNext w:val="true"/>
        <w:keepLines/>
        <w:numPr>
          <w:ilvl w:val="0"/>
          <w:numId w:val="0"/>
        </w:numPr>
        <w:ind w:left="0" w:firstLine="709"/>
        <w:jc w:val="both"/>
        <w:outlineLvl w:val="1"/>
        <w:rPr>
          <w:rFonts w:eastAsia="MS Mincho"/>
        </w:rPr>
      </w:pPr>
      <w:r>
        <w:rPr>
          <w:rFonts w:eastAsia="MS Mincho"/>
        </w:rPr>
        <w:t xml:space="preserve">Модель определения зон эффективного теплоснабжения представлена на рисунке 1. </w:t>
      </w:r>
    </w:p>
    <w:p>
      <w:pPr>
        <w:pStyle w:val="Normal"/>
        <w:keepNext w:val="true"/>
        <w:keepLines/>
        <w:numPr>
          <w:ilvl w:val="0"/>
          <w:numId w:val="0"/>
        </w:numPr>
        <w:ind w:left="0" w:firstLine="709"/>
        <w:jc w:val="both"/>
        <w:outlineLvl w:val="1"/>
        <w:rPr>
          <w:rFonts w:eastAsia="MS Mincho"/>
        </w:rPr>
      </w:pPr>
      <w:r>
        <w:rPr>
          <w:rFonts w:eastAsia="MS Mincho"/>
        </w:rPr>
        <w:t>В зависимости от конфигурации и сложности рассматриваемых систем теплоснабжения, точками подключения перспективной тепловой нагрузки могут являться следующие элементы тепловой сети:</w:t>
      </w:r>
    </w:p>
    <w:p>
      <w:pPr>
        <w:pStyle w:val="Normal"/>
        <w:keepNext w:val="true"/>
        <w:keepLines/>
        <w:numPr>
          <w:ilvl w:val="0"/>
          <w:numId w:val="0"/>
        </w:numPr>
        <w:ind w:left="0" w:firstLine="709"/>
        <w:jc w:val="both"/>
        <w:outlineLvl w:val="1"/>
        <w:rPr>
          <w:rFonts w:eastAsia="MS Mincho"/>
        </w:rPr>
      </w:pPr>
      <w:r>
        <w:rPr>
          <w:rFonts w:eastAsia="MS Mincho"/>
        </w:rPr>
        <w:t>- тепловая камера или узел («глухая» врезка);</w:t>
      </w:r>
    </w:p>
    <w:p>
      <w:pPr>
        <w:pStyle w:val="Normal"/>
        <w:keepNext w:val="true"/>
        <w:keepLines/>
        <w:numPr>
          <w:ilvl w:val="0"/>
          <w:numId w:val="0"/>
        </w:numPr>
        <w:ind w:left="0" w:firstLine="709"/>
        <w:jc w:val="both"/>
        <w:outlineLvl w:val="1"/>
        <w:rPr>
          <w:rFonts w:eastAsia="Calibri Light" w:cs="Calibri Light"/>
          <w:b/>
          <w:b/>
          <w:lang w:eastAsia="en-US"/>
        </w:rPr>
      </w:pPr>
      <w:r>
        <w:rPr>
          <w:rFonts w:eastAsia="MS Mincho"/>
        </w:rPr>
        <w:t>- котельная, центральный тепловой пункт или насосная станция (в случае простой схемы).</w:t>
      </w:r>
    </w:p>
    <w:p>
      <w:pPr>
        <w:pStyle w:val="Normal"/>
        <w:widowControl w:val="false"/>
        <w:ind w:firstLine="709"/>
        <w:jc w:val="both"/>
        <w:rPr>
          <w:rFonts w:cs="Calibri"/>
          <w:lang w:eastAsia="ru-RU"/>
        </w:rPr>
      </w:pPr>
      <w:r>
        <w:rPr/>
        <w:drawing>
          <wp:inline distT="0" distB="0" distL="0" distR="0">
            <wp:extent cx="5114925" cy="3209925"/>
            <wp:effectExtent l="0" t="0" r="0" b="0"/>
            <wp:docPr id="2" name="Рисунок 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11" descr=""/>
                    <pic:cNvPicPr>
                      <a:picLocks noChangeAspect="1" noChangeArrowheads="1"/>
                    </pic:cNvPicPr>
                  </pic:nvPicPr>
                  <pic:blipFill>
                    <a:blip r:embed="rId18"/>
                    <a:srcRect l="30436" t="24921" r="25563" b="25753"/>
                    <a:stretch>
                      <a:fillRect/>
                    </a:stretch>
                  </pic:blipFill>
                  <pic:spPr bwMode="auto">
                    <a:xfrm>
                      <a:off x="0" y="0"/>
                      <a:ext cx="5114925" cy="3209925"/>
                    </a:xfrm>
                    <a:prstGeom prst="rect">
                      <a:avLst/>
                    </a:prstGeom>
                  </pic:spPr>
                </pic:pic>
              </a:graphicData>
            </a:graphic>
          </wp:inline>
        </w:drawing>
      </w:r>
    </w:p>
    <w:p>
      <w:pPr>
        <w:pStyle w:val="Normal"/>
        <w:jc w:val="center"/>
        <w:rPr>
          <w:rFonts w:eastAsia="Calibri"/>
          <w:iCs/>
          <w:lang w:eastAsia="en-US"/>
        </w:rPr>
      </w:pPr>
      <w:r>
        <w:rPr>
          <w:rFonts w:eastAsia="Calibri" w:cs="Calibri"/>
          <w:iCs/>
          <w:szCs w:val="18"/>
          <w:lang w:eastAsia="en-US"/>
        </w:rPr>
        <w:t>Рисунок 1 – Расчетная модель системы теплоснабжения</w:t>
      </w:r>
    </w:p>
    <w:p>
      <w:pPr>
        <w:pStyle w:val="Normal"/>
        <w:ind w:firstLine="709"/>
        <w:jc w:val="center"/>
        <w:rPr>
          <w:rFonts w:eastAsia="Calibri"/>
          <w:iCs/>
          <w:lang w:eastAsia="en-US"/>
        </w:rPr>
      </w:pPr>
      <w:r>
        <w:rPr>
          <w:rFonts w:eastAsia="Calibri" w:cs="Calibri"/>
          <w:szCs w:val="22"/>
          <w:lang w:eastAsia="en-US"/>
        </w:rPr>
        <w:t>(Потребители 1 и 2 находятся в зоне эффективного теплоснабжения)</w:t>
      </w:r>
    </w:p>
    <w:p>
      <w:pPr>
        <w:pStyle w:val="Normal"/>
        <w:rPr>
          <w:rFonts w:eastAsia="Calibri" w:cs="Calibri"/>
          <w:lang w:eastAsia="en-US"/>
        </w:rPr>
      </w:pPr>
      <w:r>
        <w:rPr>
          <w:rFonts w:eastAsia="Calibri" w:cs="Calibri"/>
          <w:lang w:eastAsia="en-US"/>
        </w:rPr>
      </w:r>
    </w:p>
    <w:p>
      <w:pPr>
        <w:pStyle w:val="Normal"/>
        <w:ind w:firstLine="709"/>
        <w:jc w:val="both"/>
        <w:rPr>
          <w:rFonts w:eastAsia="Calibri"/>
          <w:iCs/>
        </w:rPr>
      </w:pPr>
      <w:r>
        <w:rPr/>
        <w:t>Искомое расстояние от теплопотребляющей установки до ближайшего источника тепловой энергии будет определяться, как сумма следующих составляющих:</w:t>
      </w:r>
    </w:p>
    <w:p>
      <w:pPr>
        <w:pStyle w:val="Normal"/>
        <w:ind w:firstLine="709"/>
        <w:jc w:val="both"/>
        <w:rPr>
          <w:rFonts w:eastAsia="Calibri"/>
          <w:iCs/>
        </w:rPr>
      </w:pPr>
      <w:r>
        <w:rPr>
          <w:rFonts w:eastAsia="Calibri"/>
          <w:iCs/>
        </w:rPr>
        <w:t xml:space="preserve">- </w:t>
      </w:r>
      <w:r>
        <w:rPr>
          <w:rFonts w:eastAsia="MS Mincho"/>
        </w:rPr>
        <w:t>протяженность магистральной тепловой сети – путь теплоносителя, пройденный                               от источника тепловой энергии до точки сброса тепловой нагрузки (L</w:t>
      </w:r>
      <w:r>
        <w:rPr>
          <w:rFonts w:eastAsia="MS Mincho"/>
          <w:vertAlign w:val="subscript"/>
        </w:rPr>
        <w:t>м</w:t>
      </w:r>
      <w:r>
        <w:rPr>
          <w:rFonts w:eastAsia="MS Mincho"/>
        </w:rPr>
        <w:t>);</w:t>
      </w:r>
    </w:p>
    <w:p>
      <w:pPr>
        <w:pStyle w:val="Normal"/>
        <w:ind w:firstLine="709"/>
        <w:jc w:val="both"/>
        <w:rPr>
          <w:rFonts w:eastAsia="Calibri"/>
          <w:iCs/>
        </w:rPr>
      </w:pPr>
      <w:r>
        <w:rPr>
          <w:rFonts w:eastAsia="Calibri"/>
          <w:iCs/>
        </w:rPr>
        <w:t xml:space="preserve">- </w:t>
      </w:r>
      <w:r>
        <w:rPr>
          <w:rFonts w:eastAsia="MS Mincho"/>
        </w:rPr>
        <w:t>эффективный радиус теплоснабжения (R) – искомое значение.</w:t>
      </w:r>
    </w:p>
    <w:p>
      <w:pPr>
        <w:pStyle w:val="Normal"/>
        <w:ind w:firstLine="709"/>
        <w:jc w:val="both"/>
        <w:rPr>
          <w:rFonts w:eastAsia="Calibri"/>
          <w:iCs/>
        </w:rPr>
      </w:pPr>
      <w:r>
        <w:rPr>
          <w:rFonts w:eastAsia="MS Mincho"/>
        </w:rPr>
        <w:t xml:space="preserve">Расчетная величина радиуса эффективного теплоснабжения зависит не только                    от расстояния между перспективной застройкой и теплоисточником, но и от величины присоединяемой тепловой нагрузки. </w:t>
      </w:r>
    </w:p>
    <w:p>
      <w:pPr>
        <w:pStyle w:val="Normal"/>
        <w:ind w:firstLine="709"/>
        <w:jc w:val="both"/>
        <w:rPr>
          <w:rFonts w:eastAsia="Calibri"/>
          <w:iCs/>
        </w:rPr>
      </w:pPr>
      <w:r>
        <w:rPr>
          <w:rFonts w:eastAsia="MS Mincho"/>
        </w:rPr>
        <w:t>При расположении перспективного потребителя на расстоянии большем, чем расчетный радиус эффективного теплоснабжения (Потребитель 3 на рисунке 1), производство и транспортировка тепловой энергии, необходимой для теплоснабжения перспективного потребителя, становиться неэффективной, в связи с увеличением совокупных затрат.</w:t>
      </w:r>
    </w:p>
    <w:p>
      <w:pPr>
        <w:pStyle w:val="Normal"/>
        <w:ind w:firstLine="709"/>
        <w:jc w:val="both"/>
        <w:rPr>
          <w:rFonts w:eastAsia="Calibri Light" w:cs="Calibri Light"/>
          <w:b/>
          <w:b/>
          <w:szCs w:val="26"/>
          <w:lang w:eastAsia="en-US"/>
        </w:rPr>
      </w:pPr>
      <w:r>
        <w:rPr>
          <w:position w:val="-12"/>
        </w:rPr>
        <w:t>Результаты расчетов представлены в таблице 6.</w:t>
      </w:r>
    </w:p>
    <w:p>
      <w:pPr>
        <w:pStyle w:val="Normal"/>
        <w:jc w:val="right"/>
        <w:rPr>
          <w:rFonts w:eastAsia="Calibri Light" w:cs="Calibri Light"/>
          <w:b/>
          <w:b/>
          <w:szCs w:val="26"/>
          <w:lang w:eastAsia="en-US"/>
        </w:rPr>
      </w:pPr>
      <w:r>
        <w:rPr>
          <w:position w:val="-12"/>
        </w:rPr>
        <w:t>Таблица 6 – Расчет радиуса эффективного теплоснабжения</w:t>
      </w:r>
    </w:p>
    <w:tbl>
      <w:tblPr>
        <w:tblW w:w="4950" w:type="pct"/>
        <w:jc w:val="center"/>
        <w:tblInd w:w="0" w:type="dxa"/>
        <w:tblCellMar>
          <w:top w:w="0" w:type="dxa"/>
          <w:left w:w="108" w:type="dxa"/>
          <w:bottom w:w="0" w:type="dxa"/>
          <w:right w:w="108" w:type="dxa"/>
        </w:tblCellMar>
        <w:tblLook w:val="04a0" w:noVBand="1" w:noHBand="0" w:lastColumn="0" w:firstColumn="1" w:lastRow="0" w:firstRow="1"/>
      </w:tblPr>
      <w:tblGrid>
        <w:gridCol w:w="531"/>
        <w:gridCol w:w="1797"/>
        <w:gridCol w:w="724"/>
        <w:gridCol w:w="721"/>
        <w:gridCol w:w="718"/>
        <w:gridCol w:w="724"/>
        <w:gridCol w:w="720"/>
        <w:gridCol w:w="720"/>
        <w:gridCol w:w="723"/>
        <w:gridCol w:w="723"/>
        <w:gridCol w:w="716"/>
        <w:gridCol w:w="723"/>
      </w:tblGrid>
      <w:tr>
        <w:trPr>
          <w:tblHeader w:val="true"/>
          <w:cantSplit w:val="true"/>
        </w:trPr>
        <w:tc>
          <w:tcPr>
            <w:tcW w:w="531"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rPr>
            </w:pPr>
            <w:r>
              <w:rPr>
                <w:sz w:val="22"/>
              </w:rPr>
              <w:t xml:space="preserve">№ </w:t>
            </w:r>
            <w:r>
              <w:rPr>
                <w:sz w:val="22"/>
              </w:rPr>
              <w:t>п/п</w:t>
            </w:r>
          </w:p>
        </w:tc>
        <w:tc>
          <w:tcPr>
            <w:tcW w:w="1797"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rPr>
            </w:pPr>
            <w:r>
              <w:rPr>
                <w:sz w:val="22"/>
              </w:rPr>
              <w:t>Наименование источника</w:t>
            </w:r>
          </w:p>
        </w:tc>
        <w:tc>
          <w:tcPr>
            <w:tcW w:w="7212" w:type="dxa"/>
            <w:gridSpan w:val="10"/>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sz w:val="22"/>
              </w:rPr>
            </w:pPr>
            <w:r>
              <w:rPr>
                <w:sz w:val="22"/>
              </w:rPr>
              <w:t>Присоединяемая тепловая нагрузка, Гкал/час</w:t>
            </w:r>
          </w:p>
        </w:tc>
      </w:tr>
      <w:tr>
        <w:trPr>
          <w:tblHeader w:val="true"/>
          <w:cantSplit w:val="true"/>
        </w:trPr>
        <w:tc>
          <w:tcPr>
            <w:tcW w:w="53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rPr>
            </w:pPr>
            <w:r>
              <w:rPr>
                <w:sz w:val="22"/>
              </w:rPr>
            </w:r>
          </w:p>
        </w:tc>
        <w:tc>
          <w:tcPr>
            <w:tcW w:w="179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rPr>
            </w:pPr>
            <w:r>
              <w:rPr>
                <w:sz w:val="22"/>
              </w:rPr>
            </w:r>
          </w:p>
        </w:tc>
        <w:tc>
          <w:tcPr>
            <w:tcW w:w="72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sz w:val="22"/>
              </w:rPr>
            </w:pPr>
            <w:r>
              <w:rPr>
                <w:sz w:val="22"/>
              </w:rPr>
              <w:t>0,1</w:t>
            </w:r>
          </w:p>
        </w:tc>
        <w:tc>
          <w:tcPr>
            <w:tcW w:w="72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sz w:val="22"/>
              </w:rPr>
            </w:pPr>
            <w:r>
              <w:rPr>
                <w:sz w:val="22"/>
              </w:rPr>
              <w:t>0,15</w:t>
            </w:r>
          </w:p>
        </w:tc>
        <w:tc>
          <w:tcPr>
            <w:tcW w:w="71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sz w:val="22"/>
              </w:rPr>
            </w:pPr>
            <w:r>
              <w:rPr>
                <w:sz w:val="22"/>
              </w:rPr>
              <w:t>0,2</w:t>
            </w:r>
          </w:p>
        </w:tc>
        <w:tc>
          <w:tcPr>
            <w:tcW w:w="72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sz w:val="22"/>
              </w:rPr>
            </w:pPr>
            <w:r>
              <w:rPr>
                <w:sz w:val="22"/>
              </w:rPr>
              <w:t>0,25</w:t>
            </w:r>
          </w:p>
        </w:tc>
        <w:tc>
          <w:tcPr>
            <w:tcW w:w="72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sz w:val="22"/>
              </w:rPr>
            </w:pPr>
            <w:r>
              <w:rPr>
                <w:sz w:val="22"/>
              </w:rPr>
              <w:t>0,3</w:t>
            </w:r>
          </w:p>
        </w:tc>
        <w:tc>
          <w:tcPr>
            <w:tcW w:w="72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sz w:val="22"/>
              </w:rPr>
            </w:pPr>
            <w:r>
              <w:rPr>
                <w:sz w:val="22"/>
              </w:rPr>
              <w:t>0,35</w:t>
            </w:r>
          </w:p>
        </w:tc>
        <w:tc>
          <w:tcPr>
            <w:tcW w:w="723" w:type="dxa"/>
            <w:tcBorders>
              <w:top w:val="single" w:sz="4" w:space="0" w:color="000000"/>
              <w:left w:val="single" w:sz="4" w:space="0" w:color="000000"/>
              <w:bottom w:val="single" w:sz="4" w:space="0" w:color="000000"/>
              <w:right w:val="single" w:sz="4" w:space="0" w:color="000000"/>
            </w:tcBorders>
            <w:vAlign w:val="bottom"/>
          </w:tcPr>
          <w:p>
            <w:pPr>
              <w:pStyle w:val="Normal"/>
              <w:jc w:val="center"/>
              <w:rPr>
                <w:sz w:val="22"/>
              </w:rPr>
            </w:pPr>
            <w:r>
              <w:rPr>
                <w:sz w:val="22"/>
              </w:rPr>
              <w:t>0,4</w:t>
            </w:r>
          </w:p>
        </w:tc>
        <w:tc>
          <w:tcPr>
            <w:tcW w:w="723" w:type="dxa"/>
            <w:tcBorders>
              <w:top w:val="single" w:sz="4" w:space="0" w:color="000000"/>
              <w:left w:val="single" w:sz="4" w:space="0" w:color="000000"/>
              <w:bottom w:val="single" w:sz="4" w:space="0" w:color="000000"/>
              <w:right w:val="single" w:sz="4" w:space="0" w:color="000000"/>
            </w:tcBorders>
            <w:vAlign w:val="bottom"/>
          </w:tcPr>
          <w:p>
            <w:pPr>
              <w:pStyle w:val="Normal"/>
              <w:jc w:val="center"/>
              <w:rPr>
                <w:sz w:val="22"/>
              </w:rPr>
            </w:pPr>
            <w:r>
              <w:rPr>
                <w:sz w:val="22"/>
              </w:rPr>
              <w:t>0,45</w:t>
            </w:r>
          </w:p>
        </w:tc>
        <w:tc>
          <w:tcPr>
            <w:tcW w:w="716" w:type="dxa"/>
            <w:tcBorders>
              <w:top w:val="single" w:sz="4" w:space="0" w:color="000000"/>
              <w:left w:val="single" w:sz="4" w:space="0" w:color="000000"/>
              <w:bottom w:val="single" w:sz="4" w:space="0" w:color="000000"/>
              <w:right w:val="single" w:sz="4" w:space="0" w:color="000000"/>
            </w:tcBorders>
            <w:vAlign w:val="bottom"/>
          </w:tcPr>
          <w:p>
            <w:pPr>
              <w:pStyle w:val="Normal"/>
              <w:jc w:val="center"/>
              <w:rPr>
                <w:sz w:val="22"/>
              </w:rPr>
            </w:pPr>
            <w:r>
              <w:rPr>
                <w:sz w:val="22"/>
              </w:rPr>
              <w:t>0,5</w:t>
            </w:r>
          </w:p>
        </w:tc>
        <w:tc>
          <w:tcPr>
            <w:tcW w:w="723" w:type="dxa"/>
            <w:tcBorders>
              <w:top w:val="single" w:sz="4" w:space="0" w:color="000000"/>
              <w:left w:val="single" w:sz="4" w:space="0" w:color="000000"/>
              <w:bottom w:val="single" w:sz="4" w:space="0" w:color="000000"/>
              <w:right w:val="single" w:sz="4" w:space="0" w:color="000000"/>
            </w:tcBorders>
            <w:vAlign w:val="bottom"/>
          </w:tcPr>
          <w:p>
            <w:pPr>
              <w:pStyle w:val="Normal"/>
              <w:jc w:val="center"/>
              <w:rPr>
                <w:sz w:val="22"/>
              </w:rPr>
            </w:pPr>
            <w:r>
              <w:rPr>
                <w:sz w:val="22"/>
              </w:rPr>
              <w:t>0,8</w:t>
            </w:r>
          </w:p>
        </w:tc>
      </w:tr>
      <w:tr>
        <w:trPr>
          <w:cantSplit w:val="true"/>
        </w:trPr>
        <w:tc>
          <w:tcPr>
            <w:tcW w:w="53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rPr>
            </w:pPr>
            <w:r>
              <w:rPr>
                <w:sz w:val="22"/>
              </w:rPr>
              <w:t>1</w:t>
            </w:r>
          </w:p>
        </w:tc>
        <w:tc>
          <w:tcPr>
            <w:tcW w:w="17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sz w:val="22"/>
              </w:rPr>
            </w:pPr>
            <w:r>
              <w:rPr>
                <w:sz w:val="20"/>
                <w:szCs w:val="20"/>
              </w:rPr>
              <w:t>Котельные, обслуживаемые МП МО Октябрьский район «ОКС» (городское поселение Октябрьское)</w:t>
            </w:r>
          </w:p>
        </w:tc>
        <w:tc>
          <w:tcPr>
            <w:tcW w:w="724" w:type="dxa"/>
            <w:tcBorders>
              <w:top w:val="single" w:sz="4" w:space="0" w:color="000000"/>
              <w:bottom w:val="single" w:sz="4" w:space="0" w:color="000000"/>
              <w:right w:val="single" w:sz="4" w:space="0" w:color="000000"/>
            </w:tcBorders>
            <w:shd w:color="auto" w:fill="auto" w:val="clear"/>
            <w:vAlign w:val="center"/>
          </w:tcPr>
          <w:p>
            <w:pPr>
              <w:pStyle w:val="Normal"/>
              <w:jc w:val="center"/>
              <w:rPr>
                <w:sz w:val="22"/>
              </w:rPr>
            </w:pPr>
            <w:r>
              <w:rPr>
                <w:sz w:val="20"/>
                <w:szCs w:val="20"/>
              </w:rPr>
              <w:t>11,98</w:t>
            </w:r>
          </w:p>
        </w:tc>
        <w:tc>
          <w:tcPr>
            <w:tcW w:w="7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2"/>
              </w:rPr>
            </w:pPr>
            <w:r>
              <w:rPr>
                <w:sz w:val="20"/>
                <w:szCs w:val="20"/>
              </w:rPr>
              <w:t>13,06</w:t>
            </w:r>
          </w:p>
        </w:tc>
        <w:tc>
          <w:tcPr>
            <w:tcW w:w="71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2"/>
              </w:rPr>
            </w:pPr>
            <w:r>
              <w:rPr>
                <w:sz w:val="20"/>
                <w:szCs w:val="20"/>
              </w:rPr>
              <w:t>15,00</w:t>
            </w:r>
          </w:p>
        </w:tc>
        <w:tc>
          <w:tcPr>
            <w:tcW w:w="72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2"/>
              </w:rPr>
            </w:pPr>
            <w:r>
              <w:rPr>
                <w:sz w:val="20"/>
                <w:szCs w:val="20"/>
              </w:rPr>
              <w:t>17,95</w:t>
            </w:r>
          </w:p>
        </w:tc>
        <w:tc>
          <w:tcPr>
            <w:tcW w:w="7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2"/>
              </w:rPr>
            </w:pPr>
            <w:r>
              <w:rPr>
                <w:sz w:val="20"/>
                <w:szCs w:val="20"/>
              </w:rPr>
              <w:t>20,98</w:t>
            </w:r>
          </w:p>
        </w:tc>
        <w:tc>
          <w:tcPr>
            <w:tcW w:w="7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2"/>
              </w:rPr>
            </w:pPr>
            <w:r>
              <w:rPr>
                <w:sz w:val="20"/>
                <w:szCs w:val="20"/>
              </w:rPr>
              <w:t>21,62</w:t>
            </w:r>
          </w:p>
        </w:tc>
        <w:tc>
          <w:tcPr>
            <w:tcW w:w="7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2"/>
              </w:rPr>
            </w:pPr>
            <w:r>
              <w:rPr>
                <w:sz w:val="20"/>
                <w:szCs w:val="20"/>
              </w:rPr>
              <w:t>24,48</w:t>
            </w:r>
          </w:p>
        </w:tc>
        <w:tc>
          <w:tcPr>
            <w:tcW w:w="7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2"/>
              </w:rPr>
            </w:pPr>
            <w:r>
              <w:rPr>
                <w:sz w:val="20"/>
                <w:szCs w:val="20"/>
              </w:rPr>
              <w:t>27,41</w:t>
            </w:r>
          </w:p>
        </w:tc>
        <w:tc>
          <w:tcPr>
            <w:tcW w:w="7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2"/>
              </w:rPr>
            </w:pPr>
            <w:r>
              <w:rPr>
                <w:sz w:val="20"/>
                <w:szCs w:val="20"/>
              </w:rPr>
              <w:t>30,39</w:t>
            </w:r>
          </w:p>
        </w:tc>
        <w:tc>
          <w:tcPr>
            <w:tcW w:w="7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2"/>
              </w:rPr>
            </w:pPr>
            <w:r>
              <w:rPr>
                <w:sz w:val="20"/>
                <w:szCs w:val="20"/>
              </w:rPr>
              <w:t>43,59</w:t>
            </w:r>
          </w:p>
        </w:tc>
      </w:tr>
    </w:tbl>
    <w:p>
      <w:pPr>
        <w:pStyle w:val="Normal"/>
        <w:rPr>
          <w:rFonts w:eastAsia="Calibri Light" w:cs="Calibri Light"/>
          <w:b/>
          <w:b/>
          <w:szCs w:val="26"/>
          <w:lang w:eastAsia="en-US"/>
        </w:rPr>
      </w:pPr>
      <w:r>
        <w:rPr>
          <w:rFonts w:eastAsia="Calibri Light" w:cs="Calibri Light"/>
          <w:b/>
          <w:szCs w:val="26"/>
          <w:lang w:eastAsia="en-US"/>
        </w:rPr>
      </w:r>
    </w:p>
    <w:p>
      <w:pPr>
        <w:pStyle w:val="Normal"/>
        <w:ind w:firstLine="709"/>
        <w:jc w:val="both"/>
        <w:rPr>
          <w:rFonts w:eastAsia="Calibri"/>
          <w:iCs/>
        </w:rPr>
      </w:pPr>
      <w:r>
        <w:rPr/>
        <w:t>Радиус эффективного теплоснабжения позволяет оценивать возможность подключения объекта к тепловым сетям по сравнению с переходом на автономное теплоснабжение. При принятии решения о подключении новых потребителей необходимо помнить, что оптимальный радиус теплоснабжения определяется из расчета минимума затрат, включающих в себя стоимость тепловых сетей и источника тепла, а также минимума эксплуатационных затрат. Следует помнить, что расчет радиуса эффективного теплоснабжения носит информативный характер.</w:t>
      </w:r>
    </w:p>
    <w:p>
      <w:pPr>
        <w:pStyle w:val="Normal"/>
        <w:ind w:firstLine="709"/>
        <w:jc w:val="both"/>
        <w:rPr>
          <w:rFonts w:eastAsia="Calibri"/>
          <w:iCs/>
        </w:rPr>
      </w:pPr>
      <w:r>
        <w:rPr/>
        <w:t xml:space="preserve">Для существующей зоны действия рассчитывать радиус эффективного теплоснабжения нецелесообразно, т.к. зона действия уже сложилась и, естественно, установлены все индикаторы стоимости товарного отпуска продукции. </w:t>
      </w:r>
      <w:bookmarkStart w:id="56" w:name="_Toc160516815"/>
      <w:bookmarkStart w:id="57" w:name="_Toc181366958"/>
      <w:bookmarkStart w:id="58" w:name="_Hlk1605308371"/>
      <w:bookmarkStart w:id="59" w:name="_Hlk160530982"/>
      <w:bookmarkStart w:id="60" w:name="_Hlk160602551"/>
      <w:bookmarkStart w:id="61" w:name="_Toc1605306821"/>
      <w:bookmarkEnd w:id="58"/>
      <w:bookmarkEnd w:id="59"/>
      <w:bookmarkEnd w:id="60"/>
      <w:bookmarkEnd w:id="61"/>
    </w:p>
    <w:p>
      <w:pPr>
        <w:pStyle w:val="Normal"/>
        <w:ind w:firstLine="709"/>
        <w:jc w:val="both"/>
        <w:rPr>
          <w:rFonts w:eastAsia="Calibri"/>
          <w:iCs/>
        </w:rPr>
      </w:pPr>
      <w:r>
        <w:rPr>
          <w:rFonts w:eastAsia="Calibri"/>
          <w:iCs/>
        </w:rPr>
      </w:r>
    </w:p>
    <w:p>
      <w:pPr>
        <w:pStyle w:val="Normal"/>
        <w:ind w:firstLine="709"/>
        <w:jc w:val="both"/>
        <w:rPr>
          <w:rFonts w:eastAsia="Calibri"/>
          <w:iCs/>
        </w:rPr>
      </w:pPr>
      <w:r>
        <w:rPr>
          <w:rFonts w:eastAsia="Calibri Light" w:cs="Calibri Light"/>
          <w:b/>
          <w:szCs w:val="26"/>
          <w:lang w:eastAsia="en-US"/>
        </w:rPr>
        <w:t>2.6. Существующие и перспективные значения установленной тепловой мощности основного оборудования источника (источников) тепловой энергии</w:t>
      </w:r>
      <w:bookmarkEnd w:id="56"/>
      <w:bookmarkEnd w:id="57"/>
    </w:p>
    <w:p>
      <w:pPr>
        <w:pStyle w:val="Normal"/>
        <w:ind w:firstLine="709"/>
        <w:jc w:val="both"/>
        <w:rPr>
          <w:rFonts w:eastAsia="Calibri"/>
          <w:iCs/>
        </w:rPr>
      </w:pPr>
      <w:r>
        <w:rPr>
          <w:szCs w:val="28"/>
          <w:lang w:eastAsia="ru-RU"/>
        </w:rPr>
        <w:t>Указанные сведения представлены в таблицах 4 – 5.</w:t>
      </w:r>
      <w:bookmarkStart w:id="62" w:name="_Toc525894695"/>
      <w:bookmarkStart w:id="63" w:name="_Toc535417858"/>
      <w:bookmarkStart w:id="64" w:name="_Toc23034101"/>
      <w:bookmarkStart w:id="65" w:name="_Toc181366959"/>
      <w:bookmarkStart w:id="66" w:name="_Toc83725891"/>
      <w:bookmarkStart w:id="67" w:name="_Toc160516816"/>
      <w:bookmarkStart w:id="68" w:name="_Hlk1606500731"/>
      <w:bookmarkEnd w:id="68"/>
    </w:p>
    <w:p>
      <w:pPr>
        <w:pStyle w:val="Normal"/>
        <w:ind w:firstLine="709"/>
        <w:jc w:val="both"/>
        <w:rPr>
          <w:rFonts w:eastAsia="Calibri"/>
          <w:iCs/>
        </w:rPr>
      </w:pPr>
      <w:r>
        <w:rPr>
          <w:rFonts w:eastAsia="Calibri"/>
          <w:iCs/>
        </w:rPr>
      </w:r>
    </w:p>
    <w:p>
      <w:pPr>
        <w:pStyle w:val="Normal"/>
        <w:ind w:firstLine="709"/>
        <w:jc w:val="both"/>
        <w:rPr>
          <w:rFonts w:eastAsia="Calibri"/>
          <w:iCs/>
        </w:rPr>
      </w:pPr>
      <w:r>
        <w:rPr>
          <w:rFonts w:eastAsia="Calibri Light" w:cs="Calibri Light"/>
          <w:b/>
          <w:szCs w:val="26"/>
          <w:lang w:eastAsia="en-US"/>
        </w:rPr>
        <w:t>2.7.</w:t>
        <w:tab/>
        <w:t>Существующие и перспективные технические ограничения на использование установленной тепловой мощности и значения располагаемой мощности основного оборудования источников тепловой энергии</w:t>
      </w:r>
      <w:bookmarkEnd w:id="62"/>
      <w:bookmarkEnd w:id="63"/>
      <w:bookmarkEnd w:id="64"/>
      <w:bookmarkEnd w:id="65"/>
      <w:bookmarkEnd w:id="66"/>
      <w:bookmarkEnd w:id="67"/>
    </w:p>
    <w:p>
      <w:pPr>
        <w:pStyle w:val="Normal"/>
        <w:ind w:firstLine="709"/>
        <w:jc w:val="both"/>
        <w:rPr>
          <w:rFonts w:eastAsia="Calibri"/>
          <w:iCs/>
        </w:rPr>
      </w:pPr>
      <w:r>
        <w:rPr>
          <w:szCs w:val="28"/>
          <w:lang w:eastAsia="ru-RU"/>
        </w:rPr>
        <w:t>Указанные сведения представлены в таблицах 4 – 5.</w:t>
      </w:r>
      <w:bookmarkStart w:id="69" w:name="_Toc181366960"/>
      <w:bookmarkStart w:id="70" w:name="_Toc525894696"/>
      <w:bookmarkStart w:id="71" w:name="_Toc535417859"/>
      <w:bookmarkStart w:id="72" w:name="_Toc23034102"/>
      <w:bookmarkStart w:id="73" w:name="_Toc83725892"/>
      <w:bookmarkStart w:id="74" w:name="_Toc160516817"/>
    </w:p>
    <w:p>
      <w:pPr>
        <w:pStyle w:val="Normal"/>
        <w:ind w:firstLine="709"/>
        <w:jc w:val="both"/>
        <w:rPr>
          <w:rFonts w:eastAsia="Calibri"/>
          <w:iCs/>
        </w:rPr>
      </w:pPr>
      <w:r>
        <w:rPr>
          <w:rFonts w:eastAsia="Calibri"/>
          <w:iCs/>
        </w:rPr>
      </w:r>
    </w:p>
    <w:p>
      <w:pPr>
        <w:pStyle w:val="Normal"/>
        <w:ind w:firstLine="709"/>
        <w:jc w:val="both"/>
        <w:rPr>
          <w:rFonts w:eastAsia="Calibri"/>
          <w:iCs/>
        </w:rPr>
      </w:pPr>
      <w:r>
        <w:rPr>
          <w:rFonts w:eastAsia="Calibri Light" w:cs="Calibri Light"/>
          <w:b/>
          <w:szCs w:val="26"/>
          <w:lang w:eastAsia="en-US"/>
        </w:rPr>
        <w:t>2.8.</w:t>
        <w:tab/>
        <w:t>Существующие и перспективные затраты тепловой мощности на собственные и хозяйственные нужды теплоснабжающей организации в отношении источников тепловой энергии</w:t>
      </w:r>
      <w:bookmarkStart w:id="75" w:name="_Toc535417860"/>
      <w:bookmarkStart w:id="76" w:name="_Toc23034103"/>
      <w:bookmarkEnd w:id="69"/>
      <w:bookmarkEnd w:id="70"/>
      <w:bookmarkEnd w:id="71"/>
      <w:bookmarkEnd w:id="72"/>
      <w:bookmarkEnd w:id="73"/>
      <w:bookmarkEnd w:id="74"/>
    </w:p>
    <w:p>
      <w:pPr>
        <w:pStyle w:val="Normal"/>
        <w:ind w:firstLine="709"/>
        <w:jc w:val="both"/>
        <w:rPr>
          <w:rFonts w:eastAsia="Calibri"/>
          <w:iCs/>
        </w:rPr>
      </w:pPr>
      <w:r>
        <w:rPr>
          <w:szCs w:val="28"/>
          <w:lang w:eastAsia="ru-RU"/>
        </w:rPr>
        <w:t>Указанные сведения представлены в таблицах 4 – 5.</w:t>
      </w:r>
      <w:bookmarkStart w:id="77" w:name="_Toc83725893"/>
      <w:bookmarkStart w:id="78" w:name="_Toc160516818"/>
      <w:bookmarkStart w:id="79" w:name="_Toc181366961"/>
      <w:bookmarkStart w:id="80" w:name="_Toc525894697"/>
    </w:p>
    <w:p>
      <w:pPr>
        <w:pStyle w:val="Normal"/>
        <w:ind w:firstLine="709"/>
        <w:jc w:val="both"/>
        <w:rPr>
          <w:rFonts w:eastAsia="Calibri"/>
          <w:iCs/>
        </w:rPr>
      </w:pPr>
      <w:r>
        <w:rPr>
          <w:rFonts w:eastAsia="Calibri"/>
          <w:iCs/>
        </w:rPr>
      </w:r>
    </w:p>
    <w:p>
      <w:pPr>
        <w:pStyle w:val="Normal"/>
        <w:ind w:firstLine="709"/>
        <w:jc w:val="both"/>
        <w:rPr>
          <w:rFonts w:eastAsia="Calibri"/>
          <w:iCs/>
        </w:rPr>
      </w:pPr>
      <w:r>
        <w:rPr>
          <w:rFonts w:eastAsia="Calibri Light" w:cs="Calibri Light"/>
          <w:b/>
          <w:szCs w:val="26"/>
          <w:lang w:eastAsia="en-US"/>
        </w:rPr>
        <w:t>2.9.</w:t>
        <w:tab/>
      </w:r>
      <w:bookmarkEnd w:id="80"/>
      <w:r>
        <w:rPr>
          <w:rFonts w:eastAsia="Calibri Light" w:cs="Calibri Light"/>
          <w:b/>
          <w:szCs w:val="26"/>
          <w:lang w:eastAsia="en-US"/>
        </w:rPr>
        <w:t>Значения существующей и перспективной тепловой мощности источников тепловой энергии нетто</w:t>
      </w:r>
      <w:bookmarkStart w:id="81" w:name="_Toc535417861"/>
      <w:bookmarkStart w:id="82" w:name="_Toc23034104"/>
      <w:bookmarkEnd w:id="75"/>
      <w:bookmarkEnd w:id="76"/>
      <w:bookmarkEnd w:id="77"/>
      <w:bookmarkEnd w:id="78"/>
      <w:bookmarkEnd w:id="79"/>
    </w:p>
    <w:p>
      <w:pPr>
        <w:pStyle w:val="Normal"/>
        <w:ind w:firstLine="709"/>
        <w:jc w:val="both"/>
        <w:rPr>
          <w:rFonts w:eastAsia="Calibri"/>
          <w:iCs/>
        </w:rPr>
      </w:pPr>
      <w:r>
        <w:rPr>
          <w:szCs w:val="28"/>
          <w:lang w:eastAsia="ru-RU"/>
        </w:rPr>
        <w:t>Указанные сведения представлены в таблицах 4 – 5.</w:t>
      </w:r>
      <w:bookmarkStart w:id="83" w:name="_Toc83725894"/>
      <w:bookmarkStart w:id="84" w:name="_Toc160516819"/>
      <w:bookmarkStart w:id="85" w:name="_Toc181366962"/>
      <w:bookmarkStart w:id="86" w:name="_Toc525894698"/>
    </w:p>
    <w:p>
      <w:pPr>
        <w:pStyle w:val="Normal"/>
        <w:ind w:firstLine="709"/>
        <w:jc w:val="both"/>
        <w:rPr>
          <w:rFonts w:eastAsia="Calibri"/>
          <w:iCs/>
        </w:rPr>
      </w:pPr>
      <w:r>
        <w:rPr>
          <w:rFonts w:eastAsia="Calibri"/>
          <w:iCs/>
        </w:rPr>
      </w:r>
    </w:p>
    <w:p>
      <w:pPr>
        <w:pStyle w:val="Normal"/>
        <w:ind w:firstLine="709"/>
        <w:jc w:val="both"/>
        <w:rPr>
          <w:rFonts w:eastAsia="Calibri"/>
          <w:iCs/>
        </w:rPr>
      </w:pPr>
      <w:r>
        <w:rPr>
          <w:rFonts w:eastAsia="Calibri Light" w:cs="Calibri Light"/>
          <w:b/>
          <w:szCs w:val="26"/>
          <w:lang w:eastAsia="en-US"/>
        </w:rPr>
        <w:t>2.10.</w:t>
      </w:r>
      <w:bookmarkEnd w:id="86"/>
      <w:r>
        <w:rPr>
          <w:rFonts w:eastAsia="Calibri Light" w:cs="Calibri Light"/>
          <w:b/>
          <w:szCs w:val="26"/>
          <w:lang w:eastAsia="en-US"/>
        </w:rPr>
        <w:t xml:space="preserve"> Значения существующих и перспективных потерь тепловой энергии при ее передаче по тепловым сетям, включая потери тепловой энергии в тепловых сетях теплопередачей через теплоизоляционные конструкции теплопроводов и потери теплоносителя, с указанием затрат теплоносителя на компенсацию этих потерь</w:t>
      </w:r>
      <w:bookmarkStart w:id="87" w:name="_Toc535417862"/>
      <w:bookmarkStart w:id="88" w:name="_Toc23034105"/>
      <w:bookmarkEnd w:id="81"/>
      <w:bookmarkEnd w:id="82"/>
      <w:bookmarkEnd w:id="83"/>
      <w:bookmarkEnd w:id="84"/>
      <w:bookmarkEnd w:id="85"/>
    </w:p>
    <w:p>
      <w:pPr>
        <w:pStyle w:val="Normal"/>
        <w:ind w:firstLine="709"/>
        <w:jc w:val="both"/>
        <w:rPr>
          <w:rFonts w:eastAsia="Calibri"/>
          <w:iCs/>
        </w:rPr>
      </w:pPr>
      <w:r>
        <w:rPr>
          <w:szCs w:val="28"/>
          <w:lang w:eastAsia="ru-RU"/>
        </w:rPr>
        <w:t>Указанные сведения представлены в таблицах 4 – 5.</w:t>
      </w:r>
      <w:bookmarkStart w:id="89" w:name="_Toc83725895"/>
      <w:bookmarkStart w:id="90" w:name="_Toc160516820"/>
      <w:bookmarkStart w:id="91" w:name="_Toc181366963"/>
      <w:bookmarkStart w:id="92" w:name="_Toc525894699"/>
    </w:p>
    <w:p>
      <w:pPr>
        <w:pStyle w:val="Normal"/>
        <w:ind w:firstLine="709"/>
        <w:jc w:val="both"/>
        <w:rPr>
          <w:rFonts w:eastAsia="Calibri"/>
          <w:iCs/>
        </w:rPr>
      </w:pPr>
      <w:r>
        <w:rPr>
          <w:rFonts w:eastAsia="Calibri Light" w:cs="Calibri Light"/>
          <w:b/>
          <w:szCs w:val="26"/>
          <w:lang w:eastAsia="en-US"/>
        </w:rPr>
        <w:t>2.11.</w:t>
      </w:r>
      <w:bookmarkEnd w:id="92"/>
      <w:r>
        <w:rPr>
          <w:rFonts w:eastAsia="Calibri Light" w:cs="Calibri Light"/>
          <w:b/>
          <w:szCs w:val="26"/>
          <w:lang w:eastAsia="en-US"/>
        </w:rPr>
        <w:t xml:space="preserve"> Затраты существующей и перспективной тепловой мощности на хозяйственные нужды теплоснабжающей (теплосетевой) организации в отношении тепловых сетей</w:t>
      </w:r>
      <w:bookmarkEnd w:id="87"/>
      <w:bookmarkEnd w:id="88"/>
      <w:bookmarkEnd w:id="89"/>
      <w:bookmarkEnd w:id="90"/>
      <w:bookmarkEnd w:id="91"/>
    </w:p>
    <w:p>
      <w:pPr>
        <w:pStyle w:val="Normal"/>
        <w:ind w:firstLine="709"/>
        <w:jc w:val="both"/>
        <w:rPr>
          <w:rFonts w:eastAsia="Calibri"/>
          <w:iCs/>
        </w:rPr>
      </w:pPr>
      <w:r>
        <w:rPr>
          <w:szCs w:val="28"/>
          <w:lang w:eastAsia="ru-RU"/>
        </w:rPr>
        <w:t>Затраты существующей и перспективной тепловой мощности на собственные нужды тепловых сетей отсутствуют.</w:t>
      </w:r>
      <w:bookmarkStart w:id="93" w:name="_Toc525894700"/>
      <w:bookmarkStart w:id="94" w:name="_Toc23034106"/>
      <w:bookmarkStart w:id="95" w:name="_Toc83725896"/>
      <w:bookmarkStart w:id="96" w:name="_Toc535417863"/>
      <w:bookmarkStart w:id="97" w:name="_Toc160516821"/>
      <w:bookmarkStart w:id="98" w:name="_Toc181366964"/>
    </w:p>
    <w:p>
      <w:pPr>
        <w:pStyle w:val="Normal"/>
        <w:ind w:firstLine="709"/>
        <w:jc w:val="both"/>
        <w:rPr>
          <w:rFonts w:eastAsia="Calibri"/>
          <w:iCs/>
        </w:rPr>
      </w:pPr>
      <w:r>
        <w:rPr>
          <w:rFonts w:eastAsia="Calibri"/>
          <w:iCs/>
        </w:rPr>
      </w:r>
    </w:p>
    <w:p>
      <w:pPr>
        <w:pStyle w:val="Normal"/>
        <w:ind w:firstLine="709"/>
        <w:jc w:val="both"/>
        <w:rPr>
          <w:rFonts w:eastAsia="Calibri"/>
          <w:iCs/>
        </w:rPr>
      </w:pPr>
      <w:r>
        <w:rPr>
          <w:rFonts w:eastAsia="Calibri Light" w:cs="Calibri Light"/>
          <w:b/>
          <w:szCs w:val="26"/>
          <w:lang w:eastAsia="en-US"/>
        </w:rPr>
        <w:t>2.12. Значения существующей и перспективной резервной тепловой мощности источников теплоснабжения, в том числе источников тепловой энергии, принадлежащих потребителям, и источников тепловой энергии теплоснабжающих организаций, с выделением аварийного резерва и резерва по договорам на поддержание резервной тепловой мощности</w:t>
      </w:r>
      <w:bookmarkEnd w:id="93"/>
      <w:bookmarkEnd w:id="94"/>
      <w:bookmarkEnd w:id="95"/>
      <w:bookmarkEnd w:id="96"/>
      <w:bookmarkEnd w:id="97"/>
      <w:bookmarkEnd w:id="98"/>
    </w:p>
    <w:p>
      <w:pPr>
        <w:pStyle w:val="Normal"/>
        <w:ind w:firstLine="709"/>
        <w:jc w:val="both"/>
        <w:rPr>
          <w:rFonts w:eastAsia="Calibri"/>
          <w:iCs/>
        </w:rPr>
      </w:pPr>
      <w:r>
        <w:rPr>
          <w:szCs w:val="28"/>
          <w:lang w:eastAsia="ru-RU"/>
        </w:rPr>
        <w:t>Указанные сведения представлены в таблицах 4 – 5.</w:t>
      </w:r>
      <w:bookmarkStart w:id="99" w:name="_Toc83725897"/>
      <w:bookmarkStart w:id="100" w:name="_Toc181366965"/>
      <w:bookmarkStart w:id="101" w:name="_Toc160516822"/>
      <w:bookmarkStart w:id="102" w:name="_Toc23034107"/>
      <w:bookmarkStart w:id="103" w:name="_Toc535417864"/>
      <w:bookmarkStart w:id="104" w:name="_Toc525894701"/>
    </w:p>
    <w:p>
      <w:pPr>
        <w:pStyle w:val="Normal"/>
        <w:ind w:firstLine="709"/>
        <w:jc w:val="both"/>
        <w:rPr>
          <w:rFonts w:eastAsia="Calibri"/>
          <w:iCs/>
        </w:rPr>
      </w:pPr>
      <w:r>
        <w:rPr>
          <w:rFonts w:eastAsia="Calibri"/>
          <w:iCs/>
        </w:rPr>
      </w:r>
    </w:p>
    <w:p>
      <w:pPr>
        <w:pStyle w:val="Normal"/>
        <w:ind w:firstLine="709"/>
        <w:jc w:val="both"/>
        <w:rPr>
          <w:rFonts w:eastAsia="Calibri"/>
          <w:iCs/>
        </w:rPr>
      </w:pPr>
      <w:r>
        <w:rPr>
          <w:rFonts w:eastAsia="Calibri Light" w:cs="Calibri Light"/>
          <w:b/>
          <w:szCs w:val="26"/>
          <w:lang w:eastAsia="en-US"/>
        </w:rPr>
        <w:t>2.13. Значения существующей и перспективной тепловой нагрузки потребителей, устанавливаемые с учетом расчетной тепловой нагрузки</w:t>
      </w:r>
      <w:bookmarkEnd w:id="99"/>
      <w:bookmarkEnd w:id="100"/>
      <w:bookmarkEnd w:id="101"/>
      <w:bookmarkEnd w:id="102"/>
      <w:bookmarkEnd w:id="103"/>
      <w:bookmarkEnd w:id="104"/>
    </w:p>
    <w:p>
      <w:pPr>
        <w:pStyle w:val="Normal"/>
        <w:ind w:firstLine="709"/>
        <w:jc w:val="both"/>
        <w:rPr>
          <w:rFonts w:eastAsia="Calibri" w:cs="Calibri"/>
          <w:szCs w:val="22"/>
          <w:lang w:eastAsia="en-US"/>
        </w:rPr>
      </w:pPr>
      <w:r>
        <w:rPr>
          <w:rFonts w:eastAsia="Calibri" w:cs="Calibri"/>
          <w:szCs w:val="22"/>
          <w:lang w:eastAsia="en-US"/>
        </w:rPr>
        <w:t>Значения существующей и перспективной тепловой нагрузки потребителей, устанавливаемые по договорам теплоснабжения, договорам на поддержание резервной тепловой мощности, долгосрочным договорам теплоснабжения, в соответствии с которыми цена определяется по соглашению сторон, и по долгосрочным договорам отсутству</w:t>
      </w:r>
      <w:bookmarkStart w:id="105" w:name="_Hlk160711657"/>
      <w:bookmarkEnd w:id="105"/>
      <w:r>
        <w:rPr>
          <w:rFonts w:eastAsia="Calibri" w:cs="Calibri"/>
          <w:szCs w:val="22"/>
          <w:lang w:eastAsia="en-US"/>
        </w:rPr>
        <w:t>ют.</w:t>
      </w:r>
    </w:p>
    <w:p>
      <w:pPr>
        <w:pStyle w:val="Normal"/>
        <w:keepNext w:val="true"/>
        <w:keepLines/>
        <w:numPr>
          <w:ilvl w:val="0"/>
          <w:numId w:val="0"/>
        </w:numPr>
        <w:spacing w:before="0" w:after="120"/>
        <w:ind w:left="0" w:hanging="0"/>
        <w:jc w:val="center"/>
        <w:outlineLvl w:val="0"/>
        <w:rPr>
          <w:rFonts w:eastAsia="Calibri Light" w:cs="Calibri Light"/>
          <w:b/>
          <w:b/>
          <w:lang w:eastAsia="en-US"/>
        </w:rPr>
      </w:pPr>
      <w:r>
        <w:rPr>
          <w:rFonts w:eastAsia="Calibri Light" w:cs="Calibri Light"/>
          <w:b/>
          <w:lang w:eastAsia="en-US"/>
        </w:rPr>
      </w:r>
      <w:bookmarkStart w:id="106" w:name="_Hlk160650105"/>
      <w:bookmarkStart w:id="107" w:name="_Toc525894705"/>
      <w:bookmarkStart w:id="108" w:name="_Toc230341091"/>
      <w:bookmarkStart w:id="109" w:name="_Hlk160650105"/>
      <w:bookmarkStart w:id="110" w:name="_Toc525894705"/>
      <w:bookmarkStart w:id="111" w:name="_Toc230341091"/>
      <w:bookmarkEnd w:id="109"/>
      <w:bookmarkEnd w:id="110"/>
      <w:bookmarkEnd w:id="111"/>
    </w:p>
    <w:p>
      <w:pPr>
        <w:pStyle w:val="Normal"/>
        <w:keepNext w:val="true"/>
        <w:keepLines/>
        <w:numPr>
          <w:ilvl w:val="0"/>
          <w:numId w:val="0"/>
        </w:numPr>
        <w:spacing w:before="0" w:after="120"/>
        <w:ind w:left="0" w:hanging="0"/>
        <w:jc w:val="center"/>
        <w:outlineLvl w:val="0"/>
        <w:rPr>
          <w:rFonts w:eastAsia="Calibri Light" w:cs="Calibri Light"/>
          <w:b/>
          <w:b/>
          <w:color w:val="000000"/>
          <w:lang w:eastAsia="en-US"/>
        </w:rPr>
      </w:pPr>
      <w:bookmarkStart w:id="112" w:name="_Toc181366966"/>
      <w:r>
        <w:rPr>
          <w:rFonts w:eastAsia="Calibri Light" w:cs="Calibri Light"/>
          <w:b/>
          <w:lang w:eastAsia="en-US"/>
        </w:rPr>
        <w:t>Раздел 3 «Существующие и перспективные балансы теплоносителя»</w:t>
      </w:r>
      <w:bookmarkEnd w:id="112"/>
    </w:p>
    <w:p>
      <w:pPr>
        <w:pStyle w:val="Normal"/>
        <w:keepNext w:val="true"/>
        <w:keepLines/>
        <w:numPr>
          <w:ilvl w:val="0"/>
          <w:numId w:val="0"/>
        </w:numPr>
        <w:ind w:left="0" w:firstLine="709"/>
        <w:jc w:val="both"/>
        <w:outlineLvl w:val="1"/>
        <w:rPr>
          <w:rFonts w:eastAsia="Calibri Light" w:cs="Calibri Light"/>
          <w:b/>
          <w:b/>
          <w:szCs w:val="26"/>
          <w:lang w:eastAsia="en-US"/>
        </w:rPr>
      </w:pPr>
      <w:bookmarkStart w:id="113" w:name="_Toc525894704"/>
      <w:bookmarkStart w:id="114" w:name="_Toc535417867"/>
      <w:bookmarkStart w:id="115" w:name="_Toc23034110"/>
      <w:bookmarkStart w:id="116" w:name="_Toc160516824"/>
      <w:bookmarkStart w:id="117" w:name="_Toc181366967"/>
      <w:r>
        <w:rPr>
          <w:rFonts w:eastAsia="Calibri Light" w:cs="Calibri Light"/>
          <w:b/>
          <w:szCs w:val="26"/>
          <w:lang w:eastAsia="en-US"/>
        </w:rPr>
        <w:t>3.1. Существующие и перспективные балансы производительности водоподготовительных установок и максимального потребления теплоносителя теплопотребляющими установками потребителей</w:t>
      </w:r>
      <w:bookmarkEnd w:id="113"/>
      <w:bookmarkEnd w:id="114"/>
      <w:bookmarkEnd w:id="115"/>
      <w:bookmarkEnd w:id="116"/>
      <w:bookmarkEnd w:id="117"/>
    </w:p>
    <w:p>
      <w:pPr>
        <w:pStyle w:val="Normal"/>
        <w:keepNext w:val="true"/>
        <w:keepLines/>
        <w:numPr>
          <w:ilvl w:val="0"/>
          <w:numId w:val="0"/>
        </w:numPr>
        <w:ind w:left="0" w:firstLine="709"/>
        <w:jc w:val="both"/>
        <w:outlineLvl w:val="1"/>
        <w:rPr>
          <w:rFonts w:eastAsia="Calibri Light" w:cs="Calibri Light"/>
          <w:b/>
          <w:b/>
          <w:szCs w:val="26"/>
          <w:lang w:eastAsia="en-US"/>
        </w:rPr>
      </w:pPr>
      <w:r>
        <w:rPr>
          <w:szCs w:val="28"/>
          <w:lang w:eastAsia="ru-RU"/>
        </w:rPr>
        <w:t>Теплоноситель в системе теплоснабжения котельной, предназначен как для передачи теплоты (теплоносителя), так и для восполнения утечек теплоносителя, за счет подпитки тепловой сети.</w:t>
      </w:r>
    </w:p>
    <w:p>
      <w:pPr>
        <w:pStyle w:val="Normal"/>
        <w:keepNext w:val="true"/>
        <w:keepLines/>
        <w:numPr>
          <w:ilvl w:val="0"/>
          <w:numId w:val="0"/>
        </w:numPr>
        <w:ind w:left="0" w:firstLine="709"/>
        <w:jc w:val="both"/>
        <w:outlineLvl w:val="1"/>
        <w:rPr>
          <w:rFonts w:eastAsia="Calibri Light" w:cs="Calibri Light"/>
          <w:b/>
          <w:b/>
          <w:szCs w:val="26"/>
          <w:lang w:eastAsia="en-US"/>
        </w:rPr>
      </w:pPr>
      <w:r>
        <w:rPr>
          <w:szCs w:val="28"/>
          <w:lang w:eastAsia="ru-RU"/>
        </w:rPr>
        <w:t>При эксплуатации тепловых сетей утечка теплоносителя не должна превышать норму, которая составляет 0,25% среднегодового объема воды в тепловой сети и присоединенных к ней системах теплопотребления в час.</w:t>
      </w:r>
    </w:p>
    <w:p>
      <w:pPr>
        <w:pStyle w:val="Normal"/>
        <w:keepNext w:val="true"/>
        <w:keepLines/>
        <w:numPr>
          <w:ilvl w:val="0"/>
          <w:numId w:val="0"/>
        </w:numPr>
        <w:ind w:left="0" w:firstLine="709"/>
        <w:jc w:val="both"/>
        <w:outlineLvl w:val="1"/>
        <w:rPr>
          <w:rFonts w:eastAsia="Calibri Light" w:cs="Calibri Light"/>
          <w:b/>
          <w:b/>
          <w:szCs w:val="26"/>
          <w:lang w:eastAsia="en-US"/>
        </w:rPr>
      </w:pPr>
      <w:r>
        <w:rPr>
          <w:szCs w:val="28"/>
          <w:lang w:eastAsia="ru-RU"/>
        </w:rPr>
        <w:t>Для систем теплоснабжения должна предусматриваться дополнительно аварийная подпитка химически не обработанной и недеаэрированной водой, расход которой принимается в количестве 2% объема воды в трубопроводах тепловых сетей и присоединенных к ним системах отопления, вентиляции.</w:t>
      </w:r>
      <w:bookmarkStart w:id="118" w:name="_Hlk34385529"/>
      <w:bookmarkStart w:id="119" w:name="_Hlk1606501051"/>
      <w:bookmarkEnd w:id="119"/>
    </w:p>
    <w:p>
      <w:pPr>
        <w:pStyle w:val="Normal"/>
        <w:keepNext w:val="true"/>
        <w:keepLines/>
        <w:numPr>
          <w:ilvl w:val="0"/>
          <w:numId w:val="0"/>
        </w:numPr>
        <w:ind w:left="0" w:firstLine="709"/>
        <w:jc w:val="both"/>
        <w:outlineLvl w:val="1"/>
        <w:rPr>
          <w:rFonts w:eastAsia="Calibri Light" w:cs="Calibri Light"/>
          <w:b/>
          <w:b/>
          <w:szCs w:val="26"/>
          <w:lang w:eastAsia="en-US"/>
        </w:rPr>
      </w:pPr>
      <w:r>
        <w:rPr>
          <w:rFonts w:eastAsia="Calibri" w:cs="Calibri"/>
          <w:szCs w:val="22"/>
          <w:lang w:eastAsia="en-US"/>
        </w:rPr>
        <w:t>Выполнен расчет нормативной и аварийной подпитки тепловых сетей источников. Перспективные балансы производительности водоподготовительных установок (далее – ВПУ) и подпитки тепловых сетей по существующему положению представлены в таблице 7.</w:t>
      </w:r>
      <w:bookmarkEnd w:id="118"/>
    </w:p>
    <w:p>
      <w:pPr>
        <w:pStyle w:val="Normal"/>
        <w:jc w:val="right"/>
        <w:rPr>
          <w:rFonts w:eastAsia="Calibri" w:cs="Calibri"/>
          <w:szCs w:val="22"/>
          <w:lang w:eastAsia="en-US"/>
        </w:rPr>
      </w:pPr>
      <w:bookmarkStart w:id="120" w:name="_Ref33704663"/>
      <w:r>
        <w:rPr>
          <w:rFonts w:eastAsia="Calibri" w:cs="Calibri"/>
          <w:szCs w:val="22"/>
          <w:lang w:eastAsia="en-US"/>
        </w:rPr>
        <w:t>Таблица</w:t>
      </w:r>
      <w:bookmarkEnd w:id="120"/>
      <w:r>
        <w:rPr>
          <w:rFonts w:eastAsia="Calibri" w:cs="Calibri"/>
          <w:szCs w:val="22"/>
          <w:lang w:eastAsia="en-US"/>
        </w:rPr>
        <w:t xml:space="preserve"> 7 – Расчетные балансы ВПУ и подпитки тепловых сетей </w:t>
      </w:r>
    </w:p>
    <w:p>
      <w:pPr>
        <w:pStyle w:val="Normal"/>
        <w:jc w:val="right"/>
        <w:rPr>
          <w:rFonts w:eastAsia="Calibri" w:cs="Calibri"/>
          <w:szCs w:val="22"/>
          <w:lang w:eastAsia="en-US"/>
        </w:rPr>
      </w:pPr>
      <w:r>
        <w:rPr>
          <w:rFonts w:eastAsia="Calibri" w:cs="Calibri"/>
          <w:szCs w:val="22"/>
          <w:lang w:eastAsia="en-US"/>
        </w:rPr>
        <w:t>перспективное положение</w:t>
      </w:r>
    </w:p>
    <w:tbl>
      <w:tblPr>
        <w:tblW w:w="5000" w:type="pct"/>
        <w:jc w:val="left"/>
        <w:tblInd w:w="0" w:type="dxa"/>
        <w:tblCellMar>
          <w:top w:w="0" w:type="dxa"/>
          <w:left w:w="108" w:type="dxa"/>
          <w:bottom w:w="0" w:type="dxa"/>
          <w:right w:w="108" w:type="dxa"/>
        </w:tblCellMar>
        <w:tblLook w:val="04a0" w:noVBand="1" w:noHBand="0" w:lastColumn="0" w:firstColumn="1" w:lastRow="0" w:firstRow="1"/>
      </w:tblPr>
      <w:tblGrid>
        <w:gridCol w:w="450"/>
        <w:gridCol w:w="1695"/>
        <w:gridCol w:w="1823"/>
        <w:gridCol w:w="1245"/>
        <w:gridCol w:w="1760"/>
        <w:gridCol w:w="1416"/>
        <w:gridCol w:w="1047"/>
        <w:gridCol w:w="200"/>
      </w:tblGrid>
      <w:tr>
        <w:trPr>
          <w:tblHeader w:val="true"/>
          <w:trHeight w:val="470" w:hRule="atLeast"/>
        </w:trPr>
        <w:tc>
          <w:tcPr>
            <w:tcW w:w="450"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xml:space="preserve">№ </w:t>
            </w:r>
            <w:r>
              <w:rPr>
                <w:sz w:val="20"/>
                <w:szCs w:val="20"/>
                <w:lang w:eastAsia="ru-RU"/>
              </w:rPr>
              <w:t>п/п</w:t>
            </w:r>
          </w:p>
        </w:tc>
        <w:tc>
          <w:tcPr>
            <w:tcW w:w="1695"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Наименование котельной</w:t>
            </w:r>
          </w:p>
        </w:tc>
        <w:tc>
          <w:tcPr>
            <w:tcW w:w="1823"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Расчетный часовой расход воды для определения производительности водоподготовки, м3/ч</w:t>
            </w:r>
          </w:p>
        </w:tc>
        <w:tc>
          <w:tcPr>
            <w:tcW w:w="1245"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Расход подпиточной воды в рабочем режиме, м3/ч</w:t>
            </w:r>
          </w:p>
        </w:tc>
        <w:tc>
          <w:tcPr>
            <w:tcW w:w="1760"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Расход воды на заполнение наибольшего по диаметру секционированного участка тепловой сети, м3/ч</w:t>
            </w:r>
          </w:p>
        </w:tc>
        <w:tc>
          <w:tcPr>
            <w:tcW w:w="1416"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Максимальный часовой расход подпиточной воды, м3/ч</w:t>
            </w:r>
          </w:p>
        </w:tc>
        <w:tc>
          <w:tcPr>
            <w:tcW w:w="1047"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Расчетный часовой расход аварийной подпитки, м3/ч</w:t>
            </w:r>
          </w:p>
        </w:tc>
        <w:tc>
          <w:tcPr>
            <w:tcW w:w="200" w:type="dxa"/>
            <w:tcBorders/>
          </w:tcPr>
          <w:p>
            <w:pPr>
              <w:pStyle w:val="Normal"/>
              <w:rPr>
                <w:lang w:eastAsia="ru-RU"/>
              </w:rPr>
            </w:pPr>
            <w:r>
              <w:rPr>
                <w:lang w:eastAsia="ru-RU"/>
              </w:rPr>
            </w:r>
          </w:p>
        </w:tc>
      </w:tr>
      <w:tr>
        <w:trPr>
          <w:tblHeader w:val="true"/>
          <w:trHeight w:val="710" w:hRule="atLeast"/>
        </w:trPr>
        <w:tc>
          <w:tcPr>
            <w:tcW w:w="45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r>
          </w:p>
        </w:tc>
        <w:tc>
          <w:tcPr>
            <w:tcW w:w="169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r>
          </w:p>
        </w:tc>
        <w:tc>
          <w:tcPr>
            <w:tcW w:w="182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r>
          </w:p>
        </w:tc>
        <w:tc>
          <w:tcPr>
            <w:tcW w:w="124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r>
          </w:p>
        </w:tc>
        <w:tc>
          <w:tcPr>
            <w:tcW w:w="176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r>
          </w:p>
        </w:tc>
        <w:tc>
          <w:tcPr>
            <w:tcW w:w="141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r>
          </w:p>
        </w:tc>
        <w:tc>
          <w:tcPr>
            <w:tcW w:w="104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r>
          </w:p>
        </w:tc>
        <w:tc>
          <w:tcPr>
            <w:tcW w:w="200" w:type="dxa"/>
            <w:tcBorders/>
          </w:tcPr>
          <w:p>
            <w:pPr>
              <w:pStyle w:val="Normal"/>
              <w:rPr>
                <w:lang w:eastAsia="ru-RU"/>
              </w:rPr>
            </w:pPr>
            <w:r>
              <w:rPr>
                <w:lang w:eastAsia="ru-RU"/>
              </w:rPr>
            </w:r>
          </w:p>
        </w:tc>
      </w:tr>
      <w:tr>
        <w:trPr>
          <w:trHeight w:val="20" w:hRule="atLeast"/>
        </w:trPr>
        <w:tc>
          <w:tcPr>
            <w:tcW w:w="9436" w:type="dxa"/>
            <w:gridSpan w:val="7"/>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Существующее положение</w:t>
            </w:r>
          </w:p>
        </w:tc>
        <w:tc>
          <w:tcPr>
            <w:tcW w:w="200" w:type="dxa"/>
            <w:tcBorders/>
          </w:tcPr>
          <w:p>
            <w:pPr>
              <w:pStyle w:val="Normal"/>
              <w:rPr>
                <w:rFonts w:eastAsia="Calibri Light" w:cs="Calibri Light"/>
                <w:b/>
                <w:b/>
                <w:szCs w:val="26"/>
                <w:lang w:eastAsia="en-US"/>
              </w:rPr>
            </w:pPr>
            <w:r>
              <w:rPr>
                <w:rFonts w:eastAsia="Calibri Light" w:cs="Calibri Light"/>
                <w:b/>
                <w:szCs w:val="26"/>
                <w:lang w:eastAsia="en-US"/>
              </w:rPr>
            </w:r>
          </w:p>
        </w:tc>
      </w:tr>
      <w:tr>
        <w:trPr>
          <w:trHeight w:val="20" w:hRule="atLeast"/>
        </w:trPr>
        <w:tc>
          <w:tcPr>
            <w:tcW w:w="45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w:t>
            </w:r>
          </w:p>
        </w:tc>
        <w:tc>
          <w:tcPr>
            <w:tcW w:w="16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котельная № 1, пгт.Октябрьское, ул.Сенькина, 46б</w:t>
            </w:r>
          </w:p>
        </w:tc>
        <w:tc>
          <w:tcPr>
            <w:tcW w:w="18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4,74</w:t>
            </w:r>
          </w:p>
        </w:tc>
        <w:tc>
          <w:tcPr>
            <w:tcW w:w="124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1,58</w:t>
            </w:r>
          </w:p>
        </w:tc>
        <w:tc>
          <w:tcPr>
            <w:tcW w:w="17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25</w:t>
            </w:r>
          </w:p>
        </w:tc>
        <w:tc>
          <w:tcPr>
            <w:tcW w:w="14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26,58</w:t>
            </w:r>
          </w:p>
        </w:tc>
        <w:tc>
          <w:tcPr>
            <w:tcW w:w="104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12,6</w:t>
            </w:r>
          </w:p>
        </w:tc>
        <w:tc>
          <w:tcPr>
            <w:tcW w:w="200" w:type="dxa"/>
            <w:tcBorders/>
          </w:tcPr>
          <w:p>
            <w:pPr>
              <w:pStyle w:val="Normal"/>
              <w:rPr>
                <w:lang w:eastAsia="ru-RU"/>
              </w:rPr>
            </w:pPr>
            <w:r>
              <w:rPr>
                <w:lang w:eastAsia="ru-RU"/>
              </w:rPr>
            </w:r>
          </w:p>
        </w:tc>
      </w:tr>
      <w:tr>
        <w:trPr>
          <w:trHeight w:val="20" w:hRule="atLeast"/>
        </w:trPr>
        <w:tc>
          <w:tcPr>
            <w:tcW w:w="45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2</w:t>
            </w:r>
          </w:p>
        </w:tc>
        <w:tc>
          <w:tcPr>
            <w:tcW w:w="16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котельная № 2, пгт.Октябрьское, ул.Пионерская, 17б</w:t>
            </w:r>
          </w:p>
        </w:tc>
        <w:tc>
          <w:tcPr>
            <w:tcW w:w="18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3,19</w:t>
            </w:r>
          </w:p>
        </w:tc>
        <w:tc>
          <w:tcPr>
            <w:tcW w:w="124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1,06</w:t>
            </w:r>
          </w:p>
        </w:tc>
        <w:tc>
          <w:tcPr>
            <w:tcW w:w="17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25</w:t>
            </w:r>
          </w:p>
        </w:tc>
        <w:tc>
          <w:tcPr>
            <w:tcW w:w="14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26,06</w:t>
            </w:r>
          </w:p>
        </w:tc>
        <w:tc>
          <w:tcPr>
            <w:tcW w:w="104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8,5</w:t>
            </w:r>
          </w:p>
        </w:tc>
        <w:tc>
          <w:tcPr>
            <w:tcW w:w="200" w:type="dxa"/>
            <w:tcBorders/>
          </w:tcPr>
          <w:p>
            <w:pPr>
              <w:pStyle w:val="Normal"/>
              <w:rPr>
                <w:lang w:eastAsia="ru-RU"/>
              </w:rPr>
            </w:pPr>
            <w:r>
              <w:rPr>
                <w:lang w:eastAsia="ru-RU"/>
              </w:rPr>
            </w:r>
          </w:p>
        </w:tc>
      </w:tr>
      <w:tr>
        <w:trPr>
          <w:trHeight w:val="20" w:hRule="atLeast"/>
        </w:trPr>
        <w:tc>
          <w:tcPr>
            <w:tcW w:w="45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3</w:t>
            </w:r>
          </w:p>
        </w:tc>
        <w:tc>
          <w:tcPr>
            <w:tcW w:w="16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rPr>
              <w:t>котельная № 3, пгт.Октябрьское, ул.Чапаева, 6б</w:t>
            </w:r>
          </w:p>
        </w:tc>
        <w:tc>
          <w:tcPr>
            <w:tcW w:w="18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rPr>
              <w:t>2,95</w:t>
            </w:r>
          </w:p>
        </w:tc>
        <w:tc>
          <w:tcPr>
            <w:tcW w:w="124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rPr>
              <w:t>0,98</w:t>
            </w:r>
          </w:p>
        </w:tc>
        <w:tc>
          <w:tcPr>
            <w:tcW w:w="17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rPr>
              <w:t>25</w:t>
            </w:r>
          </w:p>
        </w:tc>
        <w:tc>
          <w:tcPr>
            <w:tcW w:w="14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rPr>
              <w:t>25,98</w:t>
            </w:r>
          </w:p>
        </w:tc>
        <w:tc>
          <w:tcPr>
            <w:tcW w:w="104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rPr>
              <w:t>7,9</w:t>
            </w:r>
          </w:p>
        </w:tc>
        <w:tc>
          <w:tcPr>
            <w:tcW w:w="200" w:type="dxa"/>
            <w:tcBorders/>
          </w:tcPr>
          <w:p>
            <w:pPr>
              <w:pStyle w:val="Normal"/>
              <w:rPr>
                <w:lang w:eastAsia="ru-RU"/>
              </w:rPr>
            </w:pPr>
            <w:r>
              <w:rPr>
                <w:lang w:eastAsia="ru-RU"/>
              </w:rPr>
            </w:r>
          </w:p>
        </w:tc>
      </w:tr>
      <w:tr>
        <w:trPr>
          <w:trHeight w:val="20" w:hRule="atLeast"/>
        </w:trPr>
        <w:tc>
          <w:tcPr>
            <w:tcW w:w="45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4</w:t>
            </w:r>
          </w:p>
        </w:tc>
        <w:tc>
          <w:tcPr>
            <w:tcW w:w="16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rPr>
              <w:t>котельная № 6, пгт.Октябрьское, ул.Дзержинского, 2б</w:t>
            </w:r>
          </w:p>
        </w:tc>
        <w:tc>
          <w:tcPr>
            <w:tcW w:w="18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rPr>
              <w:t>1,85</w:t>
            </w:r>
          </w:p>
        </w:tc>
        <w:tc>
          <w:tcPr>
            <w:tcW w:w="124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rPr>
              <w:t>0,62</w:t>
            </w:r>
          </w:p>
        </w:tc>
        <w:tc>
          <w:tcPr>
            <w:tcW w:w="17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rPr>
              <w:t>15</w:t>
            </w:r>
          </w:p>
        </w:tc>
        <w:tc>
          <w:tcPr>
            <w:tcW w:w="14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rPr>
              <w:t>15,62</w:t>
            </w:r>
          </w:p>
        </w:tc>
        <w:tc>
          <w:tcPr>
            <w:tcW w:w="104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rPr>
              <w:t>4,9</w:t>
            </w:r>
          </w:p>
        </w:tc>
        <w:tc>
          <w:tcPr>
            <w:tcW w:w="200" w:type="dxa"/>
            <w:tcBorders/>
          </w:tcPr>
          <w:p>
            <w:pPr>
              <w:pStyle w:val="Normal"/>
              <w:rPr>
                <w:lang w:eastAsia="ru-RU"/>
              </w:rPr>
            </w:pPr>
            <w:r>
              <w:rPr>
                <w:lang w:eastAsia="ru-RU"/>
              </w:rPr>
            </w:r>
          </w:p>
        </w:tc>
      </w:tr>
      <w:tr>
        <w:trPr>
          <w:trHeight w:val="20" w:hRule="atLeast"/>
        </w:trPr>
        <w:tc>
          <w:tcPr>
            <w:tcW w:w="45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5</w:t>
            </w:r>
          </w:p>
        </w:tc>
        <w:tc>
          <w:tcPr>
            <w:tcW w:w="16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rPr>
              <w:t>котельная № 7,пгт.Октябрьское, ул.Медицинская, 3Б</w:t>
            </w:r>
          </w:p>
        </w:tc>
        <w:tc>
          <w:tcPr>
            <w:tcW w:w="18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rPr>
              <w:t>0,49</w:t>
            </w:r>
          </w:p>
        </w:tc>
        <w:tc>
          <w:tcPr>
            <w:tcW w:w="124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rPr>
              <w:t>0,16</w:t>
            </w:r>
          </w:p>
        </w:tc>
        <w:tc>
          <w:tcPr>
            <w:tcW w:w="17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rPr>
              <w:t>25</w:t>
            </w:r>
          </w:p>
        </w:tc>
        <w:tc>
          <w:tcPr>
            <w:tcW w:w="14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rPr>
              <w:t>25,16</w:t>
            </w:r>
          </w:p>
        </w:tc>
        <w:tc>
          <w:tcPr>
            <w:tcW w:w="104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rPr>
              <w:t>1,3</w:t>
            </w:r>
          </w:p>
        </w:tc>
        <w:tc>
          <w:tcPr>
            <w:tcW w:w="200" w:type="dxa"/>
            <w:tcBorders/>
          </w:tcPr>
          <w:p>
            <w:pPr>
              <w:pStyle w:val="Normal"/>
              <w:rPr>
                <w:lang w:eastAsia="ru-RU"/>
              </w:rPr>
            </w:pPr>
            <w:r>
              <w:rPr>
                <w:lang w:eastAsia="ru-RU"/>
              </w:rPr>
            </w:r>
          </w:p>
        </w:tc>
      </w:tr>
      <w:tr>
        <w:trPr>
          <w:trHeight w:val="20" w:hRule="atLeast"/>
        </w:trPr>
        <w:tc>
          <w:tcPr>
            <w:tcW w:w="45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6</w:t>
            </w:r>
          </w:p>
        </w:tc>
        <w:tc>
          <w:tcPr>
            <w:tcW w:w="16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rPr>
              <w:t>котельная № 12, пгт.Октябрьское, ул.Медицинская, 3к</w:t>
            </w:r>
          </w:p>
        </w:tc>
        <w:tc>
          <w:tcPr>
            <w:tcW w:w="18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rPr>
              <w:t>1,51</w:t>
            </w:r>
          </w:p>
        </w:tc>
        <w:tc>
          <w:tcPr>
            <w:tcW w:w="124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rPr>
              <w:t>0,50</w:t>
            </w:r>
          </w:p>
        </w:tc>
        <w:tc>
          <w:tcPr>
            <w:tcW w:w="17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rPr>
              <w:t>25</w:t>
            </w:r>
          </w:p>
        </w:tc>
        <w:tc>
          <w:tcPr>
            <w:tcW w:w="14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rPr>
              <w:t>25,50</w:t>
            </w:r>
          </w:p>
        </w:tc>
        <w:tc>
          <w:tcPr>
            <w:tcW w:w="104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rPr>
              <w:t>4,0</w:t>
            </w:r>
          </w:p>
        </w:tc>
        <w:tc>
          <w:tcPr>
            <w:tcW w:w="200" w:type="dxa"/>
            <w:tcBorders/>
          </w:tcPr>
          <w:p>
            <w:pPr>
              <w:pStyle w:val="Normal"/>
              <w:rPr>
                <w:lang w:eastAsia="ru-RU"/>
              </w:rPr>
            </w:pPr>
            <w:r>
              <w:rPr>
                <w:lang w:eastAsia="ru-RU"/>
              </w:rPr>
            </w:r>
          </w:p>
        </w:tc>
      </w:tr>
      <w:tr>
        <w:trPr>
          <w:trHeight w:val="20" w:hRule="atLeast"/>
        </w:trPr>
        <w:tc>
          <w:tcPr>
            <w:tcW w:w="45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7</w:t>
            </w:r>
          </w:p>
        </w:tc>
        <w:tc>
          <w:tcPr>
            <w:tcW w:w="16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rPr>
              <w:t>котельная № 8, пгт.Октябрьское, ул.50 лет, 38А</w:t>
            </w:r>
          </w:p>
        </w:tc>
        <w:tc>
          <w:tcPr>
            <w:tcW w:w="18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rPr>
              <w:t>0,09</w:t>
            </w:r>
          </w:p>
        </w:tc>
        <w:tc>
          <w:tcPr>
            <w:tcW w:w="124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rPr>
              <w:t>0,03</w:t>
            </w:r>
          </w:p>
        </w:tc>
        <w:tc>
          <w:tcPr>
            <w:tcW w:w="17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rPr>
              <w:t>15</w:t>
            </w:r>
          </w:p>
        </w:tc>
        <w:tc>
          <w:tcPr>
            <w:tcW w:w="14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rPr>
              <w:t>15,03</w:t>
            </w:r>
          </w:p>
        </w:tc>
        <w:tc>
          <w:tcPr>
            <w:tcW w:w="104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rPr>
              <w:t>0,2</w:t>
            </w:r>
          </w:p>
        </w:tc>
        <w:tc>
          <w:tcPr>
            <w:tcW w:w="200" w:type="dxa"/>
            <w:tcBorders/>
          </w:tcPr>
          <w:p>
            <w:pPr>
              <w:pStyle w:val="Normal"/>
              <w:rPr>
                <w:lang w:eastAsia="ru-RU"/>
              </w:rPr>
            </w:pPr>
            <w:r>
              <w:rPr>
                <w:lang w:eastAsia="ru-RU"/>
              </w:rPr>
            </w:r>
          </w:p>
        </w:tc>
      </w:tr>
      <w:tr>
        <w:trPr>
          <w:trHeight w:val="20" w:hRule="atLeast"/>
        </w:trPr>
        <w:tc>
          <w:tcPr>
            <w:tcW w:w="9436" w:type="dxa"/>
            <w:gridSpan w:val="7"/>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lang w:eastAsia="ru-RU"/>
              </w:rPr>
              <w:t>Перспективное положение (2035 г.)</w:t>
            </w:r>
          </w:p>
        </w:tc>
        <w:tc>
          <w:tcPr>
            <w:tcW w:w="200" w:type="dxa"/>
            <w:tcBorders/>
          </w:tcPr>
          <w:p>
            <w:pPr>
              <w:pStyle w:val="Normal"/>
              <w:rPr>
                <w:rFonts w:eastAsia="Calibri Light" w:cs="Calibri Light"/>
                <w:b/>
                <w:b/>
                <w:szCs w:val="26"/>
                <w:lang w:eastAsia="en-US"/>
              </w:rPr>
            </w:pPr>
            <w:r>
              <w:rPr>
                <w:rFonts w:eastAsia="Calibri Light" w:cs="Calibri Light"/>
                <w:b/>
                <w:szCs w:val="26"/>
                <w:lang w:eastAsia="en-US"/>
              </w:rPr>
            </w:r>
          </w:p>
        </w:tc>
      </w:tr>
      <w:tr>
        <w:trPr>
          <w:trHeight w:val="20" w:hRule="atLeast"/>
        </w:trPr>
        <w:tc>
          <w:tcPr>
            <w:tcW w:w="45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w:t>
            </w:r>
          </w:p>
        </w:tc>
        <w:tc>
          <w:tcPr>
            <w:tcW w:w="16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rPr>
              <w:t>котельная № 1, пгт.Октябрьское, ул.Сенькина, 46б</w:t>
            </w:r>
          </w:p>
        </w:tc>
        <w:tc>
          <w:tcPr>
            <w:tcW w:w="1823" w:type="dxa"/>
            <w:tcBorders>
              <w:bottom w:val="single" w:sz="8" w:space="0" w:color="000000"/>
              <w:right w:val="single" w:sz="8" w:space="0" w:color="000000"/>
            </w:tcBorders>
            <w:shd w:color="auto" w:fill="auto" w:val="clear"/>
            <w:vAlign w:val="center"/>
          </w:tcPr>
          <w:p>
            <w:pPr>
              <w:pStyle w:val="Normal"/>
              <w:jc w:val="center"/>
              <w:rPr>
                <w:sz w:val="20"/>
                <w:szCs w:val="20"/>
              </w:rPr>
            </w:pPr>
            <w:r>
              <w:rPr>
                <w:sz w:val="20"/>
                <w:szCs w:val="20"/>
              </w:rPr>
              <w:t>7,69</w:t>
            </w:r>
          </w:p>
        </w:tc>
        <w:tc>
          <w:tcPr>
            <w:tcW w:w="1245" w:type="dxa"/>
            <w:tcBorders>
              <w:bottom w:val="single" w:sz="8" w:space="0" w:color="000000"/>
              <w:right w:val="single" w:sz="8" w:space="0" w:color="000000"/>
            </w:tcBorders>
            <w:shd w:color="auto" w:fill="auto" w:val="clear"/>
            <w:vAlign w:val="center"/>
          </w:tcPr>
          <w:p>
            <w:pPr>
              <w:pStyle w:val="Normal"/>
              <w:jc w:val="center"/>
              <w:rPr>
                <w:sz w:val="20"/>
                <w:szCs w:val="20"/>
              </w:rPr>
            </w:pPr>
            <w:r>
              <w:rPr>
                <w:sz w:val="20"/>
                <w:szCs w:val="20"/>
              </w:rPr>
              <w:t>2,56</w:t>
            </w:r>
          </w:p>
        </w:tc>
        <w:tc>
          <w:tcPr>
            <w:tcW w:w="1760" w:type="dxa"/>
            <w:tcBorders>
              <w:bottom w:val="single" w:sz="8" w:space="0" w:color="000000"/>
              <w:right w:val="single" w:sz="8" w:space="0" w:color="000000"/>
            </w:tcBorders>
            <w:shd w:color="auto" w:fill="auto" w:val="clear"/>
            <w:vAlign w:val="center"/>
          </w:tcPr>
          <w:p>
            <w:pPr>
              <w:pStyle w:val="Normal"/>
              <w:jc w:val="center"/>
              <w:rPr>
                <w:sz w:val="20"/>
                <w:szCs w:val="20"/>
              </w:rPr>
            </w:pPr>
            <w:r>
              <w:rPr>
                <w:sz w:val="20"/>
                <w:szCs w:val="20"/>
              </w:rPr>
              <w:t>25</w:t>
            </w:r>
          </w:p>
        </w:tc>
        <w:tc>
          <w:tcPr>
            <w:tcW w:w="1416" w:type="dxa"/>
            <w:tcBorders>
              <w:bottom w:val="single" w:sz="8" w:space="0" w:color="000000"/>
              <w:right w:val="single" w:sz="8" w:space="0" w:color="000000"/>
            </w:tcBorders>
            <w:shd w:color="auto" w:fill="auto" w:val="clear"/>
            <w:vAlign w:val="center"/>
          </w:tcPr>
          <w:p>
            <w:pPr>
              <w:pStyle w:val="Normal"/>
              <w:jc w:val="center"/>
              <w:rPr>
                <w:sz w:val="20"/>
                <w:szCs w:val="20"/>
              </w:rPr>
            </w:pPr>
            <w:r>
              <w:rPr>
                <w:sz w:val="20"/>
                <w:szCs w:val="20"/>
              </w:rPr>
              <w:t>27,56</w:t>
            </w:r>
          </w:p>
        </w:tc>
        <w:tc>
          <w:tcPr>
            <w:tcW w:w="1047" w:type="dxa"/>
            <w:tcBorders>
              <w:bottom w:val="single" w:sz="8" w:space="0" w:color="000000"/>
              <w:right w:val="single" w:sz="8" w:space="0" w:color="000000"/>
            </w:tcBorders>
            <w:shd w:color="auto" w:fill="auto" w:val="clear"/>
            <w:vAlign w:val="center"/>
          </w:tcPr>
          <w:p>
            <w:pPr>
              <w:pStyle w:val="Normal"/>
              <w:jc w:val="center"/>
              <w:rPr>
                <w:sz w:val="20"/>
                <w:szCs w:val="20"/>
              </w:rPr>
            </w:pPr>
            <w:r>
              <w:rPr>
                <w:sz w:val="20"/>
                <w:szCs w:val="20"/>
              </w:rPr>
              <w:t>20,5</w:t>
            </w:r>
          </w:p>
        </w:tc>
        <w:tc>
          <w:tcPr>
            <w:tcW w:w="200" w:type="dxa"/>
            <w:tcBorders/>
          </w:tcPr>
          <w:p>
            <w:pPr>
              <w:pStyle w:val="Normal"/>
              <w:rPr>
                <w:lang w:eastAsia="ru-RU"/>
              </w:rPr>
            </w:pPr>
            <w:r>
              <w:rPr>
                <w:lang w:eastAsia="ru-RU"/>
              </w:rPr>
            </w:r>
          </w:p>
        </w:tc>
      </w:tr>
      <w:tr>
        <w:trPr>
          <w:trHeight w:val="20" w:hRule="atLeast"/>
        </w:trPr>
        <w:tc>
          <w:tcPr>
            <w:tcW w:w="45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2</w:t>
            </w:r>
          </w:p>
        </w:tc>
        <w:tc>
          <w:tcPr>
            <w:tcW w:w="16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rPr>
              <w:t>котельная № 2, пгт.Октябрьское, ул.Пионерская, 17б</w:t>
            </w:r>
          </w:p>
        </w:tc>
        <w:tc>
          <w:tcPr>
            <w:tcW w:w="7291" w:type="dxa"/>
            <w:gridSpan w:val="5"/>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xml:space="preserve">Строительство котельной по ул.Дзержинского, 14 в пгт.Октябрьское. </w:t>
            </w:r>
          </w:p>
          <w:p>
            <w:pPr>
              <w:pStyle w:val="Normal"/>
              <w:jc w:val="center"/>
              <w:rPr>
                <w:sz w:val="20"/>
                <w:szCs w:val="20"/>
                <w:lang w:eastAsia="ru-RU"/>
              </w:rPr>
            </w:pPr>
            <w:r>
              <w:rPr>
                <w:sz w:val="20"/>
                <w:szCs w:val="20"/>
                <w:lang w:eastAsia="ru-RU"/>
              </w:rPr>
              <w:t xml:space="preserve">Вывод из эксплуатации котельной № 2 по ул.Пионерская, 17Б и котельной № 6 </w:t>
            </w:r>
          </w:p>
          <w:p>
            <w:pPr>
              <w:pStyle w:val="Normal"/>
              <w:jc w:val="center"/>
              <w:rPr>
                <w:sz w:val="20"/>
                <w:szCs w:val="20"/>
                <w:lang w:eastAsia="ru-RU"/>
              </w:rPr>
            </w:pPr>
            <w:r>
              <w:rPr>
                <w:sz w:val="20"/>
                <w:szCs w:val="20"/>
                <w:lang w:eastAsia="ru-RU"/>
              </w:rPr>
              <w:t xml:space="preserve">по ул.Дзержинского, 2Б с переключением нагрузки на новую котельную </w:t>
            </w:r>
          </w:p>
          <w:p>
            <w:pPr>
              <w:pStyle w:val="Normal"/>
              <w:jc w:val="center"/>
              <w:rPr>
                <w:sz w:val="20"/>
                <w:szCs w:val="20"/>
                <w:lang w:val="en-US"/>
              </w:rPr>
            </w:pPr>
            <w:r>
              <w:rPr>
                <w:sz w:val="20"/>
                <w:szCs w:val="20"/>
                <w:lang w:eastAsia="ru-RU"/>
              </w:rPr>
              <w:t>по ул.Дзержинского, 14</w:t>
            </w:r>
          </w:p>
        </w:tc>
        <w:tc>
          <w:tcPr>
            <w:tcW w:w="200" w:type="dxa"/>
            <w:tcBorders/>
          </w:tcPr>
          <w:p>
            <w:pPr>
              <w:pStyle w:val="Normal"/>
              <w:rPr>
                <w:rFonts w:eastAsia="Calibri Light" w:cs="Calibri Light"/>
                <w:b/>
                <w:b/>
                <w:szCs w:val="26"/>
                <w:lang w:eastAsia="en-US"/>
              </w:rPr>
            </w:pPr>
            <w:r>
              <w:rPr>
                <w:rFonts w:eastAsia="Calibri Light" w:cs="Calibri Light"/>
                <w:b/>
                <w:szCs w:val="26"/>
                <w:lang w:eastAsia="en-US"/>
              </w:rPr>
            </w:r>
          </w:p>
        </w:tc>
      </w:tr>
      <w:tr>
        <w:trPr>
          <w:trHeight w:val="20" w:hRule="atLeast"/>
        </w:trPr>
        <w:tc>
          <w:tcPr>
            <w:tcW w:w="45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3</w:t>
            </w:r>
          </w:p>
        </w:tc>
        <w:tc>
          <w:tcPr>
            <w:tcW w:w="16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rPr>
              <w:t>котельная № 3, пгт.Октябрьское, ул.Чапаева, 6б</w:t>
            </w:r>
          </w:p>
        </w:tc>
        <w:tc>
          <w:tcPr>
            <w:tcW w:w="7291" w:type="dxa"/>
            <w:gridSpan w:val="5"/>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xml:space="preserve">Вывод из эксплуатации котельной № 3 по ул. Чапаева, 6Б с переключением нагрузки </w:t>
            </w:r>
          </w:p>
          <w:p>
            <w:pPr>
              <w:pStyle w:val="Normal"/>
              <w:jc w:val="center"/>
              <w:rPr>
                <w:sz w:val="20"/>
                <w:szCs w:val="20"/>
              </w:rPr>
            </w:pPr>
            <w:r>
              <w:rPr>
                <w:sz w:val="20"/>
                <w:szCs w:val="20"/>
                <w:lang w:eastAsia="ru-RU"/>
              </w:rPr>
              <w:t>на котельную № 1 по ул. Сенькина, 46б</w:t>
            </w:r>
          </w:p>
        </w:tc>
        <w:tc>
          <w:tcPr>
            <w:tcW w:w="200" w:type="dxa"/>
            <w:tcBorders/>
          </w:tcPr>
          <w:p>
            <w:pPr>
              <w:pStyle w:val="Normal"/>
              <w:rPr>
                <w:rFonts w:eastAsia="Calibri Light" w:cs="Calibri Light"/>
                <w:b/>
                <w:b/>
                <w:szCs w:val="26"/>
                <w:lang w:eastAsia="en-US"/>
              </w:rPr>
            </w:pPr>
            <w:r>
              <w:rPr>
                <w:rFonts w:eastAsia="Calibri Light" w:cs="Calibri Light"/>
                <w:b/>
                <w:szCs w:val="26"/>
                <w:lang w:eastAsia="en-US"/>
              </w:rPr>
            </w:r>
          </w:p>
        </w:tc>
      </w:tr>
      <w:tr>
        <w:trPr>
          <w:trHeight w:val="20" w:hRule="atLeast"/>
        </w:trPr>
        <w:tc>
          <w:tcPr>
            <w:tcW w:w="45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4</w:t>
            </w:r>
          </w:p>
        </w:tc>
        <w:tc>
          <w:tcPr>
            <w:tcW w:w="16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rPr>
              <w:t>котельная № 6, пгт.Октябрьское, ул.Дзержинского, 2б</w:t>
            </w:r>
          </w:p>
        </w:tc>
        <w:tc>
          <w:tcPr>
            <w:tcW w:w="7291" w:type="dxa"/>
            <w:gridSpan w:val="5"/>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xml:space="preserve">Строительство котельной по ул.Дзержинского, 14 в пгт.Октябрьское. </w:t>
            </w:r>
          </w:p>
          <w:p>
            <w:pPr>
              <w:pStyle w:val="Normal"/>
              <w:jc w:val="center"/>
              <w:rPr>
                <w:sz w:val="20"/>
                <w:szCs w:val="20"/>
                <w:lang w:eastAsia="ru-RU"/>
              </w:rPr>
            </w:pPr>
            <w:r>
              <w:rPr>
                <w:sz w:val="20"/>
                <w:szCs w:val="20"/>
                <w:lang w:eastAsia="ru-RU"/>
              </w:rPr>
              <w:t xml:space="preserve">Вывод из эксплуатации котельной № 2 по ул.Пионерская, 17Б и котельной № 6 </w:t>
            </w:r>
          </w:p>
          <w:p>
            <w:pPr>
              <w:pStyle w:val="Normal"/>
              <w:jc w:val="center"/>
              <w:rPr>
                <w:sz w:val="20"/>
                <w:szCs w:val="20"/>
                <w:lang w:eastAsia="ru-RU"/>
              </w:rPr>
            </w:pPr>
            <w:r>
              <w:rPr>
                <w:sz w:val="20"/>
                <w:szCs w:val="20"/>
                <w:lang w:eastAsia="ru-RU"/>
              </w:rPr>
              <w:t xml:space="preserve">по ул.Дзержинского, 2Б с переключением нагрузки на новую котельную </w:t>
            </w:r>
          </w:p>
          <w:p>
            <w:pPr>
              <w:pStyle w:val="Normal"/>
              <w:jc w:val="center"/>
              <w:rPr>
                <w:sz w:val="20"/>
                <w:szCs w:val="20"/>
                <w:lang w:val="en-US"/>
              </w:rPr>
            </w:pPr>
            <w:r>
              <w:rPr>
                <w:sz w:val="20"/>
                <w:szCs w:val="20"/>
                <w:lang w:eastAsia="ru-RU"/>
              </w:rPr>
              <w:t>по ул.Дзержинского, 14</w:t>
            </w:r>
          </w:p>
        </w:tc>
        <w:tc>
          <w:tcPr>
            <w:tcW w:w="200" w:type="dxa"/>
            <w:tcBorders/>
          </w:tcPr>
          <w:p>
            <w:pPr>
              <w:pStyle w:val="Normal"/>
              <w:rPr>
                <w:rFonts w:eastAsia="Calibri Light" w:cs="Calibri Light"/>
                <w:b/>
                <w:b/>
                <w:szCs w:val="26"/>
                <w:lang w:eastAsia="en-US"/>
              </w:rPr>
            </w:pPr>
            <w:r>
              <w:rPr>
                <w:rFonts w:eastAsia="Calibri Light" w:cs="Calibri Light"/>
                <w:b/>
                <w:szCs w:val="26"/>
                <w:lang w:eastAsia="en-US"/>
              </w:rPr>
            </w:r>
          </w:p>
        </w:tc>
      </w:tr>
      <w:tr>
        <w:trPr>
          <w:trHeight w:val="20" w:hRule="atLeast"/>
        </w:trPr>
        <w:tc>
          <w:tcPr>
            <w:tcW w:w="45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5</w:t>
            </w:r>
          </w:p>
        </w:tc>
        <w:tc>
          <w:tcPr>
            <w:tcW w:w="16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rPr>
              <w:t>котельная № 7, пгт.Октябрьское, ул.Медицинская, 3Б</w:t>
            </w:r>
          </w:p>
        </w:tc>
        <w:tc>
          <w:tcPr>
            <w:tcW w:w="7291" w:type="dxa"/>
            <w:gridSpan w:val="5"/>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lang w:eastAsia="ru-RU"/>
              </w:rPr>
              <w:t>Вывод из эксплуатации котельной № 7 по ул. Медицинская, 3Б с переключением нагрузки на котельную №</w:t>
            </w:r>
            <w:r>
              <w:rPr>
                <w:sz w:val="20"/>
                <w:szCs w:val="20"/>
                <w:lang w:val="en-US" w:eastAsia="ru-RU"/>
              </w:rPr>
              <w:t xml:space="preserve"> </w:t>
            </w:r>
            <w:r>
              <w:rPr>
                <w:sz w:val="20"/>
                <w:szCs w:val="20"/>
                <w:lang w:eastAsia="ru-RU"/>
              </w:rPr>
              <w:t>12 по ул. Медицинская, 3К</w:t>
            </w:r>
          </w:p>
        </w:tc>
        <w:tc>
          <w:tcPr>
            <w:tcW w:w="200" w:type="dxa"/>
            <w:tcBorders/>
          </w:tcPr>
          <w:p>
            <w:pPr>
              <w:pStyle w:val="Normal"/>
              <w:rPr>
                <w:rFonts w:eastAsia="Calibri Light" w:cs="Calibri Light"/>
                <w:b/>
                <w:b/>
                <w:szCs w:val="26"/>
                <w:lang w:eastAsia="en-US"/>
              </w:rPr>
            </w:pPr>
            <w:r>
              <w:rPr>
                <w:rFonts w:eastAsia="Calibri Light" w:cs="Calibri Light"/>
                <w:b/>
                <w:szCs w:val="26"/>
                <w:lang w:eastAsia="en-US"/>
              </w:rPr>
            </w:r>
          </w:p>
        </w:tc>
      </w:tr>
      <w:tr>
        <w:trPr>
          <w:trHeight w:val="20" w:hRule="atLeast"/>
        </w:trPr>
        <w:tc>
          <w:tcPr>
            <w:tcW w:w="45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6</w:t>
            </w:r>
          </w:p>
        </w:tc>
        <w:tc>
          <w:tcPr>
            <w:tcW w:w="16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rPr>
              <w:t>котельная № 12, пгт.Октябрьское, ул.Медицинская, 3к</w:t>
            </w:r>
          </w:p>
        </w:tc>
        <w:tc>
          <w:tcPr>
            <w:tcW w:w="18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2,00</w:t>
            </w:r>
          </w:p>
        </w:tc>
        <w:tc>
          <w:tcPr>
            <w:tcW w:w="124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lang w:eastAsia="ru-RU"/>
              </w:rPr>
              <w:t>0,67</w:t>
            </w:r>
          </w:p>
        </w:tc>
        <w:tc>
          <w:tcPr>
            <w:tcW w:w="17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lang w:eastAsia="ru-RU"/>
              </w:rPr>
              <w:t>25</w:t>
            </w:r>
          </w:p>
        </w:tc>
        <w:tc>
          <w:tcPr>
            <w:tcW w:w="14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lang w:eastAsia="ru-RU"/>
              </w:rPr>
              <w:t>25,67</w:t>
            </w:r>
          </w:p>
        </w:tc>
        <w:tc>
          <w:tcPr>
            <w:tcW w:w="104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lang w:eastAsia="ru-RU"/>
              </w:rPr>
              <w:t>5,3</w:t>
            </w:r>
          </w:p>
        </w:tc>
        <w:tc>
          <w:tcPr>
            <w:tcW w:w="200" w:type="dxa"/>
            <w:tcBorders/>
          </w:tcPr>
          <w:p>
            <w:pPr>
              <w:pStyle w:val="Normal"/>
              <w:rPr>
                <w:lang w:eastAsia="ru-RU"/>
              </w:rPr>
            </w:pPr>
            <w:r>
              <w:rPr>
                <w:lang w:eastAsia="ru-RU"/>
              </w:rPr>
            </w:r>
          </w:p>
        </w:tc>
      </w:tr>
      <w:tr>
        <w:trPr>
          <w:trHeight w:val="20" w:hRule="atLeast"/>
        </w:trPr>
        <w:tc>
          <w:tcPr>
            <w:tcW w:w="45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7</w:t>
            </w:r>
          </w:p>
        </w:tc>
        <w:tc>
          <w:tcPr>
            <w:tcW w:w="16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rPr>
              <w:t>Котельная №8, пгт. Октябрьское, ул. 50 лет, 38А</w:t>
            </w:r>
          </w:p>
        </w:tc>
        <w:tc>
          <w:tcPr>
            <w:tcW w:w="7291" w:type="dxa"/>
            <w:gridSpan w:val="5"/>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xml:space="preserve">Децентрализация системы теплоснабжения пгт.Октябрьское путем перехода на автономные источники теплоснабжения, отказ от эксплуатации тепловых сетей, </w:t>
            </w:r>
          </w:p>
          <w:p>
            <w:pPr>
              <w:pStyle w:val="Normal"/>
              <w:jc w:val="center"/>
              <w:rPr>
                <w:sz w:val="20"/>
                <w:szCs w:val="20"/>
              </w:rPr>
            </w:pPr>
            <w:r>
              <w:rPr>
                <w:sz w:val="20"/>
                <w:szCs w:val="20"/>
                <w:lang w:eastAsia="ru-RU"/>
              </w:rPr>
              <w:t>вывод котельной № 8 пгт.Октябрьское, ул.50 лет Победы, 38а из эксплуатации</w:t>
            </w:r>
          </w:p>
        </w:tc>
        <w:tc>
          <w:tcPr>
            <w:tcW w:w="200" w:type="dxa"/>
            <w:tcBorders/>
          </w:tcPr>
          <w:p>
            <w:pPr>
              <w:pStyle w:val="Normal"/>
              <w:rPr>
                <w:rFonts w:eastAsia="Calibri Light" w:cs="Calibri Light"/>
                <w:b/>
                <w:b/>
                <w:szCs w:val="26"/>
                <w:lang w:eastAsia="en-US"/>
              </w:rPr>
            </w:pPr>
            <w:r>
              <w:rPr>
                <w:rFonts w:eastAsia="Calibri Light" w:cs="Calibri Light"/>
                <w:b/>
                <w:szCs w:val="26"/>
                <w:lang w:eastAsia="en-US"/>
              </w:rPr>
            </w:r>
          </w:p>
        </w:tc>
      </w:tr>
      <w:tr>
        <w:trPr>
          <w:trHeight w:val="20" w:hRule="atLeast"/>
        </w:trPr>
        <w:tc>
          <w:tcPr>
            <w:tcW w:w="45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8</w:t>
            </w:r>
          </w:p>
        </w:tc>
        <w:tc>
          <w:tcPr>
            <w:tcW w:w="16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lang w:eastAsia="ru-RU"/>
              </w:rPr>
              <w:t>перспективная котельная, пгт.Октябрьское, ул.Дзержинского, 14</w:t>
            </w:r>
          </w:p>
        </w:tc>
        <w:tc>
          <w:tcPr>
            <w:tcW w:w="18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5,04</w:t>
            </w:r>
          </w:p>
        </w:tc>
        <w:tc>
          <w:tcPr>
            <w:tcW w:w="124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lang w:eastAsia="ru-RU"/>
              </w:rPr>
              <w:t>1,68</w:t>
            </w:r>
          </w:p>
        </w:tc>
        <w:tc>
          <w:tcPr>
            <w:tcW w:w="17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lang w:eastAsia="ru-RU"/>
              </w:rPr>
              <w:t>16</w:t>
            </w:r>
          </w:p>
        </w:tc>
        <w:tc>
          <w:tcPr>
            <w:tcW w:w="14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lang w:eastAsia="ru-RU"/>
              </w:rPr>
              <w:t>17,68</w:t>
            </w:r>
          </w:p>
        </w:tc>
        <w:tc>
          <w:tcPr>
            <w:tcW w:w="104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lang w:eastAsia="ru-RU"/>
              </w:rPr>
              <w:t>13,4</w:t>
            </w:r>
          </w:p>
        </w:tc>
        <w:tc>
          <w:tcPr>
            <w:tcW w:w="200" w:type="dxa"/>
            <w:tcBorders/>
          </w:tcPr>
          <w:p>
            <w:pPr>
              <w:pStyle w:val="Normal"/>
              <w:rPr>
                <w:lang w:eastAsia="ru-RU"/>
              </w:rPr>
            </w:pPr>
            <w:r>
              <w:rPr>
                <w:lang w:eastAsia="ru-RU"/>
              </w:rPr>
            </w:r>
          </w:p>
        </w:tc>
      </w:tr>
    </w:tbl>
    <w:p>
      <w:pPr>
        <w:pStyle w:val="Normal"/>
        <w:jc w:val="right"/>
        <w:rPr>
          <w:rFonts w:eastAsia="Calibri" w:cs="Calibri"/>
          <w:szCs w:val="22"/>
          <w:lang w:eastAsia="en-US"/>
        </w:rPr>
      </w:pPr>
      <w:r>
        <w:rPr>
          <w:rFonts w:eastAsia="Calibri" w:cs="Calibri"/>
          <w:szCs w:val="22"/>
          <w:lang w:eastAsia="en-US"/>
        </w:rPr>
      </w:r>
    </w:p>
    <w:p>
      <w:pPr>
        <w:pStyle w:val="Normal"/>
        <w:jc w:val="right"/>
        <w:rPr>
          <w:rFonts w:eastAsia="Calibri" w:cs="Calibri"/>
          <w:szCs w:val="22"/>
          <w:lang w:eastAsia="en-US"/>
        </w:rPr>
      </w:pPr>
      <w:r>
        <w:rPr>
          <w:rFonts w:eastAsia="Calibri" w:cs="Calibri"/>
          <w:szCs w:val="22"/>
          <w:lang w:eastAsia="en-US"/>
        </w:rPr>
      </w:r>
    </w:p>
    <w:p>
      <w:pPr>
        <w:pStyle w:val="Normal"/>
        <w:jc w:val="right"/>
        <w:rPr>
          <w:rFonts w:eastAsia="Calibri" w:cs="Calibri"/>
          <w:szCs w:val="22"/>
          <w:lang w:eastAsia="en-US"/>
        </w:rPr>
      </w:pPr>
      <w:r>
        <w:rPr>
          <w:rFonts w:eastAsia="Calibri" w:cs="Calibri"/>
          <w:szCs w:val="22"/>
          <w:lang w:eastAsia="en-US"/>
        </w:rPr>
      </w:r>
    </w:p>
    <w:p>
      <w:pPr>
        <w:pStyle w:val="Normal"/>
        <w:jc w:val="right"/>
        <w:rPr>
          <w:rFonts w:eastAsia="Calibri" w:cs="Calibri"/>
          <w:szCs w:val="22"/>
          <w:lang w:eastAsia="en-US"/>
        </w:rPr>
      </w:pPr>
      <w:r>
        <w:rPr>
          <w:rFonts w:eastAsia="Calibri" w:cs="Calibri"/>
          <w:szCs w:val="22"/>
          <w:lang w:eastAsia="en-US"/>
        </w:rPr>
      </w:r>
    </w:p>
    <w:p>
      <w:pPr>
        <w:pStyle w:val="Normal"/>
        <w:keepNext w:val="true"/>
        <w:keepLines/>
        <w:numPr>
          <w:ilvl w:val="0"/>
          <w:numId w:val="0"/>
        </w:numPr>
        <w:ind w:left="0" w:firstLine="709"/>
        <w:jc w:val="both"/>
        <w:outlineLvl w:val="1"/>
        <w:rPr>
          <w:rFonts w:eastAsia="Calibri Light"/>
          <w:b/>
          <w:b/>
          <w:szCs w:val="26"/>
          <w:lang w:eastAsia="en-US"/>
        </w:rPr>
      </w:pPr>
      <w:bookmarkStart w:id="121" w:name="_Toc181366968"/>
      <w:bookmarkStart w:id="122" w:name="_Toc5258947051"/>
      <w:bookmarkEnd w:id="122"/>
      <w:r>
        <w:rPr>
          <w:rFonts w:eastAsia="Calibri Light"/>
          <w:b/>
          <w:szCs w:val="26"/>
          <w:lang w:eastAsia="en-US"/>
        </w:rPr>
        <w:t>3.2. Существующие и перспективные балансы производительности водоподготовительных установок источников тепловой энергии для компенсации потерь теплоносителя в аварийных режимах работы систем теплоснабжения</w:t>
      </w:r>
      <w:bookmarkEnd w:id="121"/>
    </w:p>
    <w:p>
      <w:pPr>
        <w:pStyle w:val="Normal"/>
        <w:keepNext w:val="true"/>
        <w:keepLines/>
        <w:numPr>
          <w:ilvl w:val="0"/>
          <w:numId w:val="0"/>
        </w:numPr>
        <w:ind w:left="0" w:firstLine="709"/>
        <w:jc w:val="both"/>
        <w:outlineLvl w:val="1"/>
        <w:rPr>
          <w:rFonts w:eastAsia="Calibri Light" w:cs="Calibri Light"/>
          <w:b/>
          <w:b/>
          <w:lang w:eastAsia="en-US"/>
        </w:rPr>
      </w:pPr>
      <w:r>
        <w:rPr>
          <w:lang w:eastAsia="ru-RU"/>
        </w:rPr>
        <w:t>Указанные сведения представлены в таблице 7.</w:t>
      </w:r>
      <w:bookmarkStart w:id="123" w:name="_Toc23034112"/>
      <w:bookmarkStart w:id="124" w:name="_Toc160530693"/>
      <w:bookmarkStart w:id="125" w:name="_Toc181366969"/>
      <w:bookmarkStart w:id="126" w:name="_Toc525894708"/>
      <w:bookmarkStart w:id="127" w:name="_Toc535417871"/>
      <w:bookmarkStart w:id="128" w:name="_Toc23034114"/>
      <w:bookmarkEnd w:id="126"/>
      <w:bookmarkEnd w:id="127"/>
      <w:bookmarkEnd w:id="128"/>
      <w:r>
        <w:rPr>
          <w:rFonts w:eastAsia="Calibri Light" w:cs="Calibri Light"/>
          <w:b/>
          <w:lang w:eastAsia="en-US"/>
        </w:rPr>
        <w:t xml:space="preserve"> </w:t>
      </w:r>
    </w:p>
    <w:p>
      <w:pPr>
        <w:pStyle w:val="Normal"/>
        <w:keepNext w:val="true"/>
        <w:keepLines/>
        <w:numPr>
          <w:ilvl w:val="0"/>
          <w:numId w:val="0"/>
        </w:numPr>
        <w:ind w:left="0" w:hanging="0"/>
        <w:jc w:val="both"/>
        <w:outlineLvl w:val="1"/>
        <w:rPr>
          <w:rFonts w:eastAsia="Calibri Light" w:cs="Calibri Light"/>
          <w:b/>
          <w:b/>
          <w:lang w:eastAsia="en-US"/>
        </w:rPr>
      </w:pPr>
      <w:r>
        <w:rPr>
          <w:rFonts w:eastAsia="Calibri Light" w:cs="Calibri Light"/>
          <w:b/>
          <w:lang w:eastAsia="en-US"/>
        </w:rPr>
      </w:r>
    </w:p>
    <w:p>
      <w:pPr>
        <w:pStyle w:val="Normal"/>
        <w:keepNext w:val="true"/>
        <w:keepLines/>
        <w:numPr>
          <w:ilvl w:val="0"/>
          <w:numId w:val="0"/>
        </w:numPr>
        <w:ind w:left="0" w:hanging="0"/>
        <w:jc w:val="center"/>
        <w:outlineLvl w:val="1"/>
        <w:rPr>
          <w:rFonts w:eastAsia="Calibri Light" w:cs="Calibri Light"/>
          <w:b/>
          <w:b/>
          <w:lang w:eastAsia="en-US"/>
        </w:rPr>
      </w:pPr>
      <w:r>
        <w:rPr>
          <w:rFonts w:eastAsia="Calibri Light" w:cs="Calibri Light"/>
          <w:b/>
          <w:lang w:eastAsia="en-US"/>
        </w:rPr>
        <w:t>Раздел 4 «Основные положения мастер-плана</w:t>
      </w:r>
      <w:r>
        <w:rPr>
          <w:rFonts w:eastAsia="Calibri Light"/>
          <w:b/>
          <w:bCs/>
          <w:sz w:val="26"/>
          <w:szCs w:val="26"/>
          <w:lang w:eastAsia="en-US"/>
        </w:rPr>
        <w:t xml:space="preserve"> </w:t>
      </w:r>
      <w:r>
        <w:rPr>
          <w:rFonts w:eastAsia="Calibri Light" w:cs="Calibri Light"/>
          <w:b/>
          <w:lang w:eastAsia="en-US"/>
        </w:rPr>
        <w:t>развития</w:t>
      </w:r>
    </w:p>
    <w:p>
      <w:pPr>
        <w:pStyle w:val="Normal"/>
        <w:keepNext w:val="true"/>
        <w:keepLines/>
        <w:numPr>
          <w:ilvl w:val="0"/>
          <w:numId w:val="0"/>
        </w:numPr>
        <w:ind w:left="0" w:hanging="0"/>
        <w:jc w:val="center"/>
        <w:outlineLvl w:val="1"/>
        <w:rPr>
          <w:rFonts w:eastAsia="Calibri Light"/>
          <w:b/>
          <w:b/>
          <w:bCs/>
          <w:sz w:val="26"/>
          <w:szCs w:val="26"/>
          <w:lang w:eastAsia="en-US"/>
        </w:rPr>
      </w:pPr>
      <w:r>
        <w:rPr>
          <w:rFonts w:eastAsia="Calibri Light" w:cs="Calibri Light"/>
          <w:b/>
          <w:lang w:eastAsia="en-US"/>
        </w:rPr>
        <w:t>систем теплоснабжения поселения»</w:t>
      </w:r>
      <w:bookmarkEnd w:id="123"/>
      <w:bookmarkEnd w:id="124"/>
      <w:bookmarkEnd w:id="125"/>
    </w:p>
    <w:p>
      <w:pPr>
        <w:pStyle w:val="Normal"/>
        <w:keepNext w:val="true"/>
        <w:keepLines/>
        <w:numPr>
          <w:ilvl w:val="0"/>
          <w:numId w:val="0"/>
        </w:numPr>
        <w:ind w:left="0" w:hanging="0"/>
        <w:jc w:val="both"/>
        <w:outlineLvl w:val="1"/>
        <w:rPr>
          <w:rFonts w:eastAsia="Calibri Light" w:cs="Calibri Light"/>
          <w:b/>
          <w:b/>
          <w:color w:val="000000"/>
          <w:lang w:eastAsia="en-US"/>
        </w:rPr>
      </w:pPr>
      <w:r>
        <w:rPr>
          <w:rFonts w:eastAsia="Calibri Light" w:cs="Calibri Light"/>
          <w:b/>
          <w:color w:val="000000"/>
          <w:lang w:eastAsia="en-US"/>
        </w:rPr>
      </w:r>
    </w:p>
    <w:p>
      <w:pPr>
        <w:pStyle w:val="Normal"/>
        <w:keepNext w:val="true"/>
        <w:keepLines/>
        <w:numPr>
          <w:ilvl w:val="0"/>
          <w:numId w:val="0"/>
        </w:numPr>
        <w:ind w:left="0" w:firstLine="709"/>
        <w:jc w:val="both"/>
        <w:outlineLvl w:val="1"/>
        <w:rPr>
          <w:rFonts w:eastAsia="Calibri Light" w:cs="Calibri Light"/>
          <w:b/>
          <w:b/>
          <w:szCs w:val="26"/>
          <w:lang w:eastAsia="en-US"/>
        </w:rPr>
      </w:pPr>
      <w:bookmarkStart w:id="129" w:name="_Toc525894707"/>
      <w:bookmarkStart w:id="130" w:name="_Toc535417870"/>
      <w:bookmarkStart w:id="131" w:name="_Toc23034113"/>
      <w:bookmarkStart w:id="132" w:name="_Toc160516827"/>
      <w:bookmarkStart w:id="133" w:name="_Toc181366970"/>
      <w:r>
        <w:rPr>
          <w:rFonts w:eastAsia="Calibri Light" w:cs="Calibri Light"/>
          <w:b/>
          <w:szCs w:val="26"/>
          <w:lang w:eastAsia="en-US"/>
        </w:rPr>
        <w:t>4.1. Описание сценариев развития теплоснабжения поселения</w:t>
      </w:r>
      <w:bookmarkEnd w:id="129"/>
      <w:bookmarkEnd w:id="130"/>
      <w:bookmarkEnd w:id="131"/>
      <w:bookmarkEnd w:id="132"/>
      <w:bookmarkEnd w:id="133"/>
    </w:p>
    <w:p>
      <w:pPr>
        <w:pStyle w:val="Normal"/>
        <w:keepNext w:val="true"/>
        <w:keepLines/>
        <w:numPr>
          <w:ilvl w:val="0"/>
          <w:numId w:val="0"/>
        </w:numPr>
        <w:ind w:left="0" w:firstLine="709"/>
        <w:jc w:val="both"/>
        <w:outlineLvl w:val="1"/>
        <w:rPr>
          <w:rFonts w:eastAsia="Calibri Light" w:cs="Calibri Light"/>
          <w:b/>
          <w:b/>
          <w:szCs w:val="26"/>
          <w:lang w:eastAsia="en-US"/>
        </w:rPr>
      </w:pPr>
      <w:r>
        <w:rPr/>
        <w:t>Мастер-план схемы теплоснабжения должен разрабатываться с учетом положений, определенных пунктом 101 Методических указаний по разработке схем теплоснабжения, утвержденных приказом Минэнерго России от 05.03.2019 № 212.</w:t>
      </w:r>
    </w:p>
    <w:p>
      <w:pPr>
        <w:pStyle w:val="Normal"/>
        <w:keepNext w:val="true"/>
        <w:keepLines/>
        <w:numPr>
          <w:ilvl w:val="0"/>
          <w:numId w:val="0"/>
        </w:numPr>
        <w:ind w:left="0" w:firstLine="709"/>
        <w:jc w:val="both"/>
        <w:outlineLvl w:val="1"/>
        <w:rPr>
          <w:rFonts w:eastAsia="Calibri Light" w:cs="Calibri Light"/>
          <w:b/>
          <w:b/>
          <w:szCs w:val="26"/>
          <w:lang w:eastAsia="en-US"/>
        </w:rPr>
      </w:pPr>
      <w:r>
        <w:rPr/>
        <w:t xml:space="preserve">Для территории поселения, определенные указанным приказом Минэнерго России                   от 05.03.2019 № 212 решения отсутствуют. </w:t>
      </w:r>
    </w:p>
    <w:p>
      <w:pPr>
        <w:pStyle w:val="Normal"/>
        <w:keepNext w:val="true"/>
        <w:keepLines/>
        <w:numPr>
          <w:ilvl w:val="0"/>
          <w:numId w:val="0"/>
        </w:numPr>
        <w:ind w:left="0" w:firstLine="709"/>
        <w:jc w:val="both"/>
        <w:outlineLvl w:val="1"/>
        <w:rPr>
          <w:rFonts w:eastAsia="Calibri Light" w:cs="Calibri Light"/>
          <w:b/>
          <w:b/>
          <w:szCs w:val="26"/>
          <w:lang w:eastAsia="en-US"/>
        </w:rPr>
      </w:pPr>
      <w:r>
        <w:rPr>
          <w:lang w:eastAsia="ru-RU"/>
        </w:rPr>
        <w:t xml:space="preserve">Планом развития поселения предусматривается новое жилищное строительство, размещаемое на территориях существующей застройки путем реконструкции и создания новой современной застройки, обеспечивающей комфортные условия проживания. </w:t>
      </w:r>
      <w:r>
        <w:rPr/>
        <w:t>В настоящее время строительство жилья на территории поселения представлено индивидуальной жилой застройкой.</w:t>
      </w:r>
    </w:p>
    <w:p>
      <w:pPr>
        <w:pStyle w:val="Normal"/>
        <w:keepNext w:val="true"/>
        <w:keepLines/>
        <w:numPr>
          <w:ilvl w:val="0"/>
          <w:numId w:val="0"/>
        </w:numPr>
        <w:ind w:left="0" w:firstLine="709"/>
        <w:jc w:val="both"/>
        <w:outlineLvl w:val="1"/>
        <w:rPr>
          <w:rFonts w:eastAsia="Calibri Light" w:cs="Calibri Light"/>
          <w:b/>
          <w:b/>
          <w:szCs w:val="26"/>
          <w:lang w:eastAsia="en-US"/>
        </w:rPr>
      </w:pPr>
      <w:r>
        <w:rPr>
          <w:rFonts w:cs="Calibri"/>
          <w:lang w:eastAsia="ru-RU"/>
        </w:rPr>
        <w:t xml:space="preserve">Отопление вновь строящихся зданий, за исключением индивидуального жилищного строительства, предусматривается от существующих источников теплоснабжения. Строительство новых источников централизованного теплоснабжения на территории поселения не планируется. </w:t>
      </w:r>
    </w:p>
    <w:p>
      <w:pPr>
        <w:pStyle w:val="Normal"/>
        <w:keepNext w:val="true"/>
        <w:keepLines/>
        <w:numPr>
          <w:ilvl w:val="0"/>
          <w:numId w:val="0"/>
        </w:numPr>
        <w:ind w:left="0" w:firstLine="709"/>
        <w:jc w:val="both"/>
        <w:outlineLvl w:val="1"/>
        <w:rPr>
          <w:rFonts w:eastAsia="Calibri Light" w:cs="Calibri Light"/>
          <w:b/>
          <w:b/>
          <w:szCs w:val="26"/>
          <w:lang w:eastAsia="en-US"/>
        </w:rPr>
      </w:pPr>
      <w:r>
        <w:rPr>
          <w:rFonts w:cs="Calibri"/>
          <w:lang w:eastAsia="ru-RU"/>
        </w:rPr>
        <w:t>Для отопления и горячего водоснабжения, вновь строящихся индивидуальных домов рекомендуется использовать индивидуальные двухконтурные котлы. Для теплоснабжения строящихся зданий (группы зданий) с небольшим теплопотреблением и использовать автономные источники тепла, отдельностоящие и пристроенные блочно-модульные котельные малой мощности. Выбор индивидуальных источников тепла объясняется тем, что объекты имеют незначительную тепловую нагрузку и находятся на значительном расстоянии друг от друга, что влечет за собой большие потери в тепловых сетях и значительные капитальные вложения по их прокладке.</w:t>
      </w:r>
      <w:bookmarkStart w:id="134" w:name="_Hlk25238302"/>
      <w:bookmarkStart w:id="135" w:name="_Hlk160650175"/>
      <w:bookmarkEnd w:id="134"/>
      <w:bookmarkEnd w:id="135"/>
    </w:p>
    <w:p>
      <w:pPr>
        <w:pStyle w:val="Normal"/>
        <w:keepNext w:val="true"/>
        <w:keepLines/>
        <w:numPr>
          <w:ilvl w:val="0"/>
          <w:numId w:val="0"/>
        </w:numPr>
        <w:ind w:left="0" w:firstLine="709"/>
        <w:jc w:val="both"/>
        <w:outlineLvl w:val="1"/>
        <w:rPr>
          <w:rFonts w:eastAsia="Calibri Light" w:cs="Calibri Light"/>
          <w:b/>
          <w:b/>
          <w:szCs w:val="26"/>
          <w:lang w:eastAsia="en-US"/>
        </w:rPr>
      </w:pPr>
      <w:r>
        <w:rPr>
          <w:rFonts w:eastAsia="Calibri" w:cs="Calibri"/>
          <w:szCs w:val="22"/>
          <w:lang w:eastAsia="en-US"/>
        </w:rPr>
        <w:t>Для повышения эффективности работы централизованной системы теплоснабжения в составе настоящей Схеме рассматриваются следующие варианты ее развития:</w:t>
      </w:r>
      <w:bookmarkStart w:id="136" w:name="_Hlk160711767"/>
      <w:bookmarkEnd w:id="136"/>
    </w:p>
    <w:p>
      <w:pPr>
        <w:pStyle w:val="Normal"/>
        <w:keepNext w:val="true"/>
        <w:keepLines/>
        <w:numPr>
          <w:ilvl w:val="0"/>
          <w:numId w:val="0"/>
        </w:numPr>
        <w:ind w:left="0" w:firstLine="709"/>
        <w:jc w:val="both"/>
        <w:outlineLvl w:val="1"/>
        <w:rPr>
          <w:rFonts w:eastAsia="Calibri" w:cs="Calibri"/>
          <w:b/>
          <w:b/>
          <w:bCs/>
          <w:szCs w:val="22"/>
          <w:lang w:eastAsia="en-US"/>
        </w:rPr>
      </w:pPr>
      <w:r>
        <w:rPr>
          <w:rFonts w:eastAsia="Calibri" w:cs="Calibri"/>
          <w:b/>
          <w:bCs/>
          <w:szCs w:val="22"/>
          <w:lang w:eastAsia="en-US"/>
        </w:rPr>
        <w:t>Вариант 1:</w:t>
      </w:r>
      <w:bookmarkStart w:id="137" w:name="_Hlk161086312"/>
    </w:p>
    <w:p>
      <w:pPr>
        <w:pStyle w:val="Normal"/>
        <w:keepNext w:val="true"/>
        <w:keepLines/>
        <w:numPr>
          <w:ilvl w:val="0"/>
          <w:numId w:val="0"/>
        </w:numPr>
        <w:ind w:left="0" w:firstLine="709"/>
        <w:jc w:val="both"/>
        <w:outlineLvl w:val="1"/>
        <w:rPr>
          <w:rFonts w:eastAsia="Calibri Light" w:cs="Calibri Light"/>
          <w:b/>
          <w:b/>
          <w:szCs w:val="26"/>
          <w:lang w:eastAsia="en-US"/>
        </w:rPr>
      </w:pPr>
      <w:r>
        <w:rPr>
          <w:rFonts w:eastAsia="Calibri" w:cs="Calibri"/>
          <w:bCs/>
          <w:szCs w:val="22"/>
          <w:lang w:eastAsia="en-US"/>
        </w:rPr>
        <w:t>- к</w:t>
      </w:r>
      <w:r>
        <w:rPr/>
        <w:t>апитальный ремонт (техническое перевооружение) котельной № 12 по ул.Медицинская, 3К в пгт.Октябрьское в части замены двух котлов на новые с увеличением установленной мощности с автоматизацией технологического процесса с переключением нагрузки на котельную № 12 по ул.Медицинская, 3К котельной № 7 по ул.Медицинская, 3Б и выводом ее из эксплуатации;</w:t>
      </w:r>
    </w:p>
    <w:p>
      <w:pPr>
        <w:pStyle w:val="Normal"/>
        <w:keepNext w:val="true"/>
        <w:keepLines/>
        <w:numPr>
          <w:ilvl w:val="0"/>
          <w:numId w:val="0"/>
        </w:numPr>
        <w:ind w:left="0" w:firstLine="709"/>
        <w:jc w:val="both"/>
        <w:outlineLvl w:val="1"/>
        <w:rPr>
          <w:rFonts w:eastAsia="Calibri Light" w:cs="Calibri Light"/>
          <w:b/>
          <w:b/>
          <w:szCs w:val="26"/>
          <w:lang w:eastAsia="en-US"/>
        </w:rPr>
      </w:pPr>
      <w:r>
        <w:rPr/>
        <w:t>-</w:t>
      </w:r>
      <w:r>
        <w:rPr>
          <w:rFonts w:eastAsia="Calibri" w:cs="Calibri"/>
          <w:bCs/>
          <w:szCs w:val="22"/>
          <w:lang w:eastAsia="en-US"/>
        </w:rPr>
        <w:t xml:space="preserve"> с</w:t>
      </w:r>
      <w:r>
        <w:rPr/>
        <w:t>троительство котельной по ул.Дзержинского, 14 в пгт.Октябрьское. Вывод из эксплуатации котельной № 2 по ул.Пионерская, 17Б и котельной № 6 по ул.Дзержинского, 2Б с переключением нагрузки на новую котельную по ул.Дзержинского, 14;</w:t>
      </w:r>
    </w:p>
    <w:p>
      <w:pPr>
        <w:pStyle w:val="Normal"/>
        <w:keepNext w:val="true"/>
        <w:keepLines/>
        <w:numPr>
          <w:ilvl w:val="0"/>
          <w:numId w:val="0"/>
        </w:numPr>
        <w:ind w:left="0" w:firstLine="709"/>
        <w:jc w:val="both"/>
        <w:outlineLvl w:val="1"/>
        <w:rPr>
          <w:rFonts w:eastAsia="Calibri Light" w:cs="Calibri Light"/>
          <w:b/>
          <w:b/>
          <w:szCs w:val="26"/>
          <w:lang w:eastAsia="en-US"/>
        </w:rPr>
      </w:pPr>
      <w:r>
        <w:rPr/>
        <w:t>- децентрализация системы теплоснабжения пгт.Октябрьское путем перехода на автономные источники теплоснабжения, отказ от эксплуатации тепловых сетей, вывод котельной № 8 пгт.Октябрьское,ул. 50 лет Победы, 38а из эксплуатации;</w:t>
      </w:r>
    </w:p>
    <w:p>
      <w:pPr>
        <w:pStyle w:val="Normal"/>
        <w:keepNext w:val="true"/>
        <w:keepLines/>
        <w:numPr>
          <w:ilvl w:val="0"/>
          <w:numId w:val="0"/>
        </w:numPr>
        <w:ind w:left="0" w:firstLine="709"/>
        <w:jc w:val="both"/>
        <w:outlineLvl w:val="1"/>
        <w:rPr>
          <w:rFonts w:eastAsia="Calibri Light" w:cs="Calibri Light"/>
          <w:b/>
          <w:b/>
          <w:szCs w:val="26"/>
          <w:lang w:eastAsia="en-US"/>
        </w:rPr>
      </w:pPr>
      <w:r>
        <w:rPr/>
        <w:t>- капитальный ремонт (техническое перевооружение) котельной № 1 по ул.Сенькина, 46б в пгт.Октябрьское. Вывод из эксплуатации котельной № 3 по ул.Чапаева, 6Б с переключением нагрузки на котельную № 1 по ул.Сенькина, 46б;</w:t>
      </w:r>
    </w:p>
    <w:p>
      <w:pPr>
        <w:pStyle w:val="Normal"/>
        <w:keepNext w:val="true"/>
        <w:keepLines/>
        <w:numPr>
          <w:ilvl w:val="0"/>
          <w:numId w:val="0"/>
        </w:numPr>
        <w:ind w:left="0" w:firstLine="709"/>
        <w:jc w:val="both"/>
        <w:outlineLvl w:val="1"/>
        <w:rPr>
          <w:rFonts w:eastAsia="Calibri Light" w:cs="Calibri Light"/>
          <w:b/>
          <w:b/>
          <w:szCs w:val="26"/>
          <w:lang w:eastAsia="en-US"/>
        </w:rPr>
      </w:pPr>
      <w:r>
        <w:rPr/>
        <w:t>-</w:t>
      </w:r>
      <w:r>
        <w:rPr>
          <w:rFonts w:eastAsia="Calibri" w:cs="Calibri"/>
          <w:bCs/>
          <w:szCs w:val="22"/>
          <w:lang w:eastAsia="en-US"/>
        </w:rPr>
        <w:t xml:space="preserve"> р</w:t>
      </w:r>
      <w:r>
        <w:rPr/>
        <w:t>еконструкция (капитальный ремонт) сетей тепло-, водоснабжения по ул.Калинина, ул.Ленина в пгт. Октябрьское;</w:t>
      </w:r>
    </w:p>
    <w:p>
      <w:pPr>
        <w:pStyle w:val="Normal"/>
        <w:keepNext w:val="true"/>
        <w:keepLines/>
        <w:numPr>
          <w:ilvl w:val="0"/>
          <w:numId w:val="0"/>
        </w:numPr>
        <w:ind w:left="0" w:firstLine="709"/>
        <w:jc w:val="both"/>
        <w:outlineLvl w:val="1"/>
        <w:rPr>
          <w:rFonts w:eastAsia="Calibri" w:cs="Calibri"/>
          <w:b/>
          <w:b/>
          <w:bCs/>
          <w:szCs w:val="22"/>
          <w:lang w:eastAsia="en-US"/>
        </w:rPr>
      </w:pPr>
      <w:r>
        <w:rPr/>
        <w:t>- реконструкция (капитальный ремонт) сетей тепло-, водоснабжения по ул.</w:t>
      </w:r>
      <w:bookmarkEnd w:id="137"/>
      <w:r>
        <w:rPr/>
        <w:t>Чапаева в пгт.Октябрьское.</w:t>
      </w:r>
    </w:p>
    <w:p>
      <w:pPr>
        <w:pStyle w:val="Normal"/>
        <w:keepNext w:val="true"/>
        <w:keepLines/>
        <w:numPr>
          <w:ilvl w:val="0"/>
          <w:numId w:val="0"/>
        </w:numPr>
        <w:ind w:left="0" w:firstLine="709"/>
        <w:jc w:val="both"/>
        <w:outlineLvl w:val="1"/>
        <w:rPr>
          <w:rFonts w:eastAsia="Calibri" w:cs="Calibri"/>
          <w:b/>
          <w:b/>
          <w:bCs/>
          <w:szCs w:val="22"/>
          <w:lang w:eastAsia="en-US"/>
        </w:rPr>
      </w:pPr>
      <w:r>
        <w:rPr>
          <w:b/>
          <w:bCs/>
        </w:rPr>
        <w:t>Вариант 2:</w:t>
      </w:r>
    </w:p>
    <w:p>
      <w:pPr>
        <w:pStyle w:val="Normal"/>
        <w:keepNext w:val="true"/>
        <w:keepLines/>
        <w:numPr>
          <w:ilvl w:val="0"/>
          <w:numId w:val="0"/>
        </w:numPr>
        <w:ind w:left="0" w:firstLine="709"/>
        <w:jc w:val="both"/>
        <w:outlineLvl w:val="1"/>
        <w:rPr>
          <w:rFonts w:eastAsia="Calibri" w:cs="Calibri"/>
          <w:b/>
          <w:b/>
          <w:bCs/>
          <w:szCs w:val="22"/>
          <w:lang w:eastAsia="en-US"/>
        </w:rPr>
      </w:pPr>
      <w:r>
        <w:rPr>
          <w:rFonts w:eastAsia="Calibri" w:cs="Calibri"/>
          <w:bCs/>
          <w:szCs w:val="22"/>
          <w:lang w:eastAsia="en-US"/>
        </w:rPr>
        <w:t>- п</w:t>
      </w:r>
      <w:r>
        <w:rPr/>
        <w:t>роекты по строительству и реконструкции котельных не будут реализовываться (соответственно будет происходить износ системы теплоснабжения и как следствие будут ухудшаться показатели ее работы).</w:t>
      </w:r>
    </w:p>
    <w:p>
      <w:pPr>
        <w:pStyle w:val="Normal"/>
        <w:keepNext w:val="true"/>
        <w:keepLines/>
        <w:numPr>
          <w:ilvl w:val="0"/>
          <w:numId w:val="0"/>
        </w:numPr>
        <w:ind w:left="0" w:firstLine="709"/>
        <w:jc w:val="both"/>
        <w:outlineLvl w:val="1"/>
        <w:rPr>
          <w:lang w:eastAsia="ru-RU"/>
        </w:rPr>
      </w:pPr>
      <w:r>
        <w:rPr>
          <w:lang w:eastAsia="ru-RU"/>
        </w:rPr>
        <w:t>Экономическая эффективность реализации мероприятий по сохранению существующей схемы теплоснабжения населенных пунктов с проведением работ по модернизации существующих объектов выражается в сокращении эксплуатационных издержек, уменьшению удельных расходов топлива на производство тепла, а также снижению потерь тепла при транспортировке. Для обеспечения надежного теплоснабжения необходимо регулярно проводить работы по замене изношенного и устаревшего оборудования, замене тепловых сетей.</w:t>
      </w:r>
    </w:p>
    <w:p>
      <w:pPr>
        <w:pStyle w:val="Normal"/>
        <w:keepNext w:val="true"/>
        <w:keepLines/>
        <w:numPr>
          <w:ilvl w:val="0"/>
          <w:numId w:val="0"/>
        </w:numPr>
        <w:ind w:left="0" w:firstLine="709"/>
        <w:jc w:val="both"/>
        <w:outlineLvl w:val="1"/>
        <w:rPr>
          <w:rFonts w:eastAsia="Calibri" w:cs="Calibri"/>
          <w:b/>
          <w:b/>
          <w:bCs/>
          <w:szCs w:val="22"/>
          <w:lang w:eastAsia="en-US"/>
        </w:rPr>
      </w:pPr>
      <w:r>
        <w:rPr/>
        <w:t>При отсутствии инвестиций в сохранение и модернизацию объектов системы теплоснабжения надежность и эффективность система либо остаётся на неизменном уровне (в случае проведения своевременных ремонтов и регламентах работ) или ухудшается за счет морального и физического износа оборудования и тепловых статей.</w:t>
      </w:r>
      <w:bookmarkStart w:id="138" w:name="_Toc160516828"/>
      <w:bookmarkStart w:id="139" w:name="_Toc181366971"/>
    </w:p>
    <w:p>
      <w:pPr>
        <w:pStyle w:val="Normal"/>
        <w:keepNext w:val="true"/>
        <w:keepLines/>
        <w:numPr>
          <w:ilvl w:val="0"/>
          <w:numId w:val="0"/>
        </w:numPr>
        <w:ind w:left="0" w:firstLine="709"/>
        <w:jc w:val="both"/>
        <w:outlineLvl w:val="1"/>
        <w:rPr>
          <w:rFonts w:eastAsia="Calibri" w:cs="Calibri"/>
          <w:b/>
          <w:b/>
          <w:bCs/>
          <w:szCs w:val="22"/>
          <w:lang w:eastAsia="en-US"/>
        </w:rPr>
      </w:pPr>
      <w:r>
        <w:rPr>
          <w:rFonts w:eastAsia="Calibri" w:cs="Calibri"/>
          <w:b/>
          <w:bCs/>
          <w:szCs w:val="22"/>
          <w:lang w:eastAsia="en-US"/>
        </w:rPr>
      </w:r>
    </w:p>
    <w:p>
      <w:pPr>
        <w:pStyle w:val="Normal"/>
        <w:keepNext w:val="true"/>
        <w:keepLines/>
        <w:numPr>
          <w:ilvl w:val="0"/>
          <w:numId w:val="0"/>
        </w:numPr>
        <w:ind w:left="0" w:firstLine="709"/>
        <w:jc w:val="both"/>
        <w:outlineLvl w:val="1"/>
        <w:rPr>
          <w:rFonts w:eastAsia="Calibri Light" w:cs="Calibri Light"/>
          <w:b/>
          <w:b/>
          <w:szCs w:val="26"/>
          <w:lang w:eastAsia="en-US"/>
        </w:rPr>
      </w:pPr>
      <w:r>
        <w:rPr>
          <w:rFonts w:eastAsia="Calibri Light" w:cs="Calibri Light"/>
          <w:b/>
          <w:szCs w:val="26"/>
          <w:lang w:eastAsia="en-US"/>
        </w:rPr>
        <w:t>4.2. Обоснование выбора приоритетного сценария развития теплоснабжения поселения</w:t>
      </w:r>
      <w:bookmarkEnd w:id="138"/>
      <w:bookmarkEnd w:id="139"/>
    </w:p>
    <w:p>
      <w:pPr>
        <w:pStyle w:val="Normal"/>
        <w:keepNext w:val="true"/>
        <w:keepLines/>
        <w:numPr>
          <w:ilvl w:val="0"/>
          <w:numId w:val="0"/>
        </w:numPr>
        <w:ind w:left="0" w:firstLine="709"/>
        <w:jc w:val="both"/>
        <w:outlineLvl w:val="1"/>
        <w:rPr>
          <w:rFonts w:eastAsia="Calibri" w:cs="Calibri"/>
          <w:b/>
          <w:b/>
          <w:bCs/>
          <w:szCs w:val="22"/>
          <w:lang w:eastAsia="en-US"/>
        </w:rPr>
      </w:pPr>
      <w:r>
        <w:rPr/>
        <w:t>Экономическая эффективность реализации мероприятий реконструкции существующих источников тепла с закрытием части котельных выражается в сокращении эксплуатационных издержек, уменьшению удельных расходов топлива на производство тепла. Для обеспечения качественного и надежного теплоснабжения потребителей, данный вариант развития предусматривает также поэтапную замену изношенных тепловых сетей.</w:t>
      </w:r>
      <w:bookmarkStart w:id="140" w:name="_Hlk161086382"/>
      <w:bookmarkEnd w:id="140"/>
    </w:p>
    <w:p>
      <w:pPr>
        <w:pStyle w:val="Normal"/>
        <w:keepNext w:val="true"/>
        <w:keepLines/>
        <w:numPr>
          <w:ilvl w:val="0"/>
          <w:numId w:val="0"/>
        </w:numPr>
        <w:ind w:left="0" w:firstLine="709"/>
        <w:jc w:val="both"/>
        <w:outlineLvl w:val="1"/>
        <w:rPr>
          <w:rFonts w:eastAsia="Calibri" w:cs="Calibri"/>
          <w:b/>
          <w:b/>
          <w:bCs/>
          <w:szCs w:val="22"/>
          <w:lang w:eastAsia="en-US"/>
        </w:rPr>
      </w:pPr>
      <w:r>
        <w:rPr/>
        <w:t>При реализации мероприятий по Сценарию № 1 увеличивается надежность теплоснабжения за счет обновления оборудования, планируется снижение расхода топлива на выработку тепловой энергии в результате увеличения КПД котлов по сравнению с существующим состоянием и сокращения эксплуатационных затрат. Снижение эксплуатационных издержек увеличивает НВВ ресурсоснабжающей организации, что в свою очередь может дать средства к дальнейшему развитию системы теплоснабжения (реализация мероприятий ТСО по обновлению оборудования) и поддержанию его в работоспособном состоянии.</w:t>
      </w:r>
    </w:p>
    <w:p>
      <w:pPr>
        <w:pStyle w:val="Normal"/>
        <w:keepNext w:val="true"/>
        <w:keepLines/>
        <w:numPr>
          <w:ilvl w:val="0"/>
          <w:numId w:val="0"/>
        </w:numPr>
        <w:ind w:left="0" w:firstLine="709"/>
        <w:jc w:val="both"/>
        <w:outlineLvl w:val="1"/>
        <w:rPr>
          <w:rFonts w:eastAsia="Calibri" w:cs="Calibri"/>
          <w:b/>
          <w:b/>
          <w:bCs/>
          <w:szCs w:val="22"/>
          <w:lang w:eastAsia="en-US"/>
        </w:rPr>
      </w:pPr>
      <w:r>
        <w:rPr/>
        <w:t>На всех этапах реконструкции системы централизованного теплоснабжения предусматривается замена изношенных участков тепловых сетей.</w:t>
      </w:r>
      <w:bookmarkStart w:id="141" w:name="_Toc23034115"/>
      <w:bookmarkStart w:id="142" w:name="_Toc160530696"/>
      <w:bookmarkStart w:id="143" w:name="_Toc181366972"/>
      <w:bookmarkStart w:id="144" w:name="_Toc525894711"/>
      <w:bookmarkStart w:id="145" w:name="_Toc535417874"/>
      <w:bookmarkStart w:id="146" w:name="_Toc23034117"/>
      <w:bookmarkStart w:id="147" w:name="_Hlk160650264"/>
      <w:bookmarkEnd w:id="144"/>
      <w:bookmarkEnd w:id="145"/>
      <w:bookmarkEnd w:id="146"/>
      <w:bookmarkEnd w:id="147"/>
    </w:p>
    <w:p>
      <w:pPr>
        <w:pStyle w:val="Normal"/>
        <w:keepNext w:val="true"/>
        <w:keepLines/>
        <w:numPr>
          <w:ilvl w:val="0"/>
          <w:numId w:val="0"/>
        </w:numPr>
        <w:ind w:left="0" w:firstLine="709"/>
        <w:jc w:val="both"/>
        <w:outlineLvl w:val="1"/>
        <w:rPr>
          <w:rFonts w:eastAsia="Calibri" w:cs="Calibri"/>
          <w:b/>
          <w:b/>
          <w:bCs/>
          <w:szCs w:val="22"/>
          <w:lang w:eastAsia="en-US"/>
        </w:rPr>
      </w:pPr>
      <w:r>
        <w:rPr>
          <w:rFonts w:eastAsia="Calibri" w:cs="Calibri"/>
          <w:b/>
          <w:bCs/>
          <w:szCs w:val="22"/>
          <w:lang w:eastAsia="en-US"/>
        </w:rPr>
      </w:r>
    </w:p>
    <w:p>
      <w:pPr>
        <w:pStyle w:val="Normal"/>
        <w:keepNext w:val="true"/>
        <w:keepLines/>
        <w:numPr>
          <w:ilvl w:val="0"/>
          <w:numId w:val="0"/>
        </w:numPr>
        <w:ind w:left="0" w:hanging="0"/>
        <w:jc w:val="center"/>
        <w:outlineLvl w:val="0"/>
        <w:rPr>
          <w:rFonts w:eastAsia="Calibri Light"/>
          <w:b/>
          <w:b/>
          <w:lang w:eastAsia="en-US"/>
        </w:rPr>
      </w:pPr>
      <w:r>
        <w:rPr>
          <w:rFonts w:eastAsia="Calibri Light"/>
          <w:b/>
          <w:lang w:eastAsia="en-US"/>
        </w:rPr>
        <w:t xml:space="preserve">Раздел 5 «Предложения по строительству, реконструкции, </w:t>
      </w:r>
    </w:p>
    <w:p>
      <w:pPr>
        <w:pStyle w:val="Normal"/>
        <w:keepNext w:val="true"/>
        <w:keepLines/>
        <w:numPr>
          <w:ilvl w:val="0"/>
          <w:numId w:val="0"/>
        </w:numPr>
        <w:ind w:left="0" w:hanging="0"/>
        <w:jc w:val="center"/>
        <w:outlineLvl w:val="0"/>
        <w:rPr>
          <w:rFonts w:eastAsia="Calibri Light"/>
          <w:b/>
          <w:b/>
          <w:lang w:eastAsia="en-US"/>
        </w:rPr>
      </w:pPr>
      <w:r>
        <w:rPr>
          <w:rFonts w:eastAsia="Calibri Light"/>
          <w:b/>
          <w:lang w:eastAsia="en-US"/>
        </w:rPr>
        <w:t>техническому перевооружению и (или) модернизации источников тепловой энергии»</w:t>
      </w:r>
      <w:bookmarkStart w:id="148" w:name="_Toc160516830"/>
      <w:bookmarkStart w:id="149" w:name="_Toc181366973"/>
      <w:bookmarkStart w:id="150" w:name="_Toc160530698"/>
      <w:bookmarkEnd w:id="141"/>
      <w:bookmarkEnd w:id="142"/>
      <w:bookmarkEnd w:id="143"/>
      <w:bookmarkEnd w:id="150"/>
    </w:p>
    <w:p>
      <w:pPr>
        <w:pStyle w:val="Normal"/>
        <w:keepNext w:val="true"/>
        <w:keepLines/>
        <w:numPr>
          <w:ilvl w:val="0"/>
          <w:numId w:val="0"/>
        </w:numPr>
        <w:ind w:left="0" w:hanging="0"/>
        <w:jc w:val="center"/>
        <w:outlineLvl w:val="0"/>
        <w:rPr>
          <w:rFonts w:eastAsia="Calibri Light" w:cs="Calibri Light"/>
          <w:b/>
          <w:b/>
          <w:color w:val="000000"/>
          <w:lang w:eastAsia="en-US"/>
        </w:rPr>
      </w:pPr>
      <w:r>
        <w:rPr>
          <w:rFonts w:eastAsia="Calibri Light" w:cs="Calibri Light"/>
          <w:b/>
          <w:color w:val="000000"/>
          <w:lang w:eastAsia="en-US"/>
        </w:rPr>
      </w:r>
    </w:p>
    <w:p>
      <w:pPr>
        <w:pStyle w:val="Normal"/>
        <w:keepNext w:val="true"/>
        <w:keepLines/>
        <w:numPr>
          <w:ilvl w:val="0"/>
          <w:numId w:val="0"/>
        </w:numPr>
        <w:ind w:left="0" w:firstLine="709"/>
        <w:jc w:val="both"/>
        <w:outlineLvl w:val="0"/>
        <w:rPr>
          <w:rFonts w:eastAsia="Calibri Light" w:cs="Calibri Light"/>
          <w:b/>
          <w:b/>
          <w:szCs w:val="26"/>
          <w:lang w:eastAsia="en-US"/>
        </w:rPr>
      </w:pPr>
      <w:r>
        <w:rPr>
          <w:rFonts w:eastAsia="Calibri Light" w:cs="Calibri Light"/>
          <w:b/>
          <w:szCs w:val="26"/>
          <w:lang w:eastAsia="en-US"/>
        </w:rPr>
        <w:t>5.1. Предложения по строительству источников тепловой энергии, обеспечивающих перспективную тепловую нагрузку на осваиваемых территориях поселения, для которых отсутствует возможность и (или) целесообразность передачи тепловой энергии от существующих или реконструируемых источников тепловой энергии, обоснованная расчетами ценовых (тарифных) последствий для потребителей (в ценовых зонах теплоснабжения – обоснованная расчетами ценовых (тарифных) последствий для потребителей, если реализацию товаров в сфере теплоснабжения с использованием такого источника тепловой энергии планируется осуществлять по регулируемым ценам (тарифам), и (или) обоснованная анализом индикаторов развития системы теплоснабжения поселения, если реализация товаров в сфере теплоснабжения с использованием такого источника тепловой энергии будет осуществляться по ценам, определяемым по соглашению сторон договора поставки тепловой энергии (мощности) и (или) теплоносителя) и радиуса эффективного теплоснабжения</w:t>
      </w:r>
      <w:bookmarkEnd w:id="148"/>
      <w:bookmarkEnd w:id="149"/>
    </w:p>
    <w:p>
      <w:pPr>
        <w:pStyle w:val="Normal"/>
        <w:keepNext w:val="true"/>
        <w:keepLines/>
        <w:numPr>
          <w:ilvl w:val="0"/>
          <w:numId w:val="0"/>
        </w:numPr>
        <w:ind w:left="0" w:firstLine="709"/>
        <w:jc w:val="both"/>
        <w:outlineLvl w:val="0"/>
        <w:rPr>
          <w:rFonts w:eastAsia="Calibri Light" w:cs="Calibri Light"/>
          <w:b/>
          <w:b/>
          <w:color w:val="000000"/>
          <w:lang w:eastAsia="en-US"/>
        </w:rPr>
      </w:pPr>
      <w:r>
        <w:rPr>
          <w:rFonts w:cs="Calibri"/>
          <w:lang w:eastAsia="ru-RU"/>
        </w:rPr>
        <w:t xml:space="preserve">Планом развития поселения предусматривается новое жилищное строительство, размещаемое на территориях существующей застройки путем реконструкции и создания новой современной застройки, обеспечивающей комфортные условия проживания. В соответствии с планами развития на территории поселения планируется строительство жилых и общественных зданий, а также индивидуальных жилых домов. Отопление вновь строящихся зданий, за исключением индивидуального жилищного строительства, предусматривается от существующих источников теплоснабжения. Строительство новых источников централизованного теплоснабжения для обеспечения перспективной застройки на территории поселения не планируется. </w:t>
      </w:r>
    </w:p>
    <w:p>
      <w:pPr>
        <w:pStyle w:val="Normal"/>
        <w:keepNext w:val="true"/>
        <w:keepLines/>
        <w:numPr>
          <w:ilvl w:val="0"/>
          <w:numId w:val="0"/>
        </w:numPr>
        <w:ind w:left="0" w:firstLine="709"/>
        <w:jc w:val="both"/>
        <w:outlineLvl w:val="0"/>
        <w:rPr>
          <w:rFonts w:eastAsia="Calibri Light" w:cs="Calibri Light"/>
          <w:b/>
          <w:b/>
          <w:color w:val="000000"/>
          <w:lang w:eastAsia="en-US"/>
        </w:rPr>
      </w:pPr>
      <w:r>
        <w:rPr>
          <w:rFonts w:cs="Calibri"/>
          <w:lang w:eastAsia="ru-RU"/>
        </w:rPr>
        <w:t>Для отопления и горячего водоснабжения, вновь строящихся индивидуальных домов рекомендуется использовать индивидуальные двухконтурные котлы. Выбор индивидуальных источников тепла объясняется тем, что объекты имеют незначительную тепловую нагрузку и находятся на значительном расстоянии друг от друга, что влечет за собой большие потери в тепловых сетях и значительные капвложения по их прокладке.</w:t>
      </w:r>
    </w:p>
    <w:p>
      <w:pPr>
        <w:pStyle w:val="Normal"/>
        <w:keepNext w:val="true"/>
        <w:keepLines/>
        <w:numPr>
          <w:ilvl w:val="0"/>
          <w:numId w:val="0"/>
        </w:numPr>
        <w:ind w:left="0" w:firstLine="709"/>
        <w:jc w:val="both"/>
        <w:outlineLvl w:val="0"/>
        <w:rPr>
          <w:rFonts w:eastAsia="Calibri Light" w:cs="Calibri Light"/>
          <w:b/>
          <w:b/>
          <w:color w:val="000000"/>
          <w:lang w:eastAsia="en-US"/>
        </w:rPr>
      </w:pPr>
      <w:r>
        <w:rPr>
          <w:szCs w:val="28"/>
          <w:lang w:eastAsia="ru-RU"/>
        </w:rPr>
        <w:t>Для теплоснабжения зданий (групп зданий) с небольшим теплопотреблением и промышленных объектов рекомендуется использовать автономные источники тепла: отдельностоящие и пристроенные блочно-модульные газовые котельные малой мощности.</w:t>
      </w:r>
      <w:bookmarkStart w:id="151" w:name="_Toc181366974"/>
      <w:bookmarkStart w:id="152" w:name="_Toc160516831"/>
      <w:bookmarkStart w:id="153" w:name="_Toc5354178741"/>
      <w:bookmarkStart w:id="154" w:name="_Toc525894713"/>
      <w:bookmarkStart w:id="155" w:name="_Toc1605306981"/>
      <w:bookmarkStart w:id="156" w:name="_Toc535417876"/>
      <w:bookmarkStart w:id="157" w:name="_Toc5258947111"/>
      <w:bookmarkStart w:id="158" w:name="_Hlk1606502641"/>
      <w:bookmarkStart w:id="159" w:name="_Toc23034119"/>
      <w:bookmarkStart w:id="160" w:name="_Toc230341171"/>
      <w:bookmarkEnd w:id="153"/>
      <w:bookmarkEnd w:id="154"/>
      <w:bookmarkEnd w:id="155"/>
      <w:bookmarkEnd w:id="156"/>
      <w:bookmarkEnd w:id="157"/>
      <w:bookmarkEnd w:id="158"/>
      <w:bookmarkEnd w:id="159"/>
      <w:bookmarkEnd w:id="160"/>
    </w:p>
    <w:p>
      <w:pPr>
        <w:pStyle w:val="Normal"/>
        <w:keepNext w:val="true"/>
        <w:keepLines/>
        <w:numPr>
          <w:ilvl w:val="0"/>
          <w:numId w:val="0"/>
        </w:numPr>
        <w:ind w:left="0" w:firstLine="709"/>
        <w:jc w:val="both"/>
        <w:outlineLvl w:val="0"/>
        <w:rPr>
          <w:rFonts w:eastAsia="Calibri Light" w:cs="Calibri Light"/>
          <w:b/>
          <w:b/>
          <w:color w:val="000000"/>
          <w:lang w:eastAsia="en-US"/>
        </w:rPr>
      </w:pPr>
      <w:r>
        <w:rPr/>
        <w:t>Настоящей Схемой предусматривается техническое перевооружение и реконструкция котельных с увеличением зоны их действия путем включения в нее зон действия существующих источников тепловой энергии:</w:t>
      </w:r>
    </w:p>
    <w:p>
      <w:pPr>
        <w:pStyle w:val="Normal"/>
        <w:keepNext w:val="true"/>
        <w:keepLines/>
        <w:numPr>
          <w:ilvl w:val="0"/>
          <w:numId w:val="0"/>
        </w:numPr>
        <w:ind w:left="0" w:firstLine="709"/>
        <w:jc w:val="both"/>
        <w:outlineLvl w:val="0"/>
        <w:rPr>
          <w:rFonts w:eastAsia="Calibri Light" w:cs="Calibri Light"/>
          <w:b/>
          <w:b/>
          <w:szCs w:val="26"/>
          <w:lang w:eastAsia="en-US"/>
        </w:rPr>
      </w:pPr>
      <w:r>
        <w:rPr>
          <w:rFonts w:eastAsia="Calibri Light" w:cs="Calibri Light"/>
          <w:b/>
          <w:color w:val="000000"/>
          <w:lang w:eastAsia="en-US"/>
        </w:rPr>
        <w:t xml:space="preserve">- </w:t>
      </w:r>
      <w:r>
        <w:rPr>
          <w:rFonts w:eastAsia="Calibri Light" w:cs="Calibri Light"/>
          <w:color w:val="000000"/>
          <w:lang w:eastAsia="en-US"/>
        </w:rPr>
        <w:t>т</w:t>
      </w:r>
      <w:r>
        <w:rPr/>
        <w:t>ехническое перевооружение котельной № 12 по ул.Медицинская, 3К в пгт.Октябрьское в части замены двух котлов на новые с увеличением установленной мощности с автоматизацией технологического процесса;</w:t>
      </w:r>
    </w:p>
    <w:p>
      <w:pPr>
        <w:pStyle w:val="Normal"/>
        <w:keepNext w:val="true"/>
        <w:keepLines/>
        <w:numPr>
          <w:ilvl w:val="0"/>
          <w:numId w:val="0"/>
        </w:numPr>
        <w:ind w:left="0" w:firstLine="709"/>
        <w:jc w:val="both"/>
        <w:outlineLvl w:val="0"/>
        <w:rPr>
          <w:rFonts w:eastAsia="Calibri Light" w:cs="Calibri Light"/>
          <w:b/>
          <w:b/>
          <w:color w:val="000000"/>
          <w:lang w:eastAsia="en-US"/>
        </w:rPr>
      </w:pPr>
      <w:r>
        <w:rPr/>
        <w:t>-</w:t>
      </w:r>
      <w:r>
        <w:rPr>
          <w:rFonts w:eastAsia="Calibri Light" w:cs="Calibri Light"/>
          <w:color w:val="000000"/>
          <w:lang w:eastAsia="en-US"/>
        </w:rPr>
        <w:t xml:space="preserve"> р</w:t>
      </w:r>
      <w:r>
        <w:rPr/>
        <w:t>еконструкция котельной № 1 по ул.Сенькина, 46б с увеличением мощности с переключением на нее нагрузки котельной № 3 по ул.Чапаева, 6Б и выводом ее из эксплуатации.</w:t>
      </w:r>
    </w:p>
    <w:p>
      <w:pPr>
        <w:pStyle w:val="Normal"/>
        <w:keepNext w:val="true"/>
        <w:keepLines/>
        <w:numPr>
          <w:ilvl w:val="0"/>
          <w:numId w:val="0"/>
        </w:numPr>
        <w:ind w:left="0" w:firstLine="709"/>
        <w:jc w:val="both"/>
        <w:outlineLvl w:val="0"/>
        <w:rPr>
          <w:rFonts w:eastAsia="Calibri Light" w:cs="Calibri Light"/>
          <w:b/>
          <w:b/>
          <w:color w:val="000000"/>
          <w:lang w:eastAsia="en-US"/>
        </w:rPr>
      </w:pPr>
      <w:r>
        <w:rPr/>
        <w:t>Реализация данных мероприятий запланирована на 2023-2027 годы и позволит сократить затраты на топливо за счет увеличения КПД котельной, а также обеспечить надежность теплоснабжения.</w:t>
      </w:r>
    </w:p>
    <w:p>
      <w:pPr>
        <w:pStyle w:val="Normal"/>
        <w:keepNext w:val="true"/>
        <w:keepLines/>
        <w:numPr>
          <w:ilvl w:val="0"/>
          <w:numId w:val="0"/>
        </w:numPr>
        <w:ind w:left="0" w:firstLine="709"/>
        <w:jc w:val="both"/>
        <w:outlineLvl w:val="0"/>
        <w:rPr>
          <w:rFonts w:eastAsia="Calibri Light" w:cs="Calibri Light"/>
          <w:b/>
          <w:b/>
          <w:color w:val="000000"/>
          <w:lang w:eastAsia="en-US"/>
        </w:rPr>
      </w:pPr>
      <w:r>
        <w:rPr>
          <w:rFonts w:eastAsia="Calibri Light" w:cs="Calibri Light"/>
          <w:b/>
          <w:color w:val="000000"/>
          <w:lang w:eastAsia="en-US"/>
        </w:rPr>
      </w:r>
    </w:p>
    <w:p>
      <w:pPr>
        <w:pStyle w:val="Normal"/>
        <w:keepNext w:val="true"/>
        <w:keepLines/>
        <w:numPr>
          <w:ilvl w:val="0"/>
          <w:numId w:val="0"/>
        </w:numPr>
        <w:ind w:left="0" w:firstLine="709"/>
        <w:jc w:val="both"/>
        <w:outlineLvl w:val="0"/>
        <w:rPr>
          <w:rFonts w:eastAsia="Calibri Light" w:cs="Calibri Light"/>
          <w:b/>
          <w:b/>
          <w:color w:val="000000"/>
          <w:lang w:eastAsia="en-US"/>
        </w:rPr>
      </w:pPr>
      <w:r>
        <w:rPr>
          <w:rFonts w:eastAsia="Calibri Light" w:cs="Calibri Light"/>
          <w:b/>
          <w:szCs w:val="26"/>
          <w:lang w:eastAsia="en-US"/>
        </w:rPr>
        <w:t>5.2.</w:t>
      </w:r>
      <w:bookmarkEnd w:id="152"/>
      <w:r>
        <w:rPr>
          <w:rFonts w:eastAsia="Calibri Light" w:cs="Calibri Light"/>
          <w:b/>
          <w:szCs w:val="26"/>
          <w:lang w:eastAsia="en-US"/>
        </w:rPr>
        <w:t xml:space="preserve"> Предложения по реконструкции источников тепловой энергии, обеспечивающих перспективную тепловую нагрузку в существующих и расширяемых зонах действия источников тепловой энергии</w:t>
      </w:r>
      <w:bookmarkEnd w:id="151"/>
    </w:p>
    <w:p>
      <w:pPr>
        <w:pStyle w:val="Normal"/>
        <w:keepNext w:val="true"/>
        <w:keepLines/>
        <w:numPr>
          <w:ilvl w:val="0"/>
          <w:numId w:val="0"/>
        </w:numPr>
        <w:ind w:left="0" w:firstLine="709"/>
        <w:jc w:val="both"/>
        <w:outlineLvl w:val="0"/>
        <w:rPr>
          <w:rFonts w:eastAsia="Calibri Light" w:cs="Calibri Light"/>
          <w:b/>
          <w:b/>
          <w:color w:val="000000"/>
          <w:lang w:eastAsia="en-US"/>
        </w:rPr>
      </w:pPr>
      <w:r>
        <w:rPr>
          <w:rFonts w:eastAsia="Calibri" w:cs="Calibri"/>
          <w:szCs w:val="22"/>
          <w:lang w:eastAsia="en-US"/>
        </w:rPr>
        <w:t>Реконструкция источников тепловой энергии, обеспечивающих перспективную тепловую нагрузку в существующих и расширяемых зонах действия источников тепловой энергии, не предусмотрена.</w:t>
      </w:r>
      <w:bookmarkStart w:id="161" w:name="_Toc181366975"/>
      <w:bookmarkStart w:id="162" w:name="_Toc525894712"/>
      <w:bookmarkStart w:id="163" w:name="_Toc535417875"/>
      <w:bookmarkStart w:id="164" w:name="_Toc23034118"/>
      <w:bookmarkStart w:id="165" w:name="_Toc160530699"/>
    </w:p>
    <w:p>
      <w:pPr>
        <w:pStyle w:val="Normal"/>
        <w:keepNext w:val="true"/>
        <w:keepLines/>
        <w:numPr>
          <w:ilvl w:val="0"/>
          <w:numId w:val="0"/>
        </w:numPr>
        <w:ind w:left="0" w:firstLine="709"/>
        <w:jc w:val="both"/>
        <w:outlineLvl w:val="0"/>
        <w:rPr>
          <w:rFonts w:eastAsia="Calibri Light" w:cs="Calibri Light"/>
          <w:b/>
          <w:b/>
          <w:color w:val="000000"/>
          <w:lang w:eastAsia="en-US"/>
        </w:rPr>
      </w:pPr>
      <w:r>
        <w:rPr>
          <w:rFonts w:eastAsia="Calibri Light" w:cs="Calibri Light"/>
          <w:b/>
          <w:color w:val="000000"/>
          <w:lang w:eastAsia="en-US"/>
        </w:rPr>
      </w:r>
    </w:p>
    <w:p>
      <w:pPr>
        <w:pStyle w:val="Normal"/>
        <w:keepNext w:val="true"/>
        <w:keepLines/>
        <w:numPr>
          <w:ilvl w:val="0"/>
          <w:numId w:val="0"/>
        </w:numPr>
        <w:ind w:left="0" w:firstLine="709"/>
        <w:jc w:val="both"/>
        <w:outlineLvl w:val="0"/>
        <w:rPr>
          <w:rFonts w:eastAsia="Calibri Light" w:cs="Calibri Light"/>
          <w:b/>
          <w:b/>
          <w:color w:val="000000"/>
          <w:lang w:eastAsia="en-US"/>
        </w:rPr>
      </w:pPr>
      <w:r>
        <w:rPr>
          <w:rFonts w:eastAsia="Calibri Light" w:cs="Calibri Light"/>
          <w:b/>
          <w:szCs w:val="26"/>
          <w:lang w:eastAsia="en-US"/>
        </w:rPr>
        <w:t>5.3. Предложения по техническому перевооружению источников и (или) модернизации источников тепловой энергии с целью повышения эффективности работы систем теплоснабжения</w:t>
      </w:r>
      <w:bookmarkStart w:id="166" w:name="_Hlk160711828"/>
      <w:bookmarkEnd w:id="161"/>
      <w:bookmarkEnd w:id="162"/>
      <w:bookmarkEnd w:id="163"/>
      <w:bookmarkEnd w:id="164"/>
      <w:bookmarkEnd w:id="165"/>
      <w:bookmarkEnd w:id="166"/>
    </w:p>
    <w:p>
      <w:pPr>
        <w:pStyle w:val="Normal"/>
        <w:keepNext w:val="true"/>
        <w:keepLines/>
        <w:numPr>
          <w:ilvl w:val="0"/>
          <w:numId w:val="0"/>
        </w:numPr>
        <w:ind w:left="0" w:firstLine="709"/>
        <w:jc w:val="both"/>
        <w:outlineLvl w:val="0"/>
        <w:rPr>
          <w:rFonts w:eastAsia="Calibri Light" w:cs="Calibri Light"/>
          <w:b/>
          <w:b/>
          <w:color w:val="000000"/>
          <w:lang w:eastAsia="en-US"/>
        </w:rPr>
      </w:pPr>
      <w:r>
        <w:rPr/>
        <w:t>Реконструкция источников тепловой энергии с целью повышения эффективности работы системы теплоснабжения не предусмотрена.</w:t>
      </w:r>
      <w:bookmarkStart w:id="167" w:name="_Toc160516833"/>
      <w:bookmarkStart w:id="168" w:name="_Toc181366976"/>
    </w:p>
    <w:p>
      <w:pPr>
        <w:pStyle w:val="Normal"/>
        <w:keepNext w:val="true"/>
        <w:keepLines/>
        <w:numPr>
          <w:ilvl w:val="0"/>
          <w:numId w:val="0"/>
        </w:numPr>
        <w:ind w:left="0" w:firstLine="709"/>
        <w:jc w:val="both"/>
        <w:outlineLvl w:val="0"/>
        <w:rPr>
          <w:rFonts w:eastAsia="Calibri Light" w:cs="Calibri Light"/>
          <w:b/>
          <w:b/>
          <w:color w:val="000000"/>
          <w:lang w:eastAsia="en-US"/>
        </w:rPr>
      </w:pPr>
      <w:r>
        <w:rPr>
          <w:rFonts w:eastAsia="Calibri Light" w:cs="Calibri Light"/>
          <w:b/>
          <w:color w:val="000000"/>
          <w:lang w:eastAsia="en-US"/>
        </w:rPr>
      </w:r>
    </w:p>
    <w:p>
      <w:pPr>
        <w:pStyle w:val="Normal"/>
        <w:keepNext w:val="true"/>
        <w:keepLines/>
        <w:numPr>
          <w:ilvl w:val="0"/>
          <w:numId w:val="0"/>
        </w:numPr>
        <w:ind w:left="0" w:firstLine="709"/>
        <w:jc w:val="both"/>
        <w:outlineLvl w:val="0"/>
        <w:rPr>
          <w:rFonts w:eastAsia="Calibri Light" w:cs="Calibri Light"/>
          <w:b/>
          <w:b/>
          <w:color w:val="000000"/>
          <w:lang w:eastAsia="en-US"/>
        </w:rPr>
      </w:pPr>
      <w:r>
        <w:rPr>
          <w:rFonts w:eastAsia="Calibri Light" w:cs="Calibri Light"/>
          <w:b/>
          <w:szCs w:val="26"/>
          <w:lang w:eastAsia="en-US"/>
        </w:rPr>
        <w:t>5.4. Графики совместной работы источников тепловой энергии, функционирующих в режиме комбинированной выработки электрической и тепловой энергии и котельных</w:t>
      </w:r>
      <w:bookmarkEnd w:id="167"/>
      <w:bookmarkEnd w:id="168"/>
    </w:p>
    <w:p>
      <w:pPr>
        <w:pStyle w:val="Normal"/>
        <w:keepNext w:val="true"/>
        <w:keepLines/>
        <w:numPr>
          <w:ilvl w:val="0"/>
          <w:numId w:val="0"/>
        </w:numPr>
        <w:ind w:left="0" w:firstLine="709"/>
        <w:jc w:val="both"/>
        <w:outlineLvl w:val="0"/>
        <w:rPr>
          <w:rFonts w:eastAsia="Calibri Light" w:cs="Calibri Light"/>
          <w:b/>
          <w:b/>
          <w:color w:val="000000"/>
          <w:lang w:eastAsia="en-US"/>
        </w:rPr>
      </w:pPr>
      <w:r>
        <w:rPr>
          <w:lang w:eastAsia="ru-RU"/>
        </w:rPr>
        <w:t>Строительство источников с комбинированной выработкой тепловой и электрической энергии, настоящей схемой теплоснабжения не предусмотрено.</w:t>
      </w:r>
    </w:p>
    <w:p>
      <w:pPr>
        <w:pStyle w:val="Normal"/>
        <w:keepNext w:val="true"/>
        <w:keepLines/>
        <w:numPr>
          <w:ilvl w:val="0"/>
          <w:numId w:val="0"/>
        </w:numPr>
        <w:ind w:left="0" w:firstLine="709"/>
        <w:jc w:val="both"/>
        <w:outlineLvl w:val="0"/>
        <w:rPr>
          <w:rFonts w:eastAsia="Calibri Light" w:cs="Calibri Light"/>
          <w:b/>
          <w:b/>
          <w:color w:val="000000"/>
          <w:lang w:eastAsia="en-US"/>
        </w:rPr>
      </w:pPr>
      <w:r>
        <w:rPr>
          <w:lang w:eastAsia="ru-RU"/>
        </w:rPr>
        <w:t xml:space="preserve">В рамках обеспечения эффективного и надежного теплоснабжения потребителей городского поселения рекомендуется рассмотреть варианты реализации мероприятий по строительству </w:t>
      </w:r>
      <w:r>
        <w:rPr/>
        <w:t>котельной по ул.Дзержинского, 14 в пгт.Октябрьское с выводом из эксплуатации котельной № 2 по ул.Пионерская, 17Б и котельной № 6 по ул.Дзержинского, 2Б с переключением нагрузки на новую котельную по ул.Дзержинского, 14.</w:t>
      </w:r>
    </w:p>
    <w:p>
      <w:pPr>
        <w:pStyle w:val="Normal"/>
        <w:keepNext w:val="true"/>
        <w:keepLines/>
        <w:numPr>
          <w:ilvl w:val="0"/>
          <w:numId w:val="0"/>
        </w:numPr>
        <w:ind w:left="0" w:firstLine="709"/>
        <w:jc w:val="both"/>
        <w:outlineLvl w:val="0"/>
        <w:rPr>
          <w:rFonts w:eastAsia="Calibri Light" w:cs="Calibri Light"/>
          <w:b/>
          <w:b/>
          <w:color w:val="000000"/>
          <w:lang w:eastAsia="en-US"/>
        </w:rPr>
      </w:pPr>
      <w:r>
        <w:rPr/>
        <w:t>Реализация данного мероприятия запланирована на 2026 год и позволит сократить затраты на топливо за счет увеличения КПД котельной, а также обеспечить надежность теплоснабжения путем использования природного газа.</w:t>
      </w:r>
      <w:bookmarkStart w:id="169" w:name="_Toc181366977"/>
      <w:bookmarkStart w:id="170" w:name="_Toc535417877"/>
      <w:bookmarkStart w:id="171" w:name="_Toc23034120"/>
      <w:bookmarkStart w:id="172" w:name="_Toc160530701"/>
    </w:p>
    <w:p>
      <w:pPr>
        <w:pStyle w:val="Normal"/>
        <w:keepNext w:val="true"/>
        <w:keepLines/>
        <w:numPr>
          <w:ilvl w:val="0"/>
          <w:numId w:val="0"/>
        </w:numPr>
        <w:ind w:left="0" w:firstLine="709"/>
        <w:jc w:val="both"/>
        <w:outlineLvl w:val="0"/>
        <w:rPr>
          <w:rFonts w:eastAsia="Calibri Light" w:cs="Calibri Light"/>
          <w:b/>
          <w:b/>
          <w:color w:val="000000"/>
          <w:lang w:eastAsia="en-US"/>
        </w:rPr>
      </w:pPr>
      <w:r>
        <w:rPr>
          <w:rFonts w:eastAsia="Calibri Light" w:cs="Calibri Light"/>
          <w:b/>
          <w:color w:val="000000"/>
          <w:lang w:eastAsia="en-US"/>
        </w:rPr>
      </w:r>
    </w:p>
    <w:p>
      <w:pPr>
        <w:pStyle w:val="Normal"/>
        <w:keepNext w:val="true"/>
        <w:keepLines/>
        <w:numPr>
          <w:ilvl w:val="0"/>
          <w:numId w:val="0"/>
        </w:numPr>
        <w:ind w:left="0" w:firstLine="709"/>
        <w:jc w:val="both"/>
        <w:outlineLvl w:val="0"/>
        <w:rPr>
          <w:rFonts w:eastAsia="Calibri Light" w:cs="Calibri Light"/>
          <w:b/>
          <w:b/>
          <w:lang w:eastAsia="en-US"/>
        </w:rPr>
      </w:pPr>
      <w:r>
        <w:rPr>
          <w:rFonts w:eastAsia="Calibri Light" w:cs="Calibri Light"/>
          <w:b/>
          <w:szCs w:val="26"/>
          <w:lang w:eastAsia="en-US"/>
        </w:rPr>
        <w:t>5.5.</w:t>
        <w:tab/>
        <w:t>Меры по выводу из эксплуатации, консервации и демонтажу избыточных источников тепловой энергии, а также источников тепловой энергии, выработавших нормативный срок службы, в случае если продление срока службы технически невозможно или экономически нецелесообразно</w:t>
      </w:r>
      <w:bookmarkEnd w:id="169"/>
      <w:bookmarkEnd w:id="170"/>
      <w:bookmarkEnd w:id="171"/>
      <w:bookmarkEnd w:id="172"/>
    </w:p>
    <w:p>
      <w:pPr>
        <w:pStyle w:val="Normal"/>
        <w:keepNext w:val="true"/>
        <w:keepLines/>
        <w:numPr>
          <w:ilvl w:val="0"/>
          <w:numId w:val="0"/>
        </w:numPr>
        <w:ind w:left="0" w:firstLine="709"/>
        <w:jc w:val="both"/>
        <w:outlineLvl w:val="0"/>
        <w:rPr>
          <w:rFonts w:eastAsia="Calibri Light" w:cs="Calibri Light"/>
          <w:b/>
          <w:b/>
          <w:lang w:eastAsia="en-US"/>
        </w:rPr>
      </w:pPr>
      <w:r>
        <w:rPr>
          <w:rFonts w:eastAsia="Calibri" w:cs="Calibri"/>
          <w:szCs w:val="22"/>
          <w:lang w:eastAsia="en-US"/>
        </w:rPr>
        <w:t>Мероприятия по выводу из эксплуатации, консервации и демонтажу избыточных источников тепловой энергии, а также источников тепловой энергии, выработавших нормативный срок службы,</w:t>
      </w:r>
      <w:r>
        <w:rPr>
          <w:rFonts w:cs="Calibri"/>
          <w:lang w:eastAsia="ru-RU"/>
        </w:rPr>
        <w:t xml:space="preserve"> не запланированы.</w:t>
      </w:r>
      <w:bookmarkStart w:id="173" w:name="_Toc160516835"/>
      <w:bookmarkStart w:id="174" w:name="_Toc181366978"/>
      <w:bookmarkStart w:id="175" w:name="_Toc23034122"/>
      <w:bookmarkStart w:id="176" w:name="_Toc535417879"/>
      <w:bookmarkStart w:id="177" w:name="_Hlk1607118411"/>
      <w:bookmarkStart w:id="178" w:name="_Toc160530703"/>
      <w:bookmarkStart w:id="179" w:name="_Toc525894715"/>
      <w:bookmarkEnd w:id="175"/>
      <w:bookmarkEnd w:id="176"/>
      <w:bookmarkEnd w:id="177"/>
      <w:bookmarkEnd w:id="178"/>
      <w:bookmarkEnd w:id="179"/>
    </w:p>
    <w:p>
      <w:pPr>
        <w:pStyle w:val="Normal"/>
        <w:keepNext w:val="true"/>
        <w:keepLines/>
        <w:numPr>
          <w:ilvl w:val="0"/>
          <w:numId w:val="0"/>
        </w:numPr>
        <w:ind w:left="0" w:firstLine="709"/>
        <w:jc w:val="both"/>
        <w:outlineLvl w:val="0"/>
        <w:rPr>
          <w:rFonts w:eastAsia="Calibri Light" w:cs="Calibri Light"/>
          <w:b/>
          <w:b/>
          <w:lang w:eastAsia="en-US"/>
        </w:rPr>
      </w:pPr>
      <w:r>
        <w:rPr>
          <w:rFonts w:eastAsia="Calibri Light" w:cs="Calibri Light"/>
          <w:b/>
          <w:lang w:eastAsia="en-US"/>
        </w:rPr>
      </w:r>
    </w:p>
    <w:p>
      <w:pPr>
        <w:pStyle w:val="Normal"/>
        <w:keepNext w:val="true"/>
        <w:keepLines/>
        <w:numPr>
          <w:ilvl w:val="0"/>
          <w:numId w:val="0"/>
        </w:numPr>
        <w:ind w:left="0" w:firstLine="709"/>
        <w:jc w:val="both"/>
        <w:outlineLvl w:val="0"/>
        <w:rPr>
          <w:rFonts w:eastAsia="Calibri Light" w:cs="Calibri Light"/>
          <w:b/>
          <w:b/>
          <w:color w:val="000000"/>
          <w:lang w:eastAsia="en-US"/>
        </w:rPr>
      </w:pPr>
      <w:r>
        <w:rPr>
          <w:rFonts w:eastAsia="Calibri Light" w:cs="Calibri Light"/>
          <w:b/>
          <w:szCs w:val="26"/>
          <w:lang w:eastAsia="en-US"/>
        </w:rPr>
        <w:t>5.6.</w:t>
        <w:tab/>
        <w:t>Меры по переоборудованию котельных в источники тепловой энергии, функционирующие в режиме комбинированной выработки электрической и тепловой энергии</w:t>
      </w:r>
      <w:bookmarkEnd w:id="173"/>
      <w:bookmarkEnd w:id="174"/>
    </w:p>
    <w:p>
      <w:pPr>
        <w:pStyle w:val="Normal"/>
        <w:keepNext w:val="true"/>
        <w:keepLines/>
        <w:numPr>
          <w:ilvl w:val="0"/>
          <w:numId w:val="0"/>
        </w:numPr>
        <w:ind w:left="0" w:firstLine="709"/>
        <w:jc w:val="both"/>
        <w:outlineLvl w:val="0"/>
        <w:rPr>
          <w:rFonts w:eastAsia="Calibri Light" w:cs="Calibri Light"/>
          <w:b/>
          <w:b/>
          <w:color w:val="000000"/>
          <w:lang w:eastAsia="en-US"/>
        </w:rPr>
      </w:pPr>
      <w:r>
        <w:rPr>
          <w:rFonts w:eastAsia="Calibri" w:cs="Calibri"/>
          <w:szCs w:val="22"/>
          <w:lang w:eastAsia="ru-RU"/>
        </w:rPr>
        <w:t>Проведение реконструкции для перевода котельной в комбинированный режим выработки требует высоких капиталовложений. Настоящей Схемой не предусмотрен перевод котельных в режим комбинированной выработки тепловой и электрической энергии.</w:t>
      </w:r>
      <w:bookmarkStart w:id="180" w:name="_Toc160516836"/>
      <w:bookmarkStart w:id="181" w:name="_Toc181366979"/>
      <w:bookmarkStart w:id="182" w:name="_Toc525894717"/>
      <w:bookmarkStart w:id="183" w:name="_Toc535417881"/>
      <w:bookmarkStart w:id="184" w:name="_Toc23034124"/>
      <w:bookmarkStart w:id="185" w:name="_Toc160530705"/>
      <w:bookmarkStart w:id="186" w:name="_Toc5258947151"/>
      <w:bookmarkStart w:id="187" w:name="_Toc5354178791"/>
      <w:bookmarkStart w:id="188" w:name="_Toc230341221"/>
      <w:bookmarkStart w:id="189" w:name="_Toc1605307031"/>
      <w:bookmarkEnd w:id="182"/>
      <w:bookmarkEnd w:id="183"/>
      <w:bookmarkEnd w:id="184"/>
      <w:bookmarkEnd w:id="185"/>
      <w:bookmarkEnd w:id="186"/>
      <w:bookmarkEnd w:id="187"/>
      <w:bookmarkEnd w:id="188"/>
      <w:bookmarkEnd w:id="189"/>
    </w:p>
    <w:p>
      <w:pPr>
        <w:pStyle w:val="Normal"/>
        <w:keepNext w:val="true"/>
        <w:keepLines/>
        <w:numPr>
          <w:ilvl w:val="0"/>
          <w:numId w:val="0"/>
        </w:numPr>
        <w:ind w:left="0" w:firstLine="709"/>
        <w:jc w:val="both"/>
        <w:outlineLvl w:val="0"/>
        <w:rPr>
          <w:rFonts w:eastAsia="Calibri Light" w:cs="Calibri Light"/>
          <w:b/>
          <w:b/>
          <w:color w:val="000000"/>
          <w:lang w:eastAsia="en-US"/>
        </w:rPr>
      </w:pPr>
      <w:r>
        <w:rPr>
          <w:rFonts w:eastAsia="Calibri Light" w:cs="Calibri Light"/>
          <w:b/>
          <w:color w:val="000000"/>
          <w:lang w:eastAsia="en-US"/>
        </w:rPr>
      </w:r>
    </w:p>
    <w:p>
      <w:pPr>
        <w:pStyle w:val="Normal"/>
        <w:keepNext w:val="true"/>
        <w:keepLines/>
        <w:numPr>
          <w:ilvl w:val="0"/>
          <w:numId w:val="0"/>
        </w:numPr>
        <w:ind w:left="0" w:firstLine="709"/>
        <w:jc w:val="both"/>
        <w:outlineLvl w:val="0"/>
        <w:rPr>
          <w:rFonts w:eastAsia="Calibri Light" w:cs="Calibri Light"/>
          <w:b/>
          <w:b/>
          <w:color w:val="000000"/>
          <w:lang w:eastAsia="en-US"/>
        </w:rPr>
      </w:pPr>
      <w:r>
        <w:rPr>
          <w:rFonts w:eastAsia="Calibri Light" w:cs="Calibri Light"/>
          <w:b/>
          <w:szCs w:val="26"/>
          <w:lang w:eastAsia="en-US"/>
        </w:rPr>
        <w:t>5.7.</w:t>
        <w:tab/>
        <w:t>Меры по переводу котельных, размещенных в существующих и расширяемых зонах действия источников тепловой энергии, функционирующих в режиме комбинированной выработки электрической и тепловой энергии, в пиковый режим работы, либо по выводу их из эксплуатации</w:t>
      </w:r>
      <w:bookmarkEnd w:id="180"/>
      <w:bookmarkEnd w:id="181"/>
    </w:p>
    <w:p>
      <w:pPr>
        <w:pStyle w:val="Normal"/>
        <w:keepNext w:val="true"/>
        <w:keepLines/>
        <w:numPr>
          <w:ilvl w:val="0"/>
          <w:numId w:val="0"/>
        </w:numPr>
        <w:ind w:left="0" w:firstLine="709"/>
        <w:jc w:val="both"/>
        <w:outlineLvl w:val="0"/>
        <w:rPr>
          <w:rFonts w:eastAsia="Calibri Light" w:cs="Calibri Light"/>
          <w:b/>
          <w:b/>
          <w:color w:val="000000"/>
          <w:lang w:eastAsia="en-US"/>
        </w:rPr>
      </w:pPr>
      <w:r>
        <w:rPr>
          <w:rFonts w:eastAsia="Calibri" w:cs="Calibri"/>
          <w:szCs w:val="22"/>
          <w:lang w:eastAsia="en-US"/>
        </w:rPr>
        <w:t>Настоящей Схемой перевод источника тепловой энергии в пиковый режим работы не предусматривается.</w:t>
      </w:r>
      <w:bookmarkStart w:id="190" w:name="_Toc23034123"/>
      <w:bookmarkStart w:id="191" w:name="_Toc535417880"/>
      <w:bookmarkStart w:id="192" w:name="_Toc160516837"/>
      <w:bookmarkStart w:id="193" w:name="_Toc181366980"/>
      <w:bookmarkStart w:id="194" w:name="_Toc525894716"/>
    </w:p>
    <w:p>
      <w:pPr>
        <w:pStyle w:val="Normal"/>
        <w:keepNext w:val="true"/>
        <w:keepLines/>
        <w:numPr>
          <w:ilvl w:val="0"/>
          <w:numId w:val="0"/>
        </w:numPr>
        <w:ind w:left="0" w:firstLine="709"/>
        <w:jc w:val="both"/>
        <w:outlineLvl w:val="0"/>
        <w:rPr>
          <w:rFonts w:eastAsia="Calibri Light" w:cs="Calibri Light"/>
          <w:b/>
          <w:b/>
          <w:color w:val="000000"/>
          <w:lang w:eastAsia="en-US"/>
        </w:rPr>
      </w:pPr>
      <w:r>
        <w:rPr>
          <w:rFonts w:eastAsia="Calibri Light" w:cs="Calibri Light"/>
          <w:b/>
          <w:color w:val="000000"/>
          <w:lang w:eastAsia="en-US"/>
        </w:rPr>
      </w:r>
    </w:p>
    <w:p>
      <w:pPr>
        <w:pStyle w:val="Normal"/>
        <w:keepNext w:val="true"/>
        <w:keepLines/>
        <w:numPr>
          <w:ilvl w:val="0"/>
          <w:numId w:val="0"/>
        </w:numPr>
        <w:ind w:left="0" w:firstLine="709"/>
        <w:jc w:val="both"/>
        <w:outlineLvl w:val="0"/>
        <w:rPr>
          <w:rFonts w:eastAsia="Calibri Light" w:cs="Calibri Light"/>
          <w:b/>
          <w:b/>
          <w:color w:val="000000"/>
          <w:lang w:eastAsia="en-US"/>
        </w:rPr>
      </w:pPr>
      <w:r>
        <w:rPr>
          <w:rFonts w:eastAsia="Calibri Light" w:cs="Calibri Light"/>
          <w:b/>
          <w:szCs w:val="26"/>
          <w:lang w:eastAsia="en-US"/>
        </w:rPr>
        <w:t>5.8.</w:t>
        <w:tab/>
      </w:r>
      <w:bookmarkEnd w:id="194"/>
      <w:r>
        <w:rPr>
          <w:rFonts w:eastAsia="Calibri Light" w:cs="Calibri Light"/>
          <w:b/>
          <w:szCs w:val="26"/>
          <w:lang w:eastAsia="en-US"/>
        </w:rPr>
        <w:t>Температурный график отпуска тепловой энергии для каждого источника тепловой энергии или группы источников тепловой энергии в системе теплоснабжения, работающей на общую тепловую сеть, и оценку затрат при необходимости его изменения</w:t>
      </w:r>
      <w:bookmarkStart w:id="195" w:name="_Hlk25238746"/>
      <w:bookmarkEnd w:id="190"/>
      <w:bookmarkEnd w:id="191"/>
      <w:bookmarkEnd w:id="192"/>
      <w:bookmarkEnd w:id="193"/>
    </w:p>
    <w:p>
      <w:pPr>
        <w:pStyle w:val="Normal"/>
        <w:keepNext w:val="true"/>
        <w:keepLines/>
        <w:numPr>
          <w:ilvl w:val="0"/>
          <w:numId w:val="0"/>
        </w:numPr>
        <w:ind w:left="0" w:firstLine="709"/>
        <w:jc w:val="both"/>
        <w:outlineLvl w:val="0"/>
        <w:rPr>
          <w:rFonts w:eastAsia="Calibri Light" w:cs="Calibri Light"/>
          <w:b/>
          <w:b/>
          <w:color w:val="000000"/>
          <w:lang w:eastAsia="en-US"/>
        </w:rPr>
      </w:pPr>
      <w:r>
        <w:rPr>
          <w:rFonts w:eastAsia="Calibri" w:cs="Calibri"/>
          <w:szCs w:val="22"/>
          <w:lang w:eastAsia="ru-RU"/>
        </w:rPr>
        <w:t>Изменение температурного графика системы теплоснабжения не предусмотрено.</w:t>
      </w:r>
      <w:bookmarkStart w:id="196" w:name="_Toc160516838"/>
      <w:bookmarkStart w:id="197" w:name="_Toc181366981"/>
      <w:bookmarkStart w:id="198" w:name="_Toc5258947171"/>
      <w:bookmarkStart w:id="199" w:name="_Toc5354178811"/>
      <w:bookmarkStart w:id="200" w:name="_Toc230341241"/>
      <w:bookmarkStart w:id="201" w:name="_Toc1605307051"/>
      <w:bookmarkEnd w:id="195"/>
      <w:bookmarkEnd w:id="198"/>
      <w:bookmarkEnd w:id="199"/>
      <w:bookmarkEnd w:id="200"/>
      <w:bookmarkEnd w:id="201"/>
    </w:p>
    <w:p>
      <w:pPr>
        <w:pStyle w:val="Normal"/>
        <w:keepNext w:val="true"/>
        <w:keepLines/>
        <w:numPr>
          <w:ilvl w:val="0"/>
          <w:numId w:val="0"/>
        </w:numPr>
        <w:ind w:left="0" w:firstLine="709"/>
        <w:jc w:val="both"/>
        <w:outlineLvl w:val="0"/>
        <w:rPr>
          <w:rFonts w:eastAsia="Calibri Light" w:cs="Calibri Light"/>
          <w:b/>
          <w:b/>
          <w:color w:val="000000"/>
          <w:lang w:eastAsia="en-US"/>
        </w:rPr>
      </w:pPr>
      <w:r>
        <w:rPr>
          <w:rFonts w:eastAsia="Calibri Light" w:cs="Calibri Light"/>
          <w:b/>
          <w:color w:val="000000"/>
          <w:lang w:eastAsia="en-US"/>
        </w:rPr>
      </w:r>
    </w:p>
    <w:p>
      <w:pPr>
        <w:pStyle w:val="Normal"/>
        <w:keepNext w:val="true"/>
        <w:keepLines/>
        <w:numPr>
          <w:ilvl w:val="0"/>
          <w:numId w:val="0"/>
        </w:numPr>
        <w:ind w:left="0" w:firstLine="709"/>
        <w:jc w:val="both"/>
        <w:outlineLvl w:val="0"/>
        <w:rPr>
          <w:rFonts w:eastAsia="Calibri Light" w:cs="Calibri Light"/>
          <w:b/>
          <w:b/>
          <w:color w:val="000000"/>
          <w:lang w:eastAsia="en-US"/>
        </w:rPr>
      </w:pPr>
      <w:r>
        <w:rPr>
          <w:rFonts w:eastAsia="Calibri Light" w:cs="Calibri Light"/>
          <w:b/>
          <w:szCs w:val="26"/>
          <w:lang w:eastAsia="en-US"/>
        </w:rPr>
        <w:t>5.9.</w:t>
        <w:tab/>
        <w:t>Предложения по перспективной установленной тепловой мощности каждого источника тепловой энергии с предложениями по сроку ввода в эксплуатацию новых мощностей</w:t>
      </w:r>
      <w:bookmarkEnd w:id="196"/>
      <w:bookmarkEnd w:id="197"/>
    </w:p>
    <w:p>
      <w:pPr>
        <w:pStyle w:val="Normal"/>
        <w:keepNext w:val="true"/>
        <w:keepLines/>
        <w:numPr>
          <w:ilvl w:val="0"/>
          <w:numId w:val="0"/>
        </w:numPr>
        <w:ind w:left="0" w:firstLine="709"/>
        <w:jc w:val="both"/>
        <w:outlineLvl w:val="0"/>
        <w:rPr>
          <w:rFonts w:eastAsia="Calibri Light" w:cs="Calibri Light"/>
          <w:b/>
          <w:b/>
          <w:color w:val="000000"/>
          <w:lang w:eastAsia="en-US"/>
        </w:rPr>
      </w:pPr>
      <w:r>
        <w:rPr>
          <w:rFonts w:eastAsia="Calibri" w:cs="Calibri"/>
          <w:lang w:eastAsia="ar-SA"/>
        </w:rPr>
        <w:t xml:space="preserve">Нет необходимости в изменении установленной тепловой мощности действующих источников теплоснабжения в связи с увеличением перспективного спроса на тепловую энергию. </w:t>
      </w:r>
      <w:bookmarkStart w:id="202" w:name="_Toc181366982"/>
      <w:bookmarkStart w:id="203" w:name="_Toc160516839"/>
      <w:bookmarkStart w:id="204" w:name="_Toc535417882"/>
      <w:bookmarkStart w:id="205" w:name="_Toc525894718"/>
      <w:bookmarkStart w:id="206" w:name="_Toc23034125"/>
    </w:p>
    <w:p>
      <w:pPr>
        <w:pStyle w:val="Normal"/>
        <w:keepNext w:val="true"/>
        <w:keepLines/>
        <w:numPr>
          <w:ilvl w:val="0"/>
          <w:numId w:val="0"/>
        </w:numPr>
        <w:ind w:left="0" w:firstLine="709"/>
        <w:jc w:val="both"/>
        <w:outlineLvl w:val="0"/>
        <w:rPr>
          <w:rFonts w:eastAsia="Calibri Light" w:cs="Calibri Light"/>
          <w:b/>
          <w:b/>
          <w:color w:val="000000"/>
          <w:lang w:eastAsia="en-US"/>
        </w:rPr>
      </w:pPr>
      <w:r>
        <w:rPr>
          <w:rFonts w:eastAsia="Calibri Light" w:cs="Calibri Light"/>
          <w:b/>
          <w:color w:val="000000"/>
          <w:lang w:eastAsia="en-US"/>
        </w:rPr>
      </w:r>
    </w:p>
    <w:p>
      <w:pPr>
        <w:pStyle w:val="Normal"/>
        <w:keepNext w:val="true"/>
        <w:keepLines/>
        <w:numPr>
          <w:ilvl w:val="0"/>
          <w:numId w:val="0"/>
        </w:numPr>
        <w:ind w:left="0" w:firstLine="709"/>
        <w:jc w:val="both"/>
        <w:outlineLvl w:val="0"/>
        <w:rPr>
          <w:rFonts w:eastAsia="Calibri Light" w:cs="Calibri Light"/>
          <w:b/>
          <w:b/>
          <w:color w:val="000000"/>
          <w:lang w:eastAsia="en-US"/>
        </w:rPr>
      </w:pPr>
      <w:r>
        <w:rPr>
          <w:rFonts w:eastAsia="Calibri Light" w:cs="Calibri Light"/>
          <w:b/>
          <w:szCs w:val="26"/>
          <w:lang w:eastAsia="en-US"/>
        </w:rPr>
        <w:t>5.10.</w:t>
        <w:tab/>
        <w:t>Предложения по вводу новых и реконструкции существующих источников тепловой энергии с использованием возобновляемых источников энергии, а также местных видов топлива</w:t>
      </w:r>
      <w:bookmarkEnd w:id="202"/>
      <w:bookmarkEnd w:id="203"/>
      <w:bookmarkEnd w:id="204"/>
      <w:bookmarkEnd w:id="205"/>
      <w:bookmarkEnd w:id="206"/>
    </w:p>
    <w:p>
      <w:pPr>
        <w:pStyle w:val="Normal"/>
        <w:keepNext w:val="true"/>
        <w:keepLines/>
        <w:numPr>
          <w:ilvl w:val="0"/>
          <w:numId w:val="0"/>
        </w:numPr>
        <w:ind w:left="0" w:firstLine="709"/>
        <w:jc w:val="both"/>
        <w:outlineLvl w:val="0"/>
        <w:rPr>
          <w:rFonts w:eastAsia="Calibri" w:cs="Calibri"/>
          <w:lang w:eastAsia="en-US"/>
        </w:rPr>
      </w:pPr>
      <w:r>
        <w:rPr>
          <w:rFonts w:eastAsia="Calibri" w:cs="Calibri"/>
          <w:lang w:eastAsia="en-US"/>
        </w:rPr>
        <w:t>Ввод новых и реконструкция существующих источников тепловой энергии с использованием возобновляемых источников энергии, а также местных видов топлива не планируется.</w:t>
      </w:r>
      <w:bookmarkStart w:id="207" w:name="_Hlk160650352"/>
      <w:bookmarkEnd w:id="207"/>
    </w:p>
    <w:p>
      <w:pPr>
        <w:pStyle w:val="Normal"/>
        <w:rPr>
          <w:rFonts w:eastAsia="Calibri Light"/>
          <w:b/>
          <w:b/>
          <w:lang w:eastAsia="en-US"/>
        </w:rPr>
      </w:pPr>
      <w:r>
        <w:rPr>
          <w:rFonts w:eastAsia="Calibri Light"/>
          <w:b/>
          <w:lang w:eastAsia="en-US"/>
        </w:rPr>
      </w:r>
      <w:bookmarkStart w:id="208" w:name="_Toc525894723"/>
      <w:bookmarkStart w:id="209" w:name="_Toc535417887"/>
      <w:bookmarkStart w:id="210" w:name="_Toc23034130"/>
      <w:bookmarkStart w:id="211" w:name="_Toc525894723"/>
      <w:bookmarkStart w:id="212" w:name="_Toc535417887"/>
      <w:bookmarkStart w:id="213" w:name="_Toc23034130"/>
      <w:bookmarkEnd w:id="211"/>
      <w:bookmarkEnd w:id="212"/>
      <w:bookmarkEnd w:id="213"/>
    </w:p>
    <w:p>
      <w:pPr>
        <w:pStyle w:val="Normal"/>
        <w:jc w:val="center"/>
        <w:rPr>
          <w:rFonts w:eastAsia="Calibri Light"/>
          <w:b/>
          <w:b/>
          <w:lang w:eastAsia="en-US"/>
        </w:rPr>
      </w:pPr>
      <w:r>
        <w:rPr>
          <w:rFonts w:eastAsia="Calibri Light"/>
          <w:b/>
          <w:lang w:eastAsia="en-US"/>
        </w:rPr>
        <w:t xml:space="preserve">Раздел 6 «Предложения по строительству, </w:t>
      </w:r>
    </w:p>
    <w:p>
      <w:pPr>
        <w:pStyle w:val="Normal"/>
        <w:jc w:val="center"/>
        <w:rPr>
          <w:rFonts w:eastAsia="Calibri Light"/>
          <w:b/>
          <w:b/>
          <w:lang w:eastAsia="en-US"/>
        </w:rPr>
      </w:pPr>
      <w:bookmarkStart w:id="214" w:name="_Toc181366983"/>
      <w:bookmarkStart w:id="215" w:name="_Toc23034126"/>
      <w:bookmarkStart w:id="216" w:name="_Toc160530707"/>
      <w:r>
        <w:rPr>
          <w:rFonts w:eastAsia="Calibri Light"/>
          <w:b/>
          <w:lang w:eastAsia="en-US"/>
        </w:rPr>
        <w:t>реконструкции и (или) модернизации тепловых сетей»</w:t>
      </w:r>
      <w:bookmarkEnd w:id="214"/>
      <w:bookmarkEnd w:id="215"/>
      <w:bookmarkEnd w:id="216"/>
      <w:r>
        <w:rPr>
          <w:lang w:eastAsia="ru-RU"/>
        </w:rPr>
        <w:t xml:space="preserve"> </w:t>
      </w:r>
      <w:bookmarkStart w:id="217" w:name="_Toc181366984"/>
      <w:bookmarkStart w:id="218" w:name="_Toc160516841"/>
      <w:bookmarkStart w:id="219" w:name="_Toc23034128"/>
      <w:bookmarkStart w:id="220" w:name="_Toc160530709"/>
      <w:bookmarkStart w:id="221" w:name="_Toc535417885"/>
      <w:bookmarkStart w:id="222" w:name="_Toc525894721"/>
      <w:bookmarkEnd w:id="219"/>
      <w:bookmarkEnd w:id="220"/>
      <w:bookmarkEnd w:id="221"/>
      <w:bookmarkEnd w:id="222"/>
    </w:p>
    <w:p>
      <w:pPr>
        <w:pStyle w:val="Normal"/>
        <w:rPr>
          <w:lang w:eastAsia="ru-RU"/>
        </w:rPr>
      </w:pPr>
      <w:r>
        <w:rPr>
          <w:lang w:eastAsia="ru-RU"/>
        </w:rPr>
      </w:r>
    </w:p>
    <w:p>
      <w:pPr>
        <w:pStyle w:val="Normal"/>
        <w:ind w:firstLine="709"/>
        <w:jc w:val="both"/>
        <w:rPr>
          <w:lang w:eastAsia="ru-RU"/>
        </w:rPr>
      </w:pPr>
      <w:r>
        <w:rPr>
          <w:rFonts w:eastAsia="Calibri Light" w:cs="Calibri Light"/>
          <w:b/>
          <w:szCs w:val="26"/>
          <w:lang w:eastAsia="en-US"/>
        </w:rPr>
        <w:t>6.1.</w:t>
        <w:tab/>
        <w:t>Предложения по строительству, реконструкции и (или) модернизации тепловых сетей, обеспечивающих перераспределение тепловой нагрузки из зон с дефицитом располагаемой тепловой мощности источников тепловой энергии в зоны с резервом располагаемой тепловой мощности источников тепловой энергии (использование существующих резервов)</w:t>
      </w:r>
      <w:bookmarkEnd w:id="217"/>
      <w:bookmarkEnd w:id="218"/>
    </w:p>
    <w:p>
      <w:pPr>
        <w:pStyle w:val="Normal"/>
        <w:ind w:firstLine="709"/>
        <w:jc w:val="both"/>
        <w:rPr>
          <w:lang w:eastAsia="ru-RU"/>
        </w:rPr>
      </w:pPr>
      <w:r>
        <w:rPr>
          <w:rFonts w:eastAsia="Calibri" w:cs="Calibri"/>
          <w:szCs w:val="22"/>
          <w:lang w:eastAsia="ru-RU"/>
        </w:rPr>
        <w:t>Перераспределение тепловой нагрузки из зон с дефицитом тепловой мощности в зоны с избытком тепловой мощности настоящей Схемой не предусматривается.</w:t>
      </w:r>
      <w:bookmarkStart w:id="223" w:name="_Toc181366985"/>
      <w:bookmarkStart w:id="224" w:name="_Toc160516842"/>
      <w:bookmarkStart w:id="225" w:name="_Hlk160650365"/>
      <w:bookmarkStart w:id="226" w:name="_Toc23034129"/>
      <w:bookmarkStart w:id="227" w:name="_Toc230341281"/>
      <w:bookmarkStart w:id="228" w:name="_Toc535417886"/>
      <w:bookmarkStart w:id="229" w:name="_Toc5258947211"/>
      <w:bookmarkStart w:id="230" w:name="_Toc5354178851"/>
      <w:bookmarkStart w:id="231" w:name="_Toc160530710"/>
      <w:bookmarkStart w:id="232" w:name="_Toc525894722"/>
      <w:bookmarkStart w:id="233" w:name="_Toc1605307091"/>
      <w:bookmarkEnd w:id="225"/>
      <w:bookmarkEnd w:id="226"/>
      <w:bookmarkEnd w:id="227"/>
      <w:bookmarkEnd w:id="228"/>
      <w:bookmarkEnd w:id="229"/>
      <w:bookmarkEnd w:id="230"/>
      <w:bookmarkEnd w:id="231"/>
      <w:bookmarkEnd w:id="232"/>
      <w:bookmarkEnd w:id="233"/>
    </w:p>
    <w:p>
      <w:pPr>
        <w:pStyle w:val="Normal"/>
        <w:ind w:firstLine="709"/>
        <w:jc w:val="both"/>
        <w:rPr>
          <w:lang w:eastAsia="ru-RU"/>
        </w:rPr>
      </w:pPr>
      <w:r>
        <w:rPr>
          <w:rFonts w:eastAsia="Calibri Light" w:cs="Calibri Light"/>
          <w:b/>
          <w:szCs w:val="26"/>
          <w:lang w:eastAsia="en-US"/>
        </w:rPr>
        <w:t>6.2.</w:t>
        <w:tab/>
        <w:t>Предложения по строительству, реконструкции и (или) модернизации тепловых сетей для обеспечения перспективных приростов тепловой нагрузки в осваиваемых районах поселения под жилищную, комплексную или производственную застройку</w:t>
      </w:r>
      <w:bookmarkEnd w:id="223"/>
      <w:bookmarkEnd w:id="224"/>
    </w:p>
    <w:p>
      <w:pPr>
        <w:pStyle w:val="Normal"/>
        <w:ind w:firstLine="709"/>
        <w:jc w:val="both"/>
        <w:rPr>
          <w:lang w:eastAsia="ru-RU"/>
        </w:rPr>
      </w:pPr>
      <w:r>
        <w:rPr>
          <w:rFonts w:eastAsia="Calibri" w:cs="Calibri"/>
          <w:lang w:eastAsia="ar-SA"/>
        </w:rPr>
        <w:t xml:space="preserve">Подключение новых объектов, находящихся в застроенной части населенных пунктов, рекомендуется производить к существующим тепловым сетям с учетом их пропускной способности. </w:t>
      </w:r>
      <w:r>
        <w:rPr>
          <w:rFonts w:eastAsia="Calibri" w:cs="Calibri"/>
          <w:szCs w:val="22"/>
          <w:lang w:eastAsia="en-US"/>
        </w:rPr>
        <w:t>Однако для отопления и горячего водоснабжения индивидуальных домов рекомендуется применение индивидуальных двухконтурных котлов. Выбор индивидуальных источников тепла объясняется тем, что объекты имеют незначительную тепловую нагрузку и находятся на значительном расстоянии друг от друга, что влечет за собой большие потери в тепловых сетях и значительные капитальные вложения по их прокладке.</w:t>
      </w:r>
    </w:p>
    <w:p>
      <w:pPr>
        <w:pStyle w:val="Normal"/>
        <w:ind w:firstLine="709"/>
        <w:jc w:val="both"/>
        <w:rPr>
          <w:lang w:eastAsia="ru-RU"/>
        </w:rPr>
      </w:pPr>
      <w:r>
        <w:rPr>
          <w:rFonts w:eastAsia="Calibri" w:cs="Calibri"/>
          <w:lang w:eastAsia="ar-SA"/>
        </w:rPr>
        <w:t xml:space="preserve">В застроенной части и на территории подлежащей застройке предусматривается подземная прокладка тепловых сетей (бесканальная, в каналах или в тоннелях (коллекторах) совместно с другими инженерными сетями). При обосновании допускается надземная прокладка тепловых сетей, кроме территории детских и лечебных учреждений. </w:t>
      </w:r>
    </w:p>
    <w:p>
      <w:pPr>
        <w:pStyle w:val="Normal"/>
        <w:ind w:firstLine="709"/>
        <w:jc w:val="both"/>
        <w:rPr>
          <w:lang w:eastAsia="ru-RU"/>
        </w:rPr>
      </w:pPr>
      <w:r>
        <w:rPr>
          <w:lang w:eastAsia="ar-SA"/>
        </w:rPr>
        <w:t>В случае надземной прокладки тепловые сети прокладываются с соблюдением расстояния по горизонтали от строительных конструкций тепловых сетей или оболочки изоляции трубопроводов при бесканальной прокладке до зданий, сооружений и инженерных сетей в соответствии с таблицей А.3 СП 124.13330.2012. «Свод правил. Тепловые сети. Актуализированная редакция СНиП 41-02-2003».</w:t>
      </w:r>
    </w:p>
    <w:p>
      <w:pPr>
        <w:pStyle w:val="Normal"/>
        <w:ind w:firstLine="709"/>
        <w:jc w:val="both"/>
        <w:rPr>
          <w:lang w:eastAsia="ru-RU"/>
        </w:rPr>
      </w:pPr>
      <w:r>
        <w:rPr>
          <w:lang w:eastAsia="ar-SA"/>
        </w:rPr>
        <w:t>Величину диаметра трубопровода, способ прокладки и т.д. необходимо определить в ходе наладочного гидравлического расчета по каждому факту предполагаемого подключения.</w:t>
      </w:r>
    </w:p>
    <w:p>
      <w:pPr>
        <w:pStyle w:val="Normal"/>
        <w:ind w:firstLine="709"/>
        <w:jc w:val="both"/>
        <w:rPr>
          <w:lang w:eastAsia="ru-RU"/>
        </w:rPr>
      </w:pPr>
      <w:r>
        <w:rPr>
          <w:lang w:eastAsia="ru-RU"/>
        </w:rPr>
        <w:t>Планом развития поселения предусматривается новое жилищное строительство, размещаемое на территориях существующей застройки путем реконструкции и создания новой современной застройки, обеспечивающей комфортные условия проживания.                      В соответствии с планами развития на территории поселения планируется строительство жилых и общественных зданий, а также индивидуальных жилых домов.</w:t>
      </w:r>
    </w:p>
    <w:p>
      <w:pPr>
        <w:pStyle w:val="Normal"/>
        <w:ind w:firstLine="709"/>
        <w:jc w:val="both"/>
        <w:rPr>
          <w:lang w:eastAsia="ru-RU"/>
        </w:rPr>
      </w:pPr>
      <w:r>
        <w:rPr/>
        <w:t>Для отопления и горячего водоснабжения индивидуальных домов рекомендуется применение индивидуальных двухконтурных котлов, работающих на газовом и твердом топливе. Выбор индивидуальных источников тепла объясняется тем, что объекты имеют незначительную тепловую нагрузку и находятся на значительном расстоянии друг от друга, что влечет за собой большие потери в тепловых сетях и значительные капвложения по их прокладке.</w:t>
      </w:r>
    </w:p>
    <w:p>
      <w:pPr>
        <w:pStyle w:val="Normal"/>
        <w:ind w:firstLine="709"/>
        <w:jc w:val="both"/>
        <w:rPr>
          <w:lang w:eastAsia="ru-RU"/>
        </w:rPr>
      </w:pPr>
      <w:r>
        <w:rPr/>
        <w:t>Для теплоснабжения вновь строящихся зданий (группы зданий) с небольшим теплопотреблением и промышленных объектов рекомендуется использовать автономные источники тепла, отдельностоящие и пристроенные блочно-модульные котельные малой мощности.</w:t>
      </w:r>
      <w:bookmarkStart w:id="234" w:name="_Toc181366986"/>
      <w:bookmarkStart w:id="235" w:name="_Hlk1605313051"/>
      <w:bookmarkStart w:id="236" w:name="_Hlk160531318"/>
      <w:bookmarkEnd w:id="235"/>
      <w:bookmarkEnd w:id="236"/>
    </w:p>
    <w:p>
      <w:pPr>
        <w:pStyle w:val="Normal"/>
        <w:ind w:firstLine="709"/>
        <w:jc w:val="both"/>
        <w:rPr>
          <w:lang w:eastAsia="ru-RU"/>
        </w:rPr>
      </w:pPr>
      <w:r>
        <w:rPr>
          <w:lang w:eastAsia="ru-RU"/>
        </w:rPr>
      </w:r>
    </w:p>
    <w:p>
      <w:pPr>
        <w:pStyle w:val="Normal"/>
        <w:ind w:firstLine="709"/>
        <w:jc w:val="both"/>
        <w:rPr>
          <w:lang w:eastAsia="ru-RU"/>
        </w:rPr>
      </w:pPr>
      <w:r>
        <w:rPr>
          <w:rFonts w:eastAsia="Calibri Light" w:cs="Calibri Light"/>
          <w:b/>
          <w:szCs w:val="26"/>
          <w:lang w:eastAsia="en-US"/>
        </w:rPr>
        <w:t>6.3.</w:t>
        <w:tab/>
        <w:t>Предложения по строительству и реконструкции тепловых сетей в целях обеспечения условий, при наличии которых существует возможность поставок тепловой энергии потребителям от различных источников тепловой энергии при сохранении надежности теплоснабжения</w:t>
      </w:r>
      <w:bookmarkEnd w:id="234"/>
    </w:p>
    <w:p>
      <w:pPr>
        <w:pStyle w:val="Normal"/>
        <w:ind w:firstLine="709"/>
        <w:jc w:val="both"/>
        <w:rPr>
          <w:lang w:eastAsia="ru-RU"/>
        </w:rPr>
      </w:pPr>
      <w:r>
        <w:rPr>
          <w:rFonts w:eastAsia="Calibri" w:cs="Calibri"/>
          <w:szCs w:val="22"/>
          <w:lang w:eastAsia="en-US"/>
        </w:rPr>
        <w:t>В связи с отсутствием возможности обеспечить условия, при которых существует возможность поставки тепловой энергии потребителям от различных источников тепловой энергии при сохранении надежности теплоснабжения строительство тепловых сетей для этих условия настоящей Схемой, не предусматривается.</w:t>
      </w:r>
      <w:bookmarkStart w:id="237" w:name="_Toc160516844"/>
      <w:bookmarkStart w:id="238" w:name="_Toc181366987"/>
      <w:bookmarkStart w:id="239" w:name="_Toc5258947221"/>
      <w:bookmarkStart w:id="240" w:name="_Toc230341301"/>
      <w:bookmarkStart w:id="241" w:name="_Toc5354178871"/>
      <w:bookmarkStart w:id="242" w:name="_Toc5258947231"/>
      <w:bookmarkStart w:id="243" w:name="_Toc1605307101"/>
      <w:bookmarkStart w:id="244" w:name="_Toc23034132"/>
      <w:bookmarkStart w:id="245" w:name="_Toc230341291"/>
      <w:bookmarkStart w:id="246" w:name="_Toc5354178861"/>
      <w:bookmarkStart w:id="247" w:name="_Toc160530712"/>
      <w:bookmarkStart w:id="248" w:name="_Toc23034131"/>
      <w:bookmarkStart w:id="249" w:name="_Toc535417888"/>
      <w:bookmarkStart w:id="250" w:name="_Toc525894724"/>
      <w:bookmarkEnd w:id="239"/>
      <w:bookmarkEnd w:id="240"/>
      <w:bookmarkEnd w:id="241"/>
      <w:bookmarkEnd w:id="242"/>
      <w:bookmarkEnd w:id="243"/>
      <w:bookmarkEnd w:id="244"/>
      <w:bookmarkEnd w:id="245"/>
      <w:bookmarkEnd w:id="246"/>
      <w:bookmarkEnd w:id="247"/>
      <w:bookmarkEnd w:id="248"/>
      <w:bookmarkEnd w:id="249"/>
      <w:bookmarkEnd w:id="250"/>
    </w:p>
    <w:p>
      <w:pPr>
        <w:pStyle w:val="Normal"/>
        <w:ind w:firstLine="709"/>
        <w:jc w:val="both"/>
        <w:rPr>
          <w:lang w:eastAsia="ru-RU"/>
        </w:rPr>
      </w:pPr>
      <w:r>
        <w:rPr>
          <w:lang w:eastAsia="ru-RU"/>
        </w:rPr>
      </w:r>
    </w:p>
    <w:p>
      <w:pPr>
        <w:pStyle w:val="Normal"/>
        <w:ind w:firstLine="709"/>
        <w:jc w:val="both"/>
        <w:rPr>
          <w:lang w:eastAsia="ru-RU"/>
        </w:rPr>
      </w:pPr>
      <w:r>
        <w:rPr>
          <w:rFonts w:eastAsia="Calibri Light" w:cs="Calibri Light"/>
          <w:b/>
          <w:szCs w:val="26"/>
          <w:lang w:eastAsia="en-US"/>
        </w:rPr>
        <w:t>6.4.</w:t>
        <w:tab/>
        <w:t>Предложения по строительству, реконструкции и (или) модернизации тепловых сетей для повышения эффективности функционирования системы теплоснабжения, в том числе за счет перевода котельных в пиковый режим работы или ликвидации котельных</w:t>
      </w:r>
      <w:bookmarkEnd w:id="237"/>
      <w:bookmarkEnd w:id="238"/>
    </w:p>
    <w:p>
      <w:pPr>
        <w:pStyle w:val="Normal"/>
        <w:ind w:firstLine="709"/>
        <w:jc w:val="both"/>
        <w:rPr>
          <w:lang w:eastAsia="ru-RU"/>
        </w:rPr>
      </w:pPr>
      <w:r>
        <w:rPr>
          <w:rFonts w:cs="Calibri"/>
          <w:lang w:eastAsia="ru-RU"/>
        </w:rPr>
        <w:t xml:space="preserve">Для повышения эффективности функционирования системы теплоснабжения рекомендуется модернизация тепловых сетей с заменой существующих трубопроводов,               в т.ч. выработавших свой ресурс, на новые предизолированные трубопроводы. Замена трубопроводов на новые приведет к снижению потерь тепловой энергии за счет более эффективной теплоизоляции и минимизации утечек на тепловых сетях. </w:t>
      </w:r>
    </w:p>
    <w:p>
      <w:pPr>
        <w:pStyle w:val="Normal"/>
        <w:ind w:firstLine="709"/>
        <w:jc w:val="both"/>
        <w:rPr>
          <w:lang w:eastAsia="ru-RU"/>
        </w:rPr>
      </w:pPr>
      <w:r>
        <w:rPr>
          <w:rFonts w:cs="Calibri"/>
          <w:lang w:eastAsia="ru-RU"/>
        </w:rPr>
        <w:t>Перевод котельных в пиковый режим не целесообразен в виду отсутствия источников электрогенерации. Решение о ликвидации котельной принимается собственником источника теплоснабжения.</w:t>
      </w:r>
      <w:bookmarkStart w:id="251" w:name="_Toc160516845"/>
      <w:bookmarkStart w:id="252" w:name="_Toc181366988"/>
      <w:bookmarkStart w:id="253" w:name="_Hlk160711926"/>
      <w:bookmarkStart w:id="254" w:name="_Toc5354178881"/>
      <w:bookmarkStart w:id="255" w:name="_Toc230341311"/>
      <w:bookmarkStart w:id="256" w:name="_Toc1605307121"/>
      <w:bookmarkStart w:id="257" w:name="_Toc5258947241"/>
      <w:bookmarkEnd w:id="253"/>
      <w:bookmarkEnd w:id="254"/>
      <w:bookmarkEnd w:id="255"/>
      <w:bookmarkEnd w:id="256"/>
      <w:bookmarkEnd w:id="257"/>
    </w:p>
    <w:p>
      <w:pPr>
        <w:pStyle w:val="Normal"/>
        <w:ind w:firstLine="709"/>
        <w:jc w:val="both"/>
        <w:rPr>
          <w:lang w:eastAsia="ru-RU"/>
        </w:rPr>
      </w:pPr>
      <w:r>
        <w:rPr>
          <w:lang w:eastAsia="ru-RU"/>
        </w:rPr>
      </w:r>
    </w:p>
    <w:p>
      <w:pPr>
        <w:pStyle w:val="Normal"/>
        <w:ind w:firstLine="709"/>
        <w:jc w:val="both"/>
        <w:rPr>
          <w:lang w:eastAsia="ru-RU"/>
        </w:rPr>
      </w:pPr>
      <w:r>
        <w:rPr>
          <w:rFonts w:eastAsia="Calibri Light" w:cs="Calibri Light"/>
          <w:b/>
          <w:szCs w:val="26"/>
          <w:lang w:eastAsia="en-US"/>
        </w:rPr>
        <w:t>6.5.</w:t>
        <w:tab/>
        <w:t>Предложения по строительству, реконструкции и (или) модернизации тепловых сетей для обеспечения нормативной надежности теплоснабжения потребителей</w:t>
      </w:r>
      <w:bookmarkStart w:id="258" w:name="_Hlk50124712"/>
      <w:bookmarkEnd w:id="251"/>
      <w:bookmarkEnd w:id="252"/>
    </w:p>
    <w:p>
      <w:pPr>
        <w:pStyle w:val="Normal"/>
        <w:ind w:firstLine="709"/>
        <w:jc w:val="both"/>
        <w:rPr>
          <w:lang w:eastAsia="ru-RU"/>
        </w:rPr>
      </w:pPr>
      <w:r>
        <w:rPr>
          <w:rFonts w:eastAsia="Calibri" w:cs="Calibri"/>
          <w:szCs w:val="22"/>
          <w:lang w:eastAsia="en-US"/>
        </w:rPr>
        <w:t>Строительство новых тепловых сетей для обеспечения нормативной надежности теплоснабжения не запланировано.</w:t>
      </w:r>
      <w:bookmarkEnd w:id="258"/>
      <w:r>
        <w:rPr>
          <w:rFonts w:eastAsia="Calibri" w:cs="Calibri"/>
          <w:szCs w:val="22"/>
          <w:lang w:eastAsia="en-US"/>
        </w:rPr>
        <w:t xml:space="preserve"> </w:t>
      </w:r>
    </w:p>
    <w:p>
      <w:pPr>
        <w:pStyle w:val="Normal"/>
        <w:ind w:firstLine="709"/>
        <w:jc w:val="both"/>
        <w:rPr>
          <w:lang w:eastAsia="ru-RU"/>
        </w:rPr>
      </w:pPr>
      <w:r>
        <w:rPr>
          <w:rFonts w:cs="Calibri"/>
          <w:szCs w:val="22"/>
          <w:lang w:eastAsia="ru-RU"/>
        </w:rPr>
        <w:t>Перечень участков тепловых сетей источников поселения подлежащих реконструкции (капитальному ремонту) в связи с исчерпанием эксплуатационного ресурса приведен в таблице 8.</w:t>
      </w:r>
      <w:bookmarkStart w:id="259" w:name="_Ref36826718"/>
      <w:bookmarkStart w:id="260" w:name="_Hlk160711940"/>
      <w:bookmarkStart w:id="261" w:name="_Hlk50124750"/>
      <w:bookmarkStart w:id="262" w:name="_Toc535409600"/>
      <w:bookmarkStart w:id="263" w:name="_Toc79257683"/>
      <w:bookmarkStart w:id="264" w:name="_Hlk160650398"/>
      <w:bookmarkEnd w:id="259"/>
      <w:bookmarkEnd w:id="260"/>
      <w:bookmarkEnd w:id="261"/>
      <w:bookmarkEnd w:id="262"/>
      <w:bookmarkEnd w:id="263"/>
      <w:bookmarkEnd w:id="264"/>
    </w:p>
    <w:p>
      <w:pPr>
        <w:pStyle w:val="Normal"/>
        <w:jc w:val="right"/>
        <w:rPr>
          <w:rFonts w:eastAsia="Calibri" w:cs="Calibri"/>
          <w:szCs w:val="22"/>
          <w:lang w:eastAsia="en-US"/>
        </w:rPr>
      </w:pPr>
      <w:r>
        <w:rPr>
          <w:rFonts w:eastAsia="Calibri" w:cs="Calibri"/>
          <w:szCs w:val="22"/>
          <w:lang w:eastAsia="en-US"/>
        </w:rPr>
        <w:t>Таблица 8 – Перечень участков тепловых сетей подлежащих реконструкции в связи                           с исчерпанием эксплуатационных ресурсов</w:t>
      </w:r>
    </w:p>
    <w:tbl>
      <w:tblPr>
        <w:tblW w:w="5000" w:type="pct"/>
        <w:jc w:val="left"/>
        <w:tblInd w:w="10" w:type="dxa"/>
        <w:tblCellMar>
          <w:top w:w="15" w:type="dxa"/>
          <w:left w:w="15" w:type="dxa"/>
          <w:bottom w:w="0" w:type="dxa"/>
          <w:right w:w="15" w:type="dxa"/>
        </w:tblCellMar>
        <w:tblLook w:val="04a0" w:noVBand="1" w:noHBand="0" w:lastColumn="0" w:firstColumn="1" w:lastRow="0" w:firstRow="1"/>
      </w:tblPr>
      <w:tblGrid>
        <w:gridCol w:w="3352"/>
        <w:gridCol w:w="3331"/>
        <w:gridCol w:w="2955"/>
      </w:tblGrid>
      <w:tr>
        <w:trPr>
          <w:tblHeader w:val="true"/>
          <w:trHeight w:val="20" w:hRule="atLeast"/>
        </w:trPr>
        <w:tc>
          <w:tcPr>
            <w:tcW w:w="33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xml:space="preserve">№ </w:t>
            </w:r>
            <w:r>
              <w:rPr>
                <w:sz w:val="20"/>
                <w:szCs w:val="20"/>
                <w:lang w:eastAsia="ru-RU"/>
              </w:rPr>
              <w:t>проекта</w:t>
            </w:r>
          </w:p>
        </w:tc>
        <w:tc>
          <w:tcPr>
            <w:tcW w:w="33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Наименование</w:t>
            </w:r>
          </w:p>
        </w:tc>
        <w:tc>
          <w:tcPr>
            <w:tcW w:w="295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Итого, тыс. руб.</w:t>
            </w:r>
          </w:p>
        </w:tc>
      </w:tr>
      <w:tr>
        <w:trPr>
          <w:tblHeader w:val="true"/>
          <w:trHeight w:val="20" w:hRule="atLeast"/>
        </w:trPr>
        <w:tc>
          <w:tcPr>
            <w:tcW w:w="9638"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Подгруппа проектов «Реконструкция тепловых сетей для обеспечения надежности теплоснабжения потребителей, в том числе в связи с исчерпанием эксплуатационного ресурса»</w:t>
            </w:r>
          </w:p>
        </w:tc>
      </w:tr>
      <w:tr>
        <w:trPr>
          <w:trHeight w:val="20" w:hRule="atLeast"/>
        </w:trPr>
        <w:tc>
          <w:tcPr>
            <w:tcW w:w="33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001.02.02.002.001</w:t>
            </w:r>
          </w:p>
        </w:tc>
        <w:tc>
          <w:tcPr>
            <w:tcW w:w="33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sz w:val="20"/>
                <w:szCs w:val="20"/>
                <w:lang w:eastAsia="ru-RU"/>
              </w:rPr>
            </w:pPr>
            <w:r>
              <w:rPr>
                <w:sz w:val="20"/>
                <w:szCs w:val="20"/>
                <w:lang w:eastAsia="ru-RU"/>
              </w:rPr>
              <w:t>Реконструкция (капитальный ремонт) сетей тепло-, водоснабжения по ул.Калинина, ул.Ленина в пгт.Октябрьское</w:t>
            </w:r>
          </w:p>
        </w:tc>
        <w:tc>
          <w:tcPr>
            <w:tcW w:w="295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26 941,8</w:t>
            </w:r>
          </w:p>
        </w:tc>
      </w:tr>
      <w:tr>
        <w:trPr>
          <w:trHeight w:val="761" w:hRule="atLeast"/>
        </w:trPr>
        <w:tc>
          <w:tcPr>
            <w:tcW w:w="33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001.02.02.002.002</w:t>
            </w:r>
          </w:p>
        </w:tc>
        <w:tc>
          <w:tcPr>
            <w:tcW w:w="33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sz w:val="20"/>
                <w:szCs w:val="20"/>
                <w:lang w:eastAsia="ru-RU"/>
              </w:rPr>
            </w:pPr>
            <w:r>
              <w:rPr>
                <w:sz w:val="20"/>
                <w:szCs w:val="20"/>
                <w:lang w:eastAsia="ru-RU"/>
              </w:rPr>
              <w:t>Реконструкция (капитальный ремонт) сетей тепло-, водоснабжения по ул.Чапаева в пгт.Октябрьское</w:t>
            </w:r>
          </w:p>
        </w:tc>
        <w:tc>
          <w:tcPr>
            <w:tcW w:w="295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17 560,2</w:t>
            </w:r>
          </w:p>
        </w:tc>
      </w:tr>
      <w:tr>
        <w:trPr>
          <w:trHeight w:val="20" w:hRule="atLeast"/>
        </w:trPr>
        <w:tc>
          <w:tcPr>
            <w:tcW w:w="33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001.02.02.002.003</w:t>
            </w:r>
          </w:p>
        </w:tc>
        <w:tc>
          <w:tcPr>
            <w:tcW w:w="33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sz w:val="20"/>
                <w:szCs w:val="20"/>
                <w:lang w:eastAsia="ru-RU"/>
              </w:rPr>
            </w:pPr>
            <w:r>
              <w:rPr>
                <w:sz w:val="20"/>
                <w:szCs w:val="20"/>
                <w:lang w:eastAsia="ru-RU"/>
              </w:rPr>
              <w:t>Поэтапная замена изношенных сетей теплоснабжения, ремонт и замена запорной арматуры</w:t>
            </w:r>
          </w:p>
        </w:tc>
        <w:tc>
          <w:tcPr>
            <w:tcW w:w="295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r>
          </w:p>
        </w:tc>
      </w:tr>
    </w:tbl>
    <w:p>
      <w:pPr>
        <w:pStyle w:val="Normal"/>
        <w:rPr>
          <w:rFonts w:eastAsia="Calibri"/>
          <w:sz w:val="26"/>
          <w:szCs w:val="26"/>
          <w:lang w:eastAsia="en-US"/>
        </w:rPr>
      </w:pPr>
      <w:r>
        <w:rPr>
          <w:rFonts w:eastAsia="Calibri"/>
          <w:sz w:val="26"/>
          <w:szCs w:val="26"/>
          <w:lang w:eastAsia="en-US"/>
        </w:rPr>
      </w:r>
    </w:p>
    <w:p>
      <w:pPr>
        <w:pStyle w:val="Normal"/>
        <w:tabs>
          <w:tab w:val="clear" w:pos="408"/>
          <w:tab w:val="left" w:pos="0" w:leader="none"/>
        </w:tabs>
        <w:jc w:val="both"/>
        <w:rPr>
          <w:rFonts w:eastAsia="Calibri" w:cs="Calibri"/>
          <w:sz w:val="22"/>
          <w:szCs w:val="22"/>
          <w:lang w:eastAsia="en-US"/>
        </w:rPr>
      </w:pPr>
      <w:r>
        <w:rPr>
          <w:rFonts w:eastAsia="Calibri" w:cs="Calibri"/>
          <w:sz w:val="22"/>
          <w:szCs w:val="22"/>
          <w:lang w:eastAsia="en-US"/>
        </w:rPr>
        <w:t>*- Объемы инвестиций в реконструкцию тепловых сетей определены по укрупненным показателям на основании объектов-аналогов и должны быть уточнены на последующих стадиях проектирования.</w:t>
      </w:r>
    </w:p>
    <w:p>
      <w:pPr>
        <w:sectPr>
          <w:headerReference w:type="default" r:id="rId19"/>
          <w:footerReference w:type="default" r:id="rId20"/>
          <w:type w:val="nextPage"/>
          <w:pgSz w:w="11906" w:h="16838"/>
          <w:pgMar w:left="1701" w:right="567" w:header="709" w:top="1134" w:footer="709" w:bottom="851" w:gutter="0"/>
          <w:pgNumType w:fmt="decimal"/>
          <w:formProt w:val="false"/>
          <w:textDirection w:val="lrTb"/>
          <w:docGrid w:type="default" w:linePitch="360" w:charSpace="0"/>
        </w:sectPr>
        <w:pStyle w:val="Normal"/>
        <w:spacing w:before="240" w:after="240"/>
        <w:ind w:firstLine="709"/>
        <w:jc w:val="both"/>
        <w:rPr>
          <w:rFonts w:eastAsia="Calibri"/>
          <w:lang w:eastAsia="en-US"/>
        </w:rPr>
      </w:pPr>
      <w:r>
        <w:rPr>
          <w:rFonts w:eastAsia="Calibri"/>
          <w:lang w:eastAsia="en-US"/>
        </w:rPr>
        <w:t xml:space="preserve"> </w:t>
      </w:r>
    </w:p>
    <w:p>
      <w:pPr>
        <w:pStyle w:val="Normal"/>
        <w:keepNext w:val="true"/>
        <w:keepLines/>
        <w:numPr>
          <w:ilvl w:val="0"/>
          <w:numId w:val="0"/>
        </w:numPr>
        <w:ind w:left="0" w:hanging="0"/>
        <w:jc w:val="center"/>
        <w:outlineLvl w:val="0"/>
        <w:rPr>
          <w:rFonts w:eastAsia="Calibri Light" w:cs="Calibri Light"/>
          <w:b/>
          <w:b/>
          <w:lang w:eastAsia="en-US"/>
        </w:rPr>
      </w:pPr>
      <w:bookmarkStart w:id="265" w:name="_Toc230341321"/>
      <w:bookmarkEnd w:id="265"/>
      <w:r>
        <w:rPr>
          <w:rFonts w:eastAsia="Calibri Light" w:cs="Calibri Light"/>
          <w:b/>
          <w:lang w:eastAsia="en-US"/>
        </w:rPr>
        <w:t xml:space="preserve">Раздел 7 «Предложения по переводу открытых систем теплоснабжения </w:t>
      </w:r>
    </w:p>
    <w:p>
      <w:pPr>
        <w:pStyle w:val="Normal"/>
        <w:keepNext w:val="true"/>
        <w:keepLines/>
        <w:numPr>
          <w:ilvl w:val="0"/>
          <w:numId w:val="0"/>
        </w:numPr>
        <w:ind w:left="0" w:hanging="0"/>
        <w:jc w:val="center"/>
        <w:outlineLvl w:val="0"/>
        <w:rPr>
          <w:rFonts w:eastAsia="Calibri Light" w:cs="Calibri Light"/>
          <w:b/>
          <w:b/>
          <w:lang w:eastAsia="en-US"/>
        </w:rPr>
      </w:pPr>
      <w:r>
        <w:rPr>
          <w:rFonts w:eastAsia="Calibri Light" w:cs="Calibri Light"/>
          <w:b/>
          <w:lang w:eastAsia="en-US"/>
        </w:rPr>
        <w:t xml:space="preserve">(горячего водоснабжения), отдельных участков таких систем </w:t>
      </w:r>
    </w:p>
    <w:p>
      <w:pPr>
        <w:pStyle w:val="Normal"/>
        <w:keepNext w:val="true"/>
        <w:keepLines/>
        <w:numPr>
          <w:ilvl w:val="0"/>
          <w:numId w:val="0"/>
        </w:numPr>
        <w:ind w:left="0" w:hanging="0"/>
        <w:jc w:val="center"/>
        <w:outlineLvl w:val="0"/>
        <w:rPr>
          <w:rFonts w:eastAsia="Calibri Light" w:cs="Calibri Light"/>
          <w:b/>
          <w:b/>
          <w:lang w:eastAsia="en-US"/>
        </w:rPr>
      </w:pPr>
      <w:bookmarkStart w:id="266" w:name="_Toc160516846"/>
      <w:bookmarkStart w:id="267" w:name="_Toc181366989"/>
      <w:r>
        <w:rPr>
          <w:rFonts w:eastAsia="Calibri Light" w:cs="Calibri Light"/>
          <w:b/>
          <w:lang w:eastAsia="en-US"/>
        </w:rPr>
        <w:t>на закрытые системы горячего водоснабжения»</w:t>
      </w:r>
      <w:bookmarkEnd w:id="266"/>
      <w:bookmarkEnd w:id="267"/>
    </w:p>
    <w:p>
      <w:pPr>
        <w:pStyle w:val="Normal"/>
        <w:keepNext w:val="true"/>
        <w:keepLines/>
        <w:numPr>
          <w:ilvl w:val="0"/>
          <w:numId w:val="0"/>
        </w:numPr>
        <w:ind w:left="0" w:hanging="0"/>
        <w:jc w:val="center"/>
        <w:outlineLvl w:val="0"/>
        <w:rPr>
          <w:rFonts w:eastAsia="Calibri Light" w:cs="Calibri Light"/>
          <w:b/>
          <w:b/>
          <w:color w:val="000000"/>
          <w:lang w:eastAsia="en-US"/>
        </w:rPr>
      </w:pPr>
      <w:r>
        <w:rPr>
          <w:rFonts w:eastAsia="Calibri Light" w:cs="Calibri Light"/>
          <w:b/>
          <w:color w:val="000000"/>
          <w:lang w:eastAsia="en-US"/>
        </w:rPr>
      </w:r>
    </w:p>
    <w:p>
      <w:pPr>
        <w:pStyle w:val="Normal"/>
        <w:keepNext w:val="true"/>
        <w:keepLines/>
        <w:numPr>
          <w:ilvl w:val="0"/>
          <w:numId w:val="0"/>
        </w:numPr>
        <w:ind w:left="0" w:firstLine="709"/>
        <w:jc w:val="both"/>
        <w:outlineLvl w:val="1"/>
        <w:rPr>
          <w:rFonts w:eastAsia="Calibri Light" w:cs="Calibri Light"/>
          <w:b/>
          <w:b/>
          <w:szCs w:val="26"/>
          <w:lang w:eastAsia="en-US"/>
        </w:rPr>
      </w:pPr>
      <w:bookmarkStart w:id="268" w:name="_Toc535417890"/>
      <w:bookmarkStart w:id="269" w:name="_Toc525894726"/>
      <w:bookmarkStart w:id="270" w:name="_Toc23034133"/>
      <w:bookmarkStart w:id="271" w:name="_Toc181366990"/>
      <w:bookmarkStart w:id="272" w:name="_Toc160516847"/>
      <w:r>
        <w:rPr>
          <w:rFonts w:eastAsia="Calibri Light" w:cs="Calibri Light"/>
          <w:b/>
          <w:szCs w:val="26"/>
          <w:lang w:eastAsia="en-US"/>
        </w:rPr>
        <w:t>7.1.</w:t>
        <w:tab/>
        <w:t>Предложения по переводу существующих открытых систем теплоснабжения (горячего водоснабжения), отдельных участков таких систем на закрытые системы горячего водоснабжения, для осуществления которого необходимо строительство индивидуальных и (или) центральных тепловых пунктов при наличии у потребителей внутридомовых систем горячего водоснабжения</w:t>
      </w:r>
      <w:bookmarkEnd w:id="268"/>
      <w:bookmarkEnd w:id="269"/>
      <w:bookmarkEnd w:id="270"/>
      <w:bookmarkEnd w:id="271"/>
      <w:bookmarkEnd w:id="272"/>
    </w:p>
    <w:p>
      <w:pPr>
        <w:pStyle w:val="Normal"/>
        <w:ind w:firstLine="709"/>
        <w:jc w:val="both"/>
        <w:rPr>
          <w:rFonts w:eastAsia="Calibri"/>
          <w:lang w:eastAsia="en-US"/>
        </w:rPr>
      </w:pPr>
      <w:bookmarkStart w:id="273" w:name="_Hlk20410780"/>
      <w:bookmarkEnd w:id="273"/>
      <w:r>
        <w:rPr>
          <w:rFonts w:eastAsia="Calibri"/>
          <w:lang w:eastAsia="en-US"/>
        </w:rPr>
        <w:t>На территории поселения потребители, подключенные к открытой системе теплоснабжения (горячего водоснабжения), отдельных участков таких систем отсутствуют.</w:t>
      </w:r>
    </w:p>
    <w:p>
      <w:pPr>
        <w:pStyle w:val="Normal"/>
        <w:ind w:firstLine="709"/>
        <w:jc w:val="both"/>
        <w:rPr>
          <w:rFonts w:eastAsia="Calibri"/>
          <w:sz w:val="26"/>
          <w:szCs w:val="26"/>
          <w:lang w:eastAsia="en-US"/>
        </w:rPr>
      </w:pPr>
      <w:r>
        <w:rPr>
          <w:rFonts w:eastAsia="Calibri"/>
          <w:sz w:val="26"/>
          <w:szCs w:val="26"/>
          <w:lang w:eastAsia="en-US"/>
        </w:rPr>
      </w:r>
    </w:p>
    <w:p>
      <w:pPr>
        <w:pStyle w:val="Normal"/>
        <w:keepNext w:val="true"/>
        <w:keepLines/>
        <w:numPr>
          <w:ilvl w:val="0"/>
          <w:numId w:val="0"/>
        </w:numPr>
        <w:ind w:left="0" w:firstLine="709"/>
        <w:jc w:val="both"/>
        <w:outlineLvl w:val="1"/>
        <w:rPr>
          <w:rFonts w:eastAsia="Calibri Light" w:cs="Calibri Light"/>
          <w:b/>
          <w:b/>
          <w:szCs w:val="26"/>
          <w:lang w:eastAsia="en-US"/>
        </w:rPr>
      </w:pPr>
      <w:bookmarkStart w:id="274" w:name="_Toc181366991"/>
      <w:bookmarkStart w:id="275" w:name="_Toc23034134"/>
      <w:bookmarkStart w:id="276" w:name="_Toc160516848"/>
      <w:bookmarkStart w:id="277" w:name="_Toc535417891"/>
      <w:bookmarkStart w:id="278" w:name="_Toc525894727"/>
      <w:bookmarkStart w:id="279" w:name="_Hlk204107801"/>
      <w:bookmarkEnd w:id="279"/>
      <w:r>
        <w:rPr>
          <w:rFonts w:eastAsia="Calibri Light" w:cs="Calibri Light"/>
          <w:b/>
          <w:szCs w:val="26"/>
          <w:lang w:eastAsia="en-US"/>
        </w:rPr>
        <w:t>7.2.</w:t>
        <w:tab/>
      </w:r>
      <w:bookmarkEnd w:id="275"/>
      <w:bookmarkEnd w:id="276"/>
      <w:bookmarkEnd w:id="277"/>
      <w:bookmarkEnd w:id="278"/>
      <w:r>
        <w:rPr>
          <w:rFonts w:eastAsia="Calibri Light" w:cs="Calibri Light"/>
          <w:b/>
          <w:szCs w:val="26"/>
          <w:lang w:eastAsia="en-US"/>
        </w:rPr>
        <w:t>Предложения по переводу существующих открытых систем теплоснабжения (горячего водоснабжения), отдельных участков таких систем на закрытые системы горячего водоснабжения, для осуществления которого отсутствует необходимость строительства индивидуальных и (или) центральных тепловых пунктов по причине отсутствия у потребителей внутридомовых систем горячего водоснабжения</w:t>
      </w:r>
      <w:bookmarkEnd w:id="274"/>
    </w:p>
    <w:p>
      <w:pPr>
        <w:sectPr>
          <w:headerReference w:type="default" r:id="rId21"/>
          <w:footerReference w:type="default" r:id="rId22"/>
          <w:type w:val="nextPage"/>
          <w:pgSz w:w="11906" w:h="16838"/>
          <w:pgMar w:left="1701" w:right="567" w:header="708" w:top="1134" w:footer="708" w:bottom="1134" w:gutter="0"/>
          <w:pgNumType w:fmt="decimal"/>
          <w:formProt w:val="false"/>
          <w:textDirection w:val="lrTb"/>
          <w:docGrid w:type="default" w:linePitch="360" w:charSpace="0"/>
        </w:sectPr>
        <w:pStyle w:val="Normal"/>
        <w:ind w:firstLine="709"/>
        <w:jc w:val="both"/>
        <w:rPr>
          <w:rFonts w:eastAsia="Calibri"/>
          <w:sz w:val="26"/>
          <w:szCs w:val="26"/>
          <w:lang w:eastAsia="en-US"/>
        </w:rPr>
      </w:pPr>
      <w:r>
        <w:rPr>
          <w:rFonts w:eastAsia="Calibri" w:cs="Calibri"/>
          <w:szCs w:val="22"/>
          <w:lang w:eastAsia="en-US"/>
        </w:rPr>
        <w:t>На территории поселения потребители, подключенные к открытой системе теплоснабжения (горячего водоснабжения), отдельных участков таких систем отсутст</w:t>
      </w:r>
      <w:bookmarkStart w:id="280" w:name="_Hlk160650411"/>
      <w:bookmarkEnd w:id="280"/>
      <w:r>
        <w:rPr>
          <w:rFonts w:eastAsia="Calibri" w:cs="Calibri"/>
          <w:szCs w:val="22"/>
          <w:lang w:eastAsia="en-US"/>
        </w:rPr>
        <w:t>вуют.</w:t>
      </w:r>
    </w:p>
    <w:p>
      <w:pPr>
        <w:pStyle w:val="Normal"/>
        <w:keepNext w:val="true"/>
        <w:keepLines/>
        <w:numPr>
          <w:ilvl w:val="0"/>
          <w:numId w:val="0"/>
        </w:numPr>
        <w:ind w:left="0" w:hanging="0"/>
        <w:jc w:val="center"/>
        <w:outlineLvl w:val="0"/>
        <w:rPr>
          <w:rFonts w:eastAsia="Calibri Light"/>
          <w:b/>
          <w:b/>
          <w:lang w:eastAsia="en-US"/>
        </w:rPr>
      </w:pPr>
      <w:bookmarkStart w:id="281" w:name="_Toc23034135"/>
      <w:bookmarkStart w:id="282" w:name="_Toc160530716"/>
      <w:bookmarkStart w:id="283" w:name="_Toc181366992"/>
      <w:bookmarkStart w:id="284" w:name="_Ref19658671"/>
      <w:bookmarkEnd w:id="284"/>
      <w:r>
        <w:rPr>
          <w:rFonts w:eastAsia="Calibri Light"/>
          <w:b/>
          <w:lang w:eastAsia="en-US"/>
        </w:rPr>
        <w:t>Раздел 8 «Перспективные топливные балансы»</w:t>
      </w:r>
      <w:bookmarkEnd w:id="281"/>
      <w:bookmarkEnd w:id="282"/>
      <w:bookmarkEnd w:id="283"/>
    </w:p>
    <w:p>
      <w:pPr>
        <w:pStyle w:val="Normal"/>
        <w:keepNext w:val="true"/>
        <w:keepLines/>
        <w:numPr>
          <w:ilvl w:val="0"/>
          <w:numId w:val="0"/>
        </w:numPr>
        <w:ind w:left="0" w:hanging="0"/>
        <w:jc w:val="center"/>
        <w:outlineLvl w:val="0"/>
        <w:rPr>
          <w:rFonts w:eastAsia="Calibri Light"/>
          <w:b/>
          <w:b/>
          <w:lang w:eastAsia="en-US"/>
        </w:rPr>
      </w:pPr>
      <w:r>
        <w:rPr>
          <w:rFonts w:eastAsia="Calibri Light"/>
          <w:b/>
          <w:lang w:eastAsia="en-US"/>
        </w:rPr>
      </w:r>
    </w:p>
    <w:p>
      <w:pPr>
        <w:pStyle w:val="Normal"/>
        <w:keepNext w:val="true"/>
        <w:keepLines/>
        <w:numPr>
          <w:ilvl w:val="0"/>
          <w:numId w:val="0"/>
        </w:numPr>
        <w:ind w:left="0" w:firstLine="709"/>
        <w:jc w:val="both"/>
        <w:outlineLvl w:val="1"/>
        <w:rPr>
          <w:rFonts w:eastAsia="Calibri Light" w:cs="Calibri Light"/>
          <w:b/>
          <w:b/>
          <w:lang w:eastAsia="en-US"/>
        </w:rPr>
      </w:pPr>
      <w:bookmarkStart w:id="285" w:name="_Toc525894729"/>
      <w:bookmarkStart w:id="286" w:name="_Toc535417893"/>
      <w:bookmarkStart w:id="287" w:name="_Toc23034136"/>
      <w:bookmarkStart w:id="288" w:name="_Toc160530717"/>
      <w:bookmarkStart w:id="289" w:name="_Toc181366993"/>
      <w:r>
        <w:rPr>
          <w:rFonts w:eastAsia="Calibri Light" w:cs="Calibri Light"/>
          <w:b/>
          <w:lang w:eastAsia="en-US"/>
        </w:rPr>
        <w:t>8.1.</w:t>
        <w:tab/>
        <w:t>Перспективные топливные балансы для каждого источника тепловой энергии по видам основного, резервного                              и аварийного топлива на каждом этапе</w:t>
      </w:r>
      <w:bookmarkEnd w:id="285"/>
      <w:bookmarkEnd w:id="286"/>
      <w:bookmarkEnd w:id="287"/>
      <w:bookmarkEnd w:id="288"/>
      <w:bookmarkEnd w:id="289"/>
    </w:p>
    <w:p>
      <w:pPr>
        <w:pStyle w:val="Normal"/>
        <w:ind w:firstLine="709"/>
        <w:jc w:val="both"/>
        <w:rPr>
          <w:rFonts w:eastAsia="Calibri" w:cs="Calibri"/>
          <w:lang w:eastAsia="ru-RU"/>
        </w:rPr>
      </w:pPr>
      <w:r>
        <w:rPr>
          <w:rFonts w:eastAsia="Calibri" w:cs="Calibri"/>
          <w:lang w:eastAsia="ru-RU"/>
        </w:rPr>
        <w:t>Существующие, перспективные максимальные часовые и годовые расходы основного вида топлива источниками представлены                       в таблицах 9 – 10.</w:t>
      </w:r>
    </w:p>
    <w:p>
      <w:pPr>
        <w:pStyle w:val="Normal"/>
        <w:jc w:val="right"/>
        <w:rPr>
          <w:rFonts w:eastAsia="Calibri" w:cs="Calibri"/>
          <w:szCs w:val="22"/>
          <w:lang w:eastAsia="en-US"/>
        </w:rPr>
      </w:pPr>
      <w:bookmarkStart w:id="290" w:name="_Ref79324400"/>
      <w:bookmarkStart w:id="291" w:name="_Hlk160650423"/>
      <w:bookmarkEnd w:id="290"/>
      <w:bookmarkEnd w:id="291"/>
      <w:r>
        <w:rPr>
          <w:rFonts w:eastAsia="Calibri" w:cs="Calibri"/>
          <w:szCs w:val="22"/>
          <w:lang w:eastAsia="en-US"/>
        </w:rPr>
        <w:t xml:space="preserve">Таблица 9 </w:t>
      </w:r>
      <w:bookmarkStart w:id="292" w:name="_Hlk20410185"/>
      <w:r>
        <w:rPr>
          <w:rFonts w:eastAsia="Calibri" w:cs="Calibri"/>
          <w:szCs w:val="22"/>
          <w:lang w:eastAsia="en-US"/>
        </w:rPr>
        <w:t xml:space="preserve">– Максимально часовые и годовые расходы основного вида топлива источниками </w:t>
      </w:r>
      <w:bookmarkEnd w:id="292"/>
      <w:r>
        <w:rPr>
          <w:rFonts w:eastAsia="Calibri" w:cs="Calibri"/>
          <w:szCs w:val="22"/>
          <w:lang w:eastAsia="en-US"/>
        </w:rPr>
        <w:t>тепловой энергии (существующее положение)</w:t>
      </w:r>
    </w:p>
    <w:tbl>
      <w:tblPr>
        <w:tblW w:w="5000" w:type="pct"/>
        <w:jc w:val="left"/>
        <w:tblInd w:w="0" w:type="dxa"/>
        <w:tblCellMar>
          <w:top w:w="0" w:type="dxa"/>
          <w:left w:w="108" w:type="dxa"/>
          <w:bottom w:w="0" w:type="dxa"/>
          <w:right w:w="108" w:type="dxa"/>
        </w:tblCellMar>
        <w:tblLook w:val="04a0" w:noVBand="1" w:noHBand="0" w:lastColumn="0" w:firstColumn="1" w:lastRow="0" w:firstRow="1"/>
      </w:tblPr>
      <w:tblGrid>
        <w:gridCol w:w="635"/>
        <w:gridCol w:w="1859"/>
        <w:gridCol w:w="1876"/>
        <w:gridCol w:w="1520"/>
        <w:gridCol w:w="1390"/>
        <w:gridCol w:w="1358"/>
        <w:gridCol w:w="1696"/>
        <w:gridCol w:w="1486"/>
        <w:gridCol w:w="854"/>
        <w:gridCol w:w="1894"/>
      </w:tblGrid>
      <w:tr>
        <w:trPr>
          <w:tblHeader w:val="true"/>
        </w:trPr>
        <w:tc>
          <w:tcPr>
            <w:tcW w:w="6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xml:space="preserve">№ </w:t>
            </w:r>
            <w:r>
              <w:rPr>
                <w:sz w:val="20"/>
                <w:szCs w:val="20"/>
                <w:lang w:eastAsia="ru-RU"/>
              </w:rPr>
              <w:t xml:space="preserve">п/п </w:t>
            </w:r>
          </w:p>
        </w:tc>
        <w:tc>
          <w:tcPr>
            <w:tcW w:w="1859" w:type="dxa"/>
            <w:tcBorders>
              <w:top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Наименование и адрес котельной</w:t>
            </w:r>
          </w:p>
        </w:tc>
        <w:tc>
          <w:tcPr>
            <w:tcW w:w="1876" w:type="dxa"/>
            <w:tcBorders>
              <w:top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Установленная мощность, Гкал/ч</w:t>
            </w:r>
          </w:p>
        </w:tc>
        <w:tc>
          <w:tcPr>
            <w:tcW w:w="1520" w:type="dxa"/>
            <w:tcBorders>
              <w:top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Основное топливо</w:t>
            </w:r>
          </w:p>
        </w:tc>
        <w:tc>
          <w:tcPr>
            <w:tcW w:w="1390" w:type="dxa"/>
            <w:tcBorders>
              <w:top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Резервное топливо</w:t>
            </w:r>
          </w:p>
        </w:tc>
        <w:tc>
          <w:tcPr>
            <w:tcW w:w="1358" w:type="dxa"/>
            <w:tcBorders>
              <w:top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Годовой расход условного топлива, т.у.т.</w:t>
            </w:r>
          </w:p>
        </w:tc>
        <w:tc>
          <w:tcPr>
            <w:tcW w:w="1696" w:type="dxa"/>
            <w:tcBorders>
              <w:top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Годовой расход натурального топлива (т.н.т)</w:t>
            </w:r>
          </w:p>
        </w:tc>
        <w:tc>
          <w:tcPr>
            <w:tcW w:w="1486" w:type="dxa"/>
            <w:tcBorders>
              <w:top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Удельный расход условного топлива на выработку тепло кг.у.т./Гкал</w:t>
            </w:r>
          </w:p>
        </w:tc>
        <w:tc>
          <w:tcPr>
            <w:tcW w:w="854" w:type="dxa"/>
            <w:tcBorders>
              <w:top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КПД, %</w:t>
            </w:r>
          </w:p>
        </w:tc>
        <w:tc>
          <w:tcPr>
            <w:tcW w:w="1894" w:type="dxa"/>
            <w:tcBorders>
              <w:top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Максимальный часовой расход топлива, т.н.т/ч, тыс.м3/ч</w:t>
            </w:r>
          </w:p>
        </w:tc>
      </w:tr>
      <w:tr>
        <w:trPr/>
        <w:tc>
          <w:tcPr>
            <w:tcW w:w="635" w:type="dxa"/>
            <w:tcBorders>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r>
          </w:p>
        </w:tc>
        <w:tc>
          <w:tcPr>
            <w:tcW w:w="13933" w:type="dxa"/>
            <w:gridSpan w:val="9"/>
            <w:tcBorders>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городское поселение Октябрьское</w:t>
            </w:r>
          </w:p>
        </w:tc>
      </w:tr>
      <w:tr>
        <w:trPr/>
        <w:tc>
          <w:tcPr>
            <w:tcW w:w="635" w:type="dxa"/>
            <w:tcBorders>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w:t>
            </w:r>
          </w:p>
        </w:tc>
        <w:tc>
          <w:tcPr>
            <w:tcW w:w="1859" w:type="dxa"/>
            <w:tcBorders>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котельная № 1, пгт.Октябрьское, ул.Сенькина, 46б</w:t>
            </w:r>
          </w:p>
        </w:tc>
        <w:tc>
          <w:tcPr>
            <w:tcW w:w="1876" w:type="dxa"/>
            <w:tcBorders>
              <w:bottom w:val="single" w:sz="8" w:space="0" w:color="000000"/>
              <w:right w:val="single" w:sz="8" w:space="0" w:color="000000"/>
            </w:tcBorders>
            <w:shd w:color="auto" w:fill="auto" w:val="clear"/>
            <w:vAlign w:val="center"/>
          </w:tcPr>
          <w:p>
            <w:pPr>
              <w:pStyle w:val="Normal"/>
              <w:jc w:val="center"/>
              <w:rPr>
                <w:rFonts w:eastAsia="" w:eastAsiaTheme="majorEastAsia"/>
                <w:b/>
                <w:b/>
                <w:bCs/>
                <w:sz w:val="26"/>
                <w:szCs w:val="26"/>
              </w:rPr>
            </w:pPr>
            <w:r>
              <w:rPr>
                <w:sz w:val="20"/>
                <w:szCs w:val="20"/>
              </w:rPr>
              <w:t>10,66</w:t>
            </w:r>
          </w:p>
        </w:tc>
        <w:tc>
          <w:tcPr>
            <w:tcW w:w="1520" w:type="dxa"/>
            <w:tcBorders>
              <w:left w:val="single" w:sz="4" w:space="0" w:color="000000"/>
              <w:bottom w:val="single" w:sz="4" w:space="0" w:color="000000"/>
              <w:right w:val="single" w:sz="4" w:space="0" w:color="000000"/>
            </w:tcBorders>
            <w:shd w:color="auto" w:fill="auto" w:val="clear"/>
            <w:vAlign w:val="center"/>
          </w:tcPr>
          <w:p>
            <w:pPr>
              <w:pStyle w:val="Normal"/>
              <w:jc w:val="center"/>
              <w:rPr>
                <w:rFonts w:eastAsia="" w:eastAsiaTheme="majorEastAsia"/>
                <w:b/>
                <w:b/>
                <w:bCs/>
                <w:sz w:val="26"/>
                <w:szCs w:val="26"/>
              </w:rPr>
            </w:pPr>
            <w:r>
              <w:rPr>
                <w:sz w:val="20"/>
                <w:szCs w:val="20"/>
              </w:rPr>
              <w:t>Природный газ</w:t>
            </w:r>
          </w:p>
        </w:tc>
        <w:tc>
          <w:tcPr>
            <w:tcW w:w="1390" w:type="dxa"/>
            <w:tcBorders>
              <w:left w:val="single" w:sz="4" w:space="0" w:color="000000"/>
              <w:bottom w:val="single" w:sz="4" w:space="0" w:color="000000"/>
              <w:right w:val="single" w:sz="4" w:space="0" w:color="000000"/>
            </w:tcBorders>
            <w:shd w:color="auto" w:fill="auto" w:val="clear"/>
            <w:vAlign w:val="center"/>
          </w:tcPr>
          <w:p>
            <w:pPr>
              <w:pStyle w:val="Normal"/>
              <w:jc w:val="center"/>
              <w:rPr>
                <w:rFonts w:eastAsia="" w:eastAsiaTheme="majorEastAsia"/>
                <w:b/>
                <w:b/>
                <w:bCs/>
                <w:sz w:val="26"/>
                <w:szCs w:val="26"/>
              </w:rPr>
            </w:pPr>
            <w:r>
              <w:rPr>
                <w:sz w:val="20"/>
                <w:szCs w:val="20"/>
              </w:rPr>
              <w:t>дизельное топливо</w:t>
            </w:r>
          </w:p>
        </w:tc>
        <w:tc>
          <w:tcPr>
            <w:tcW w:w="1358" w:type="dxa"/>
            <w:tcBorders>
              <w:bottom w:val="single" w:sz="8" w:space="0" w:color="000000"/>
              <w:right w:val="single" w:sz="8" w:space="0" w:color="000000"/>
            </w:tcBorders>
            <w:shd w:color="auto" w:fill="auto" w:val="clear"/>
            <w:vAlign w:val="center"/>
          </w:tcPr>
          <w:p>
            <w:pPr>
              <w:pStyle w:val="Normal"/>
              <w:jc w:val="center"/>
              <w:rPr>
                <w:rFonts w:eastAsia="" w:eastAsiaTheme="majorEastAsia"/>
                <w:b/>
                <w:b/>
                <w:bCs/>
                <w:sz w:val="26"/>
                <w:szCs w:val="26"/>
              </w:rPr>
            </w:pPr>
            <w:r>
              <w:rPr>
                <w:sz w:val="20"/>
                <w:szCs w:val="20"/>
              </w:rPr>
              <w:t>2013,897</w:t>
            </w:r>
          </w:p>
        </w:tc>
        <w:tc>
          <w:tcPr>
            <w:tcW w:w="1696" w:type="dxa"/>
            <w:tcBorders>
              <w:bottom w:val="single" w:sz="8" w:space="0" w:color="000000"/>
              <w:right w:val="single" w:sz="8" w:space="0" w:color="000000"/>
            </w:tcBorders>
            <w:shd w:color="auto" w:fill="auto" w:val="clear"/>
            <w:vAlign w:val="center"/>
          </w:tcPr>
          <w:p>
            <w:pPr>
              <w:pStyle w:val="Normal"/>
              <w:jc w:val="center"/>
              <w:rPr>
                <w:rFonts w:eastAsia="" w:eastAsiaTheme="majorEastAsia"/>
                <w:b/>
                <w:b/>
                <w:bCs/>
                <w:sz w:val="26"/>
                <w:szCs w:val="26"/>
              </w:rPr>
            </w:pPr>
            <w:r>
              <w:rPr>
                <w:bCs/>
                <w:sz w:val="20"/>
                <w:szCs w:val="20"/>
              </w:rPr>
              <w:t>1746,658</w:t>
            </w:r>
          </w:p>
        </w:tc>
        <w:tc>
          <w:tcPr>
            <w:tcW w:w="1486" w:type="dxa"/>
            <w:tcBorders>
              <w:bottom w:val="single" w:sz="8" w:space="0" w:color="000000"/>
              <w:right w:val="single" w:sz="8" w:space="0" w:color="000000"/>
            </w:tcBorders>
            <w:shd w:color="auto" w:fill="auto" w:val="clear"/>
            <w:vAlign w:val="center"/>
          </w:tcPr>
          <w:p>
            <w:pPr>
              <w:pStyle w:val="Normal"/>
              <w:jc w:val="center"/>
              <w:rPr>
                <w:rFonts w:eastAsia="" w:eastAsiaTheme="majorEastAsia"/>
                <w:b/>
                <w:b/>
                <w:bCs/>
                <w:sz w:val="26"/>
                <w:szCs w:val="26"/>
              </w:rPr>
            </w:pPr>
            <w:r>
              <w:rPr>
                <w:sz w:val="20"/>
                <w:szCs w:val="20"/>
              </w:rPr>
              <w:t>154,44</w:t>
            </w:r>
          </w:p>
        </w:tc>
        <w:tc>
          <w:tcPr>
            <w:tcW w:w="854" w:type="dxa"/>
            <w:tcBorders>
              <w:bottom w:val="single" w:sz="8" w:space="0" w:color="000000"/>
              <w:right w:val="single" w:sz="8" w:space="0" w:color="000000"/>
            </w:tcBorders>
            <w:shd w:color="auto" w:fill="auto" w:val="clear"/>
            <w:vAlign w:val="center"/>
          </w:tcPr>
          <w:p>
            <w:pPr>
              <w:pStyle w:val="Normal"/>
              <w:jc w:val="center"/>
              <w:rPr>
                <w:rFonts w:eastAsia="" w:eastAsiaTheme="majorEastAsia"/>
                <w:b/>
                <w:b/>
                <w:bCs/>
                <w:sz w:val="26"/>
                <w:szCs w:val="26"/>
              </w:rPr>
            </w:pPr>
            <w:r>
              <w:rPr>
                <w:sz w:val="20"/>
                <w:szCs w:val="20"/>
              </w:rPr>
              <w:t>92,50</w:t>
            </w:r>
          </w:p>
        </w:tc>
        <w:tc>
          <w:tcPr>
            <w:tcW w:w="1894" w:type="dxa"/>
            <w:tcBorders>
              <w:bottom w:val="single" w:sz="8" w:space="0" w:color="000000"/>
              <w:right w:val="single" w:sz="8" w:space="0" w:color="000000"/>
            </w:tcBorders>
            <w:shd w:color="auto" w:fill="auto" w:val="clear"/>
            <w:vAlign w:val="center"/>
          </w:tcPr>
          <w:p>
            <w:pPr>
              <w:pStyle w:val="Normal"/>
              <w:jc w:val="center"/>
              <w:rPr>
                <w:rFonts w:eastAsia="" w:eastAsiaTheme="majorEastAsia"/>
                <w:b/>
                <w:b/>
                <w:bCs/>
                <w:sz w:val="26"/>
                <w:szCs w:val="26"/>
              </w:rPr>
            </w:pPr>
            <w:r>
              <w:rPr>
                <w:sz w:val="20"/>
                <w:szCs w:val="20"/>
              </w:rPr>
              <w:t>0,295</w:t>
            </w:r>
          </w:p>
        </w:tc>
      </w:tr>
      <w:tr>
        <w:trPr/>
        <w:tc>
          <w:tcPr>
            <w:tcW w:w="635" w:type="dxa"/>
            <w:tcBorders>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2</w:t>
            </w:r>
          </w:p>
        </w:tc>
        <w:tc>
          <w:tcPr>
            <w:tcW w:w="1859" w:type="dxa"/>
            <w:tcBorders>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котельная № 2, пгт.Октябрьское, ул.Пионерская, 17б</w:t>
            </w:r>
          </w:p>
        </w:tc>
        <w:tc>
          <w:tcPr>
            <w:tcW w:w="1876" w:type="dxa"/>
            <w:tcBorders>
              <w:bottom w:val="single" w:sz="8" w:space="0" w:color="000000"/>
              <w:right w:val="single" w:sz="8" w:space="0" w:color="000000"/>
            </w:tcBorders>
            <w:shd w:color="auto" w:fill="auto" w:val="clear"/>
            <w:vAlign w:val="center"/>
          </w:tcPr>
          <w:p>
            <w:pPr>
              <w:pStyle w:val="Normal"/>
              <w:jc w:val="center"/>
              <w:rPr>
                <w:rFonts w:eastAsia="" w:eastAsiaTheme="majorEastAsia"/>
                <w:b/>
                <w:b/>
                <w:bCs/>
                <w:sz w:val="26"/>
                <w:szCs w:val="26"/>
              </w:rPr>
            </w:pPr>
            <w:r>
              <w:rPr>
                <w:sz w:val="20"/>
                <w:szCs w:val="20"/>
              </w:rPr>
              <w:t>6,36</w:t>
            </w:r>
          </w:p>
        </w:tc>
        <w:tc>
          <w:tcPr>
            <w:tcW w:w="1520" w:type="dxa"/>
            <w:tcBorders>
              <w:left w:val="single" w:sz="4" w:space="0" w:color="000000"/>
              <w:bottom w:val="single" w:sz="4" w:space="0" w:color="000000"/>
              <w:right w:val="single" w:sz="4" w:space="0" w:color="000000"/>
            </w:tcBorders>
            <w:shd w:color="auto" w:fill="auto" w:val="clear"/>
            <w:vAlign w:val="center"/>
          </w:tcPr>
          <w:p>
            <w:pPr>
              <w:pStyle w:val="Normal"/>
              <w:jc w:val="center"/>
              <w:rPr>
                <w:rFonts w:eastAsia="" w:eastAsiaTheme="majorEastAsia"/>
                <w:b/>
                <w:b/>
                <w:bCs/>
                <w:sz w:val="26"/>
                <w:szCs w:val="26"/>
              </w:rPr>
            </w:pPr>
            <w:r>
              <w:rPr>
                <w:sz w:val="20"/>
                <w:szCs w:val="20"/>
              </w:rPr>
              <w:t>Природный газ</w:t>
            </w:r>
          </w:p>
        </w:tc>
        <w:tc>
          <w:tcPr>
            <w:tcW w:w="1390" w:type="dxa"/>
            <w:tcBorders>
              <w:left w:val="single" w:sz="4" w:space="0" w:color="000000"/>
              <w:bottom w:val="single" w:sz="4" w:space="0" w:color="000000"/>
              <w:right w:val="single" w:sz="4" w:space="0" w:color="000000"/>
            </w:tcBorders>
            <w:shd w:color="auto" w:fill="auto" w:val="clear"/>
            <w:vAlign w:val="center"/>
          </w:tcPr>
          <w:p>
            <w:pPr>
              <w:pStyle w:val="Normal"/>
              <w:jc w:val="center"/>
              <w:rPr>
                <w:rFonts w:eastAsia="" w:eastAsiaTheme="majorEastAsia"/>
                <w:b/>
                <w:b/>
                <w:bCs/>
                <w:sz w:val="26"/>
                <w:szCs w:val="26"/>
              </w:rPr>
            </w:pPr>
            <w:r>
              <w:rPr>
                <w:sz w:val="20"/>
                <w:szCs w:val="20"/>
              </w:rPr>
              <w:t> </w:t>
            </w:r>
          </w:p>
        </w:tc>
        <w:tc>
          <w:tcPr>
            <w:tcW w:w="1358" w:type="dxa"/>
            <w:tcBorders>
              <w:bottom w:val="single" w:sz="8" w:space="0" w:color="000000"/>
              <w:right w:val="single" w:sz="8" w:space="0" w:color="000000"/>
            </w:tcBorders>
            <w:shd w:color="auto" w:fill="auto" w:val="clear"/>
            <w:vAlign w:val="center"/>
          </w:tcPr>
          <w:p>
            <w:pPr>
              <w:pStyle w:val="Normal"/>
              <w:jc w:val="center"/>
              <w:rPr>
                <w:rFonts w:eastAsia="" w:eastAsiaTheme="majorEastAsia"/>
                <w:b/>
                <w:b/>
                <w:bCs/>
                <w:sz w:val="26"/>
                <w:szCs w:val="26"/>
              </w:rPr>
            </w:pPr>
            <w:r>
              <w:rPr>
                <w:sz w:val="20"/>
                <w:szCs w:val="20"/>
                <w:lang w:eastAsia="ru-RU"/>
              </w:rPr>
              <w:t>993,36</w:t>
            </w:r>
          </w:p>
        </w:tc>
        <w:tc>
          <w:tcPr>
            <w:tcW w:w="1696" w:type="dxa"/>
            <w:tcBorders>
              <w:bottom w:val="single" w:sz="8" w:space="0" w:color="000000"/>
              <w:right w:val="single" w:sz="8" w:space="0" w:color="000000"/>
            </w:tcBorders>
            <w:shd w:color="auto" w:fill="auto" w:val="clear"/>
            <w:vAlign w:val="center"/>
          </w:tcPr>
          <w:p>
            <w:pPr>
              <w:pStyle w:val="Normal"/>
              <w:jc w:val="center"/>
              <w:rPr>
                <w:rFonts w:eastAsia="" w:eastAsiaTheme="majorEastAsia"/>
                <w:b/>
                <w:b/>
                <w:bCs/>
                <w:sz w:val="26"/>
                <w:szCs w:val="26"/>
              </w:rPr>
            </w:pPr>
            <w:r>
              <w:rPr>
                <w:bCs/>
                <w:sz w:val="20"/>
                <w:szCs w:val="20"/>
              </w:rPr>
              <w:t>861,544</w:t>
            </w:r>
          </w:p>
        </w:tc>
        <w:tc>
          <w:tcPr>
            <w:tcW w:w="1486" w:type="dxa"/>
            <w:tcBorders>
              <w:bottom w:val="single" w:sz="8" w:space="0" w:color="000000"/>
              <w:right w:val="single" w:sz="8" w:space="0" w:color="000000"/>
            </w:tcBorders>
            <w:shd w:color="auto" w:fill="auto" w:val="clear"/>
            <w:vAlign w:val="center"/>
          </w:tcPr>
          <w:p>
            <w:pPr>
              <w:pStyle w:val="Normal"/>
              <w:jc w:val="center"/>
              <w:rPr>
                <w:rFonts w:eastAsia="" w:eastAsiaTheme="majorEastAsia"/>
                <w:b/>
                <w:b/>
                <w:bCs/>
                <w:sz w:val="26"/>
                <w:szCs w:val="26"/>
              </w:rPr>
            </w:pPr>
            <w:r>
              <w:rPr>
                <w:sz w:val="20"/>
                <w:szCs w:val="20"/>
              </w:rPr>
              <w:t>186,99</w:t>
            </w:r>
          </w:p>
        </w:tc>
        <w:tc>
          <w:tcPr>
            <w:tcW w:w="854" w:type="dxa"/>
            <w:tcBorders>
              <w:bottom w:val="single" w:sz="8" w:space="0" w:color="000000"/>
              <w:right w:val="single" w:sz="8" w:space="0" w:color="000000"/>
            </w:tcBorders>
            <w:shd w:color="auto" w:fill="auto" w:val="clear"/>
            <w:vAlign w:val="center"/>
          </w:tcPr>
          <w:p>
            <w:pPr>
              <w:pStyle w:val="Normal"/>
              <w:jc w:val="center"/>
              <w:rPr>
                <w:rFonts w:eastAsia="" w:eastAsiaTheme="majorEastAsia"/>
                <w:b/>
                <w:b/>
                <w:bCs/>
                <w:sz w:val="26"/>
                <w:szCs w:val="26"/>
              </w:rPr>
            </w:pPr>
            <w:r>
              <w:rPr>
                <w:sz w:val="20"/>
                <w:szCs w:val="20"/>
              </w:rPr>
              <w:t>76,40</w:t>
            </w:r>
          </w:p>
        </w:tc>
        <w:tc>
          <w:tcPr>
            <w:tcW w:w="1894" w:type="dxa"/>
            <w:tcBorders>
              <w:bottom w:val="single" w:sz="8" w:space="0" w:color="000000"/>
              <w:right w:val="single" w:sz="8" w:space="0" w:color="000000"/>
            </w:tcBorders>
            <w:shd w:color="auto" w:fill="auto" w:val="clear"/>
            <w:vAlign w:val="center"/>
          </w:tcPr>
          <w:p>
            <w:pPr>
              <w:pStyle w:val="Normal"/>
              <w:jc w:val="center"/>
              <w:rPr>
                <w:rFonts w:eastAsia="" w:eastAsiaTheme="majorEastAsia"/>
                <w:b/>
                <w:b/>
                <w:bCs/>
                <w:sz w:val="26"/>
                <w:szCs w:val="26"/>
              </w:rPr>
            </w:pPr>
            <w:r>
              <w:rPr>
                <w:sz w:val="20"/>
                <w:szCs w:val="20"/>
              </w:rPr>
              <w:t>0,145</w:t>
            </w:r>
          </w:p>
        </w:tc>
      </w:tr>
      <w:tr>
        <w:trPr/>
        <w:tc>
          <w:tcPr>
            <w:tcW w:w="635" w:type="dxa"/>
            <w:tcBorders>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3</w:t>
            </w:r>
          </w:p>
        </w:tc>
        <w:tc>
          <w:tcPr>
            <w:tcW w:w="1859" w:type="dxa"/>
            <w:tcBorders>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котельная № 3, пгт.Октябрьское, ул.Чапаева, 6б</w:t>
            </w:r>
          </w:p>
        </w:tc>
        <w:tc>
          <w:tcPr>
            <w:tcW w:w="1876" w:type="dxa"/>
            <w:tcBorders>
              <w:bottom w:val="single" w:sz="8" w:space="0" w:color="000000"/>
              <w:right w:val="single" w:sz="8" w:space="0" w:color="000000"/>
            </w:tcBorders>
            <w:shd w:color="auto" w:fill="auto" w:val="clear"/>
            <w:vAlign w:val="center"/>
          </w:tcPr>
          <w:p>
            <w:pPr>
              <w:pStyle w:val="Normal"/>
              <w:jc w:val="center"/>
              <w:rPr>
                <w:rFonts w:eastAsia="" w:eastAsiaTheme="majorEastAsia"/>
                <w:b/>
                <w:b/>
                <w:bCs/>
                <w:sz w:val="26"/>
                <w:szCs w:val="26"/>
              </w:rPr>
            </w:pPr>
            <w:r>
              <w:rPr>
                <w:sz w:val="20"/>
                <w:szCs w:val="20"/>
              </w:rPr>
              <w:t>4,82</w:t>
            </w:r>
          </w:p>
        </w:tc>
        <w:tc>
          <w:tcPr>
            <w:tcW w:w="1520" w:type="dxa"/>
            <w:tcBorders>
              <w:left w:val="single" w:sz="4" w:space="0" w:color="000000"/>
              <w:bottom w:val="single" w:sz="4" w:space="0" w:color="000000"/>
              <w:right w:val="single" w:sz="4" w:space="0" w:color="000000"/>
            </w:tcBorders>
            <w:shd w:color="auto" w:fill="auto" w:val="clear"/>
            <w:vAlign w:val="center"/>
          </w:tcPr>
          <w:p>
            <w:pPr>
              <w:pStyle w:val="Normal"/>
              <w:jc w:val="center"/>
              <w:rPr>
                <w:rFonts w:eastAsia="" w:eastAsiaTheme="majorEastAsia"/>
                <w:b/>
                <w:b/>
                <w:bCs/>
                <w:sz w:val="26"/>
                <w:szCs w:val="26"/>
              </w:rPr>
            </w:pPr>
            <w:r>
              <w:rPr>
                <w:sz w:val="20"/>
                <w:szCs w:val="20"/>
              </w:rPr>
              <w:t>Природный газ</w:t>
            </w:r>
          </w:p>
        </w:tc>
        <w:tc>
          <w:tcPr>
            <w:tcW w:w="1390" w:type="dxa"/>
            <w:tcBorders>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r>
          </w:p>
        </w:tc>
        <w:tc>
          <w:tcPr>
            <w:tcW w:w="1358" w:type="dxa"/>
            <w:tcBorders>
              <w:bottom w:val="single" w:sz="8" w:space="0" w:color="000000"/>
              <w:right w:val="single" w:sz="8" w:space="0" w:color="000000"/>
            </w:tcBorders>
            <w:shd w:color="auto" w:fill="auto" w:val="clear"/>
            <w:vAlign w:val="center"/>
          </w:tcPr>
          <w:p>
            <w:pPr>
              <w:pStyle w:val="Normal"/>
              <w:jc w:val="center"/>
              <w:rPr>
                <w:rFonts w:eastAsia="" w:eastAsiaTheme="majorEastAsia"/>
                <w:b/>
                <w:b/>
                <w:bCs/>
                <w:sz w:val="26"/>
                <w:szCs w:val="26"/>
              </w:rPr>
            </w:pPr>
            <w:r>
              <w:rPr>
                <w:sz w:val="20"/>
                <w:szCs w:val="20"/>
              </w:rPr>
              <w:t>827,33</w:t>
            </w:r>
          </w:p>
        </w:tc>
        <w:tc>
          <w:tcPr>
            <w:tcW w:w="1696" w:type="dxa"/>
            <w:tcBorders>
              <w:bottom w:val="single" w:sz="8" w:space="0" w:color="000000"/>
              <w:right w:val="single" w:sz="8" w:space="0" w:color="000000"/>
            </w:tcBorders>
            <w:shd w:color="auto" w:fill="auto" w:val="clear"/>
            <w:vAlign w:val="center"/>
          </w:tcPr>
          <w:p>
            <w:pPr>
              <w:pStyle w:val="Normal"/>
              <w:jc w:val="center"/>
              <w:rPr>
                <w:rFonts w:eastAsia="" w:eastAsiaTheme="majorEastAsia"/>
                <w:b/>
                <w:b/>
                <w:bCs/>
                <w:sz w:val="26"/>
                <w:szCs w:val="26"/>
              </w:rPr>
            </w:pPr>
            <w:r>
              <w:rPr>
                <w:bCs/>
                <w:sz w:val="20"/>
                <w:szCs w:val="20"/>
              </w:rPr>
              <w:t>717,546</w:t>
            </w:r>
          </w:p>
        </w:tc>
        <w:tc>
          <w:tcPr>
            <w:tcW w:w="1486" w:type="dxa"/>
            <w:tcBorders>
              <w:bottom w:val="single" w:sz="8" w:space="0" w:color="000000"/>
              <w:right w:val="single" w:sz="8" w:space="0" w:color="000000"/>
            </w:tcBorders>
            <w:shd w:color="auto" w:fill="auto" w:val="clear"/>
            <w:vAlign w:val="center"/>
          </w:tcPr>
          <w:p>
            <w:pPr>
              <w:pStyle w:val="Normal"/>
              <w:jc w:val="center"/>
              <w:rPr>
                <w:rFonts w:eastAsia="" w:eastAsiaTheme="majorEastAsia"/>
                <w:b/>
                <w:b/>
                <w:bCs/>
                <w:sz w:val="26"/>
                <w:szCs w:val="26"/>
              </w:rPr>
            </w:pPr>
            <w:r>
              <w:rPr>
                <w:sz w:val="20"/>
                <w:szCs w:val="20"/>
              </w:rPr>
              <w:t>173,37</w:t>
            </w:r>
          </w:p>
        </w:tc>
        <w:tc>
          <w:tcPr>
            <w:tcW w:w="854" w:type="dxa"/>
            <w:tcBorders>
              <w:bottom w:val="single" w:sz="8" w:space="0" w:color="000000"/>
              <w:right w:val="single" w:sz="8" w:space="0" w:color="000000"/>
            </w:tcBorders>
            <w:shd w:color="auto" w:fill="auto" w:val="clear"/>
            <w:vAlign w:val="center"/>
          </w:tcPr>
          <w:p>
            <w:pPr>
              <w:pStyle w:val="Normal"/>
              <w:jc w:val="center"/>
              <w:rPr>
                <w:rFonts w:eastAsia="" w:eastAsiaTheme="majorEastAsia"/>
                <w:b/>
                <w:b/>
                <w:bCs/>
                <w:sz w:val="26"/>
                <w:szCs w:val="26"/>
              </w:rPr>
            </w:pPr>
            <w:r>
              <w:rPr>
                <w:sz w:val="20"/>
                <w:szCs w:val="20"/>
              </w:rPr>
              <w:t>82,40</w:t>
            </w:r>
          </w:p>
        </w:tc>
        <w:tc>
          <w:tcPr>
            <w:tcW w:w="1894" w:type="dxa"/>
            <w:tcBorders>
              <w:bottom w:val="single" w:sz="8" w:space="0" w:color="000000"/>
              <w:right w:val="single" w:sz="8" w:space="0" w:color="000000"/>
            </w:tcBorders>
            <w:shd w:color="auto" w:fill="auto" w:val="clear"/>
            <w:vAlign w:val="center"/>
          </w:tcPr>
          <w:p>
            <w:pPr>
              <w:pStyle w:val="Normal"/>
              <w:jc w:val="center"/>
              <w:rPr>
                <w:rFonts w:eastAsia="" w:eastAsiaTheme="majorEastAsia"/>
                <w:b/>
                <w:b/>
                <w:bCs/>
                <w:sz w:val="26"/>
                <w:szCs w:val="26"/>
              </w:rPr>
            </w:pPr>
            <w:r>
              <w:rPr>
                <w:sz w:val="20"/>
                <w:szCs w:val="20"/>
              </w:rPr>
              <w:t>0,121</w:t>
            </w:r>
          </w:p>
        </w:tc>
      </w:tr>
      <w:tr>
        <w:trPr/>
        <w:tc>
          <w:tcPr>
            <w:tcW w:w="635" w:type="dxa"/>
            <w:tcBorders>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4</w:t>
            </w:r>
          </w:p>
        </w:tc>
        <w:tc>
          <w:tcPr>
            <w:tcW w:w="1859" w:type="dxa"/>
            <w:tcBorders>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котельная № 6, пгт.Октябрьское, ул.Дзержинского, 2б</w:t>
            </w:r>
          </w:p>
        </w:tc>
        <w:tc>
          <w:tcPr>
            <w:tcW w:w="1876" w:type="dxa"/>
            <w:tcBorders>
              <w:bottom w:val="single" w:sz="8" w:space="0" w:color="000000"/>
              <w:right w:val="single" w:sz="8" w:space="0" w:color="000000"/>
            </w:tcBorders>
            <w:shd w:color="auto" w:fill="auto" w:val="clear"/>
            <w:vAlign w:val="center"/>
          </w:tcPr>
          <w:p>
            <w:pPr>
              <w:pStyle w:val="Normal"/>
              <w:jc w:val="center"/>
              <w:rPr>
                <w:rFonts w:eastAsia="" w:eastAsiaTheme="majorEastAsia"/>
                <w:b/>
                <w:b/>
                <w:bCs/>
                <w:sz w:val="26"/>
                <w:szCs w:val="26"/>
              </w:rPr>
            </w:pPr>
            <w:r>
              <w:rPr>
                <w:sz w:val="20"/>
                <w:szCs w:val="20"/>
              </w:rPr>
              <w:t>4,64</w:t>
            </w:r>
          </w:p>
        </w:tc>
        <w:tc>
          <w:tcPr>
            <w:tcW w:w="1520" w:type="dxa"/>
            <w:tcBorders>
              <w:left w:val="single" w:sz="4" w:space="0" w:color="000000"/>
              <w:bottom w:val="single" w:sz="4" w:space="0" w:color="000000"/>
              <w:right w:val="single" w:sz="4" w:space="0" w:color="000000"/>
            </w:tcBorders>
            <w:shd w:color="auto" w:fill="auto" w:val="clear"/>
            <w:vAlign w:val="center"/>
          </w:tcPr>
          <w:p>
            <w:pPr>
              <w:pStyle w:val="Normal"/>
              <w:jc w:val="center"/>
              <w:rPr>
                <w:rFonts w:eastAsia="" w:eastAsiaTheme="majorEastAsia"/>
                <w:b/>
                <w:b/>
                <w:bCs/>
                <w:sz w:val="26"/>
                <w:szCs w:val="26"/>
              </w:rPr>
            </w:pPr>
            <w:r>
              <w:rPr>
                <w:sz w:val="20"/>
                <w:szCs w:val="20"/>
              </w:rPr>
              <w:t>Природный газ</w:t>
            </w:r>
          </w:p>
        </w:tc>
        <w:tc>
          <w:tcPr>
            <w:tcW w:w="1390" w:type="dxa"/>
            <w:tcBorders>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r>
          </w:p>
        </w:tc>
        <w:tc>
          <w:tcPr>
            <w:tcW w:w="1358" w:type="dxa"/>
            <w:tcBorders>
              <w:bottom w:val="single" w:sz="8" w:space="0" w:color="000000"/>
              <w:right w:val="single" w:sz="8" w:space="0" w:color="000000"/>
            </w:tcBorders>
            <w:shd w:color="auto" w:fill="auto" w:val="clear"/>
            <w:vAlign w:val="center"/>
          </w:tcPr>
          <w:p>
            <w:pPr>
              <w:pStyle w:val="Normal"/>
              <w:jc w:val="center"/>
              <w:rPr>
                <w:rFonts w:eastAsia="" w:eastAsiaTheme="majorEastAsia"/>
                <w:b/>
                <w:b/>
                <w:bCs/>
                <w:sz w:val="26"/>
                <w:szCs w:val="26"/>
              </w:rPr>
            </w:pPr>
            <w:r>
              <w:rPr>
                <w:sz w:val="20"/>
                <w:szCs w:val="20"/>
              </w:rPr>
              <w:t>227,19</w:t>
            </w:r>
          </w:p>
        </w:tc>
        <w:tc>
          <w:tcPr>
            <w:tcW w:w="1696" w:type="dxa"/>
            <w:tcBorders>
              <w:bottom w:val="single" w:sz="8" w:space="0" w:color="000000"/>
              <w:right w:val="single" w:sz="8" w:space="0" w:color="000000"/>
            </w:tcBorders>
            <w:shd w:color="auto" w:fill="auto" w:val="clear"/>
            <w:vAlign w:val="center"/>
          </w:tcPr>
          <w:p>
            <w:pPr>
              <w:pStyle w:val="Normal"/>
              <w:jc w:val="center"/>
              <w:rPr>
                <w:rFonts w:eastAsia="" w:eastAsiaTheme="majorEastAsia"/>
                <w:b/>
                <w:b/>
                <w:bCs/>
                <w:sz w:val="26"/>
                <w:szCs w:val="26"/>
              </w:rPr>
            </w:pPr>
            <w:r>
              <w:rPr>
                <w:bCs/>
                <w:sz w:val="20"/>
                <w:szCs w:val="20"/>
              </w:rPr>
              <w:t>197,043</w:t>
            </w:r>
          </w:p>
        </w:tc>
        <w:tc>
          <w:tcPr>
            <w:tcW w:w="1486" w:type="dxa"/>
            <w:tcBorders>
              <w:bottom w:val="single" w:sz="8" w:space="0" w:color="000000"/>
              <w:right w:val="single" w:sz="8" w:space="0" w:color="000000"/>
            </w:tcBorders>
            <w:shd w:color="auto" w:fill="auto" w:val="clear"/>
            <w:vAlign w:val="center"/>
          </w:tcPr>
          <w:p>
            <w:pPr>
              <w:pStyle w:val="Normal"/>
              <w:jc w:val="center"/>
              <w:rPr>
                <w:rFonts w:eastAsia="" w:eastAsiaTheme="majorEastAsia"/>
                <w:b/>
                <w:b/>
                <w:bCs/>
                <w:sz w:val="26"/>
                <w:szCs w:val="26"/>
              </w:rPr>
            </w:pPr>
            <w:r>
              <w:rPr>
                <w:sz w:val="20"/>
                <w:szCs w:val="20"/>
              </w:rPr>
              <w:t>169,87</w:t>
            </w:r>
          </w:p>
        </w:tc>
        <w:tc>
          <w:tcPr>
            <w:tcW w:w="854" w:type="dxa"/>
            <w:tcBorders>
              <w:bottom w:val="single" w:sz="8" w:space="0" w:color="000000"/>
              <w:right w:val="single" w:sz="8" w:space="0" w:color="000000"/>
            </w:tcBorders>
            <w:shd w:color="auto" w:fill="auto" w:val="clear"/>
            <w:vAlign w:val="center"/>
          </w:tcPr>
          <w:p>
            <w:pPr>
              <w:pStyle w:val="Normal"/>
              <w:jc w:val="center"/>
              <w:rPr>
                <w:rFonts w:eastAsia="" w:eastAsiaTheme="majorEastAsia"/>
                <w:b/>
                <w:b/>
                <w:bCs/>
                <w:sz w:val="26"/>
                <w:szCs w:val="26"/>
              </w:rPr>
            </w:pPr>
            <w:r>
              <w:rPr>
                <w:sz w:val="20"/>
                <w:szCs w:val="20"/>
              </w:rPr>
              <w:t>84,10</w:t>
            </w:r>
          </w:p>
        </w:tc>
        <w:tc>
          <w:tcPr>
            <w:tcW w:w="1894" w:type="dxa"/>
            <w:tcBorders>
              <w:bottom w:val="single" w:sz="8" w:space="0" w:color="000000"/>
              <w:right w:val="single" w:sz="8" w:space="0" w:color="000000"/>
            </w:tcBorders>
            <w:shd w:color="auto" w:fill="auto" w:val="clear"/>
            <w:vAlign w:val="center"/>
          </w:tcPr>
          <w:p>
            <w:pPr>
              <w:pStyle w:val="Normal"/>
              <w:jc w:val="center"/>
              <w:rPr>
                <w:rFonts w:eastAsia="" w:eastAsiaTheme="majorEastAsia"/>
                <w:b/>
                <w:b/>
                <w:bCs/>
                <w:sz w:val="26"/>
                <w:szCs w:val="26"/>
              </w:rPr>
            </w:pPr>
            <w:r>
              <w:rPr>
                <w:sz w:val="20"/>
                <w:szCs w:val="20"/>
              </w:rPr>
              <w:t>0,033</w:t>
            </w:r>
          </w:p>
        </w:tc>
      </w:tr>
      <w:tr>
        <w:trPr/>
        <w:tc>
          <w:tcPr>
            <w:tcW w:w="635" w:type="dxa"/>
            <w:tcBorders>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5</w:t>
            </w:r>
          </w:p>
        </w:tc>
        <w:tc>
          <w:tcPr>
            <w:tcW w:w="1859" w:type="dxa"/>
            <w:tcBorders>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котельная № 7, пгт.Октябрьское, ул.Медицинская, 3Б</w:t>
            </w:r>
          </w:p>
        </w:tc>
        <w:tc>
          <w:tcPr>
            <w:tcW w:w="1876" w:type="dxa"/>
            <w:tcBorders>
              <w:bottom w:val="single" w:sz="8" w:space="0" w:color="000000"/>
              <w:right w:val="single" w:sz="8" w:space="0" w:color="000000"/>
            </w:tcBorders>
            <w:shd w:color="auto" w:fill="auto" w:val="clear"/>
            <w:vAlign w:val="center"/>
          </w:tcPr>
          <w:p>
            <w:pPr>
              <w:pStyle w:val="Normal"/>
              <w:jc w:val="center"/>
              <w:rPr>
                <w:rFonts w:eastAsia="" w:eastAsiaTheme="majorEastAsia"/>
                <w:b/>
                <w:b/>
                <w:bCs/>
                <w:sz w:val="26"/>
                <w:szCs w:val="26"/>
              </w:rPr>
            </w:pPr>
            <w:r>
              <w:rPr>
                <w:sz w:val="20"/>
                <w:szCs w:val="20"/>
              </w:rPr>
              <w:t>5,16</w:t>
            </w:r>
          </w:p>
        </w:tc>
        <w:tc>
          <w:tcPr>
            <w:tcW w:w="1520" w:type="dxa"/>
            <w:tcBorders>
              <w:left w:val="single" w:sz="4" w:space="0" w:color="000000"/>
              <w:bottom w:val="single" w:sz="4" w:space="0" w:color="000000"/>
              <w:right w:val="single" w:sz="4" w:space="0" w:color="000000"/>
            </w:tcBorders>
            <w:shd w:color="auto" w:fill="auto" w:val="clear"/>
            <w:vAlign w:val="center"/>
          </w:tcPr>
          <w:p>
            <w:pPr>
              <w:pStyle w:val="Normal"/>
              <w:jc w:val="center"/>
              <w:rPr>
                <w:rFonts w:eastAsia="" w:eastAsiaTheme="majorEastAsia"/>
                <w:b/>
                <w:b/>
                <w:bCs/>
                <w:sz w:val="26"/>
                <w:szCs w:val="26"/>
              </w:rPr>
            </w:pPr>
            <w:r>
              <w:rPr>
                <w:sz w:val="20"/>
                <w:szCs w:val="20"/>
              </w:rPr>
              <w:t>Природный газ</w:t>
            </w:r>
          </w:p>
        </w:tc>
        <w:tc>
          <w:tcPr>
            <w:tcW w:w="1390" w:type="dxa"/>
            <w:tcBorders>
              <w:left w:val="single" w:sz="4" w:space="0" w:color="000000"/>
              <w:bottom w:val="single" w:sz="4" w:space="0" w:color="000000"/>
              <w:right w:val="single" w:sz="4" w:space="0" w:color="000000"/>
            </w:tcBorders>
            <w:shd w:color="auto" w:fill="auto" w:val="clear"/>
            <w:vAlign w:val="center"/>
          </w:tcPr>
          <w:p>
            <w:pPr>
              <w:pStyle w:val="Normal"/>
              <w:jc w:val="center"/>
              <w:rPr>
                <w:rFonts w:eastAsia="" w:eastAsiaTheme="majorEastAsia"/>
                <w:b/>
                <w:b/>
                <w:bCs/>
                <w:sz w:val="26"/>
                <w:szCs w:val="26"/>
              </w:rPr>
            </w:pPr>
            <w:r>
              <w:rPr>
                <w:sz w:val="20"/>
                <w:szCs w:val="20"/>
              </w:rPr>
              <w:t>дизельное топливо</w:t>
            </w:r>
          </w:p>
        </w:tc>
        <w:tc>
          <w:tcPr>
            <w:tcW w:w="1358" w:type="dxa"/>
            <w:tcBorders>
              <w:bottom w:val="single" w:sz="8" w:space="0" w:color="000000"/>
              <w:right w:val="single" w:sz="8" w:space="0" w:color="000000"/>
            </w:tcBorders>
            <w:shd w:color="auto" w:fill="auto" w:val="clear"/>
            <w:vAlign w:val="center"/>
          </w:tcPr>
          <w:p>
            <w:pPr>
              <w:pStyle w:val="Normal"/>
              <w:jc w:val="center"/>
              <w:rPr>
                <w:rFonts w:eastAsia="" w:eastAsiaTheme="majorEastAsia"/>
                <w:b/>
                <w:b/>
                <w:bCs/>
                <w:sz w:val="26"/>
                <w:szCs w:val="26"/>
              </w:rPr>
            </w:pPr>
            <w:r>
              <w:rPr>
                <w:sz w:val="20"/>
                <w:szCs w:val="20"/>
              </w:rPr>
              <w:t>160,109</w:t>
            </w:r>
          </w:p>
        </w:tc>
        <w:tc>
          <w:tcPr>
            <w:tcW w:w="1696" w:type="dxa"/>
            <w:tcBorders>
              <w:bottom w:val="single" w:sz="8" w:space="0" w:color="000000"/>
              <w:right w:val="single" w:sz="8" w:space="0" w:color="000000"/>
            </w:tcBorders>
            <w:shd w:color="auto" w:fill="auto" w:val="clear"/>
            <w:vAlign w:val="center"/>
          </w:tcPr>
          <w:p>
            <w:pPr>
              <w:pStyle w:val="Normal"/>
              <w:jc w:val="center"/>
              <w:rPr>
                <w:rFonts w:eastAsia="" w:eastAsiaTheme="majorEastAsia"/>
                <w:b/>
                <w:b/>
                <w:bCs/>
                <w:sz w:val="26"/>
                <w:szCs w:val="26"/>
              </w:rPr>
            </w:pPr>
            <w:r>
              <w:rPr>
                <w:bCs/>
                <w:sz w:val="20"/>
                <w:szCs w:val="20"/>
              </w:rPr>
              <w:t>138,863</w:t>
            </w:r>
          </w:p>
        </w:tc>
        <w:tc>
          <w:tcPr>
            <w:tcW w:w="1486" w:type="dxa"/>
            <w:tcBorders>
              <w:bottom w:val="single" w:sz="8" w:space="0" w:color="000000"/>
              <w:right w:val="single" w:sz="8" w:space="0" w:color="000000"/>
            </w:tcBorders>
            <w:shd w:color="auto" w:fill="auto" w:val="clear"/>
            <w:vAlign w:val="center"/>
          </w:tcPr>
          <w:p>
            <w:pPr>
              <w:pStyle w:val="Normal"/>
              <w:jc w:val="center"/>
              <w:rPr>
                <w:rFonts w:eastAsia="" w:eastAsiaTheme="majorEastAsia"/>
                <w:b/>
                <w:b/>
                <w:bCs/>
                <w:sz w:val="26"/>
                <w:szCs w:val="26"/>
              </w:rPr>
            </w:pPr>
            <w:r>
              <w:rPr>
                <w:sz w:val="20"/>
                <w:szCs w:val="20"/>
              </w:rPr>
              <w:t>176,56</w:t>
            </w:r>
          </w:p>
        </w:tc>
        <w:tc>
          <w:tcPr>
            <w:tcW w:w="854" w:type="dxa"/>
            <w:tcBorders>
              <w:bottom w:val="single" w:sz="8" w:space="0" w:color="000000"/>
              <w:right w:val="single" w:sz="8" w:space="0" w:color="000000"/>
            </w:tcBorders>
            <w:shd w:color="auto" w:fill="auto" w:val="clear"/>
            <w:vAlign w:val="center"/>
          </w:tcPr>
          <w:p>
            <w:pPr>
              <w:pStyle w:val="Normal"/>
              <w:jc w:val="center"/>
              <w:rPr>
                <w:rFonts w:eastAsia="" w:eastAsiaTheme="majorEastAsia"/>
                <w:b/>
                <w:b/>
                <w:bCs/>
                <w:sz w:val="26"/>
                <w:szCs w:val="26"/>
              </w:rPr>
            </w:pPr>
            <w:r>
              <w:rPr>
                <w:sz w:val="20"/>
                <w:szCs w:val="20"/>
              </w:rPr>
              <w:t>80,91</w:t>
            </w:r>
          </w:p>
        </w:tc>
        <w:tc>
          <w:tcPr>
            <w:tcW w:w="1894" w:type="dxa"/>
            <w:tcBorders>
              <w:bottom w:val="single" w:sz="8" w:space="0" w:color="000000"/>
              <w:right w:val="single" w:sz="8" w:space="0" w:color="000000"/>
            </w:tcBorders>
            <w:shd w:color="auto" w:fill="auto" w:val="clear"/>
            <w:vAlign w:val="center"/>
          </w:tcPr>
          <w:p>
            <w:pPr>
              <w:pStyle w:val="Normal"/>
              <w:jc w:val="center"/>
              <w:rPr>
                <w:rFonts w:eastAsia="" w:eastAsiaTheme="majorEastAsia"/>
                <w:b/>
                <w:b/>
                <w:bCs/>
                <w:sz w:val="26"/>
                <w:szCs w:val="26"/>
              </w:rPr>
            </w:pPr>
            <w:r>
              <w:rPr>
                <w:sz w:val="20"/>
                <w:szCs w:val="20"/>
              </w:rPr>
              <w:t>0,023</w:t>
            </w:r>
          </w:p>
        </w:tc>
      </w:tr>
      <w:tr>
        <w:trPr/>
        <w:tc>
          <w:tcPr>
            <w:tcW w:w="635" w:type="dxa"/>
            <w:tcBorders>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6</w:t>
            </w:r>
          </w:p>
        </w:tc>
        <w:tc>
          <w:tcPr>
            <w:tcW w:w="1859" w:type="dxa"/>
            <w:tcBorders>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котельная № 12, пгт.Октябрьское, ул.Медицинская, 3к</w:t>
            </w:r>
          </w:p>
        </w:tc>
        <w:tc>
          <w:tcPr>
            <w:tcW w:w="1876" w:type="dxa"/>
            <w:tcBorders>
              <w:bottom w:val="single" w:sz="8" w:space="0" w:color="000000"/>
              <w:right w:val="single" w:sz="8" w:space="0" w:color="000000"/>
            </w:tcBorders>
            <w:shd w:color="auto" w:fill="auto" w:val="clear"/>
            <w:vAlign w:val="center"/>
          </w:tcPr>
          <w:p>
            <w:pPr>
              <w:pStyle w:val="Normal"/>
              <w:jc w:val="center"/>
              <w:rPr>
                <w:rFonts w:eastAsia="" w:eastAsiaTheme="majorEastAsia"/>
                <w:b/>
                <w:b/>
                <w:bCs/>
                <w:sz w:val="26"/>
                <w:szCs w:val="26"/>
              </w:rPr>
            </w:pPr>
            <w:r>
              <w:rPr>
                <w:sz w:val="20"/>
                <w:szCs w:val="20"/>
              </w:rPr>
              <w:t>4,30</w:t>
            </w:r>
          </w:p>
        </w:tc>
        <w:tc>
          <w:tcPr>
            <w:tcW w:w="1520" w:type="dxa"/>
            <w:tcBorders>
              <w:left w:val="single" w:sz="4" w:space="0" w:color="000000"/>
              <w:bottom w:val="single" w:sz="4" w:space="0" w:color="000000"/>
              <w:right w:val="single" w:sz="4" w:space="0" w:color="000000"/>
            </w:tcBorders>
            <w:shd w:color="auto" w:fill="auto" w:val="clear"/>
            <w:vAlign w:val="center"/>
          </w:tcPr>
          <w:p>
            <w:pPr>
              <w:pStyle w:val="Normal"/>
              <w:jc w:val="center"/>
              <w:rPr>
                <w:rFonts w:eastAsia="" w:eastAsiaTheme="majorEastAsia"/>
                <w:b/>
                <w:b/>
                <w:bCs/>
                <w:sz w:val="26"/>
                <w:szCs w:val="26"/>
              </w:rPr>
            </w:pPr>
            <w:r>
              <w:rPr>
                <w:sz w:val="20"/>
                <w:szCs w:val="20"/>
              </w:rPr>
              <w:t>Природный газ</w:t>
            </w:r>
          </w:p>
        </w:tc>
        <w:tc>
          <w:tcPr>
            <w:tcW w:w="1390" w:type="dxa"/>
            <w:tcBorders>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r>
          </w:p>
        </w:tc>
        <w:tc>
          <w:tcPr>
            <w:tcW w:w="1358" w:type="dxa"/>
            <w:tcBorders>
              <w:bottom w:val="single" w:sz="8" w:space="0" w:color="000000"/>
              <w:right w:val="single" w:sz="8" w:space="0" w:color="000000"/>
            </w:tcBorders>
            <w:shd w:color="auto" w:fill="auto" w:val="clear"/>
            <w:vAlign w:val="center"/>
          </w:tcPr>
          <w:p>
            <w:pPr>
              <w:pStyle w:val="Normal"/>
              <w:jc w:val="center"/>
              <w:rPr>
                <w:rFonts w:eastAsia="" w:eastAsiaTheme="majorEastAsia"/>
                <w:b/>
                <w:b/>
                <w:bCs/>
                <w:sz w:val="26"/>
                <w:szCs w:val="26"/>
              </w:rPr>
            </w:pPr>
            <w:r>
              <w:rPr>
                <w:sz w:val="20"/>
                <w:szCs w:val="20"/>
              </w:rPr>
              <w:t>2076,78</w:t>
            </w:r>
          </w:p>
        </w:tc>
        <w:tc>
          <w:tcPr>
            <w:tcW w:w="1696" w:type="dxa"/>
            <w:tcBorders>
              <w:bottom w:val="single" w:sz="8" w:space="0" w:color="000000"/>
              <w:right w:val="single" w:sz="8" w:space="0" w:color="000000"/>
            </w:tcBorders>
            <w:shd w:color="auto" w:fill="auto" w:val="clear"/>
            <w:vAlign w:val="center"/>
          </w:tcPr>
          <w:p>
            <w:pPr>
              <w:pStyle w:val="Normal"/>
              <w:jc w:val="center"/>
              <w:rPr>
                <w:rFonts w:eastAsia="" w:eastAsiaTheme="majorEastAsia"/>
                <w:b/>
                <w:b/>
                <w:bCs/>
                <w:sz w:val="26"/>
                <w:szCs w:val="26"/>
              </w:rPr>
            </w:pPr>
            <w:r>
              <w:rPr>
                <w:bCs/>
                <w:sz w:val="20"/>
                <w:szCs w:val="20"/>
              </w:rPr>
              <w:t>1801,196</w:t>
            </w:r>
          </w:p>
        </w:tc>
        <w:tc>
          <w:tcPr>
            <w:tcW w:w="1486" w:type="dxa"/>
            <w:tcBorders>
              <w:bottom w:val="single" w:sz="8" w:space="0" w:color="000000"/>
              <w:right w:val="single" w:sz="8" w:space="0" w:color="000000"/>
            </w:tcBorders>
            <w:shd w:color="auto" w:fill="auto" w:val="clear"/>
            <w:vAlign w:val="center"/>
          </w:tcPr>
          <w:p>
            <w:pPr>
              <w:pStyle w:val="Normal"/>
              <w:jc w:val="center"/>
              <w:rPr>
                <w:rFonts w:eastAsia="" w:eastAsiaTheme="majorEastAsia"/>
                <w:b/>
                <w:b/>
                <w:bCs/>
                <w:sz w:val="26"/>
                <w:szCs w:val="26"/>
              </w:rPr>
            </w:pPr>
            <w:r>
              <w:rPr>
                <w:sz w:val="20"/>
                <w:szCs w:val="20"/>
              </w:rPr>
              <w:t>162,04</w:t>
            </w:r>
          </w:p>
        </w:tc>
        <w:tc>
          <w:tcPr>
            <w:tcW w:w="854" w:type="dxa"/>
            <w:tcBorders>
              <w:bottom w:val="single" w:sz="8" w:space="0" w:color="000000"/>
              <w:right w:val="single" w:sz="8" w:space="0" w:color="000000"/>
            </w:tcBorders>
            <w:shd w:color="auto" w:fill="auto" w:val="clear"/>
            <w:vAlign w:val="center"/>
          </w:tcPr>
          <w:p>
            <w:pPr>
              <w:pStyle w:val="Normal"/>
              <w:jc w:val="center"/>
              <w:rPr>
                <w:rFonts w:eastAsia="" w:eastAsiaTheme="majorEastAsia"/>
                <w:b/>
                <w:b/>
                <w:bCs/>
                <w:sz w:val="26"/>
                <w:szCs w:val="26"/>
              </w:rPr>
            </w:pPr>
            <w:r>
              <w:rPr>
                <w:sz w:val="20"/>
                <w:szCs w:val="20"/>
              </w:rPr>
              <w:t>88,16</w:t>
            </w:r>
          </w:p>
        </w:tc>
        <w:tc>
          <w:tcPr>
            <w:tcW w:w="1894" w:type="dxa"/>
            <w:tcBorders>
              <w:bottom w:val="single" w:sz="8" w:space="0" w:color="000000"/>
              <w:right w:val="single" w:sz="8" w:space="0" w:color="000000"/>
            </w:tcBorders>
            <w:shd w:color="auto" w:fill="auto" w:val="clear"/>
            <w:vAlign w:val="center"/>
          </w:tcPr>
          <w:p>
            <w:pPr>
              <w:pStyle w:val="Normal"/>
              <w:jc w:val="center"/>
              <w:rPr>
                <w:rFonts w:eastAsia="" w:eastAsiaTheme="majorEastAsia"/>
                <w:b/>
                <w:b/>
                <w:bCs/>
                <w:sz w:val="26"/>
                <w:szCs w:val="26"/>
              </w:rPr>
            </w:pPr>
            <w:r>
              <w:rPr>
                <w:sz w:val="20"/>
                <w:szCs w:val="20"/>
              </w:rPr>
              <w:t>0,304</w:t>
            </w:r>
          </w:p>
        </w:tc>
      </w:tr>
      <w:tr>
        <w:trPr/>
        <w:tc>
          <w:tcPr>
            <w:tcW w:w="635" w:type="dxa"/>
            <w:tcBorders>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7</w:t>
            </w:r>
          </w:p>
        </w:tc>
        <w:tc>
          <w:tcPr>
            <w:tcW w:w="1859" w:type="dxa"/>
            <w:tcBorders>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котельная № 8, пгт.Октябрьское, ул.50 лет, 38А</w:t>
            </w:r>
          </w:p>
        </w:tc>
        <w:tc>
          <w:tcPr>
            <w:tcW w:w="1876" w:type="dxa"/>
            <w:tcBorders>
              <w:bottom w:val="single" w:sz="8" w:space="0" w:color="000000"/>
              <w:right w:val="single" w:sz="8" w:space="0" w:color="000000"/>
            </w:tcBorders>
            <w:shd w:color="auto" w:fill="auto" w:val="clear"/>
            <w:vAlign w:val="center"/>
          </w:tcPr>
          <w:p>
            <w:pPr>
              <w:pStyle w:val="Normal"/>
              <w:jc w:val="center"/>
              <w:rPr>
                <w:rFonts w:eastAsia="" w:eastAsiaTheme="majorEastAsia"/>
                <w:b/>
                <w:b/>
                <w:bCs/>
                <w:sz w:val="26"/>
                <w:szCs w:val="26"/>
              </w:rPr>
            </w:pPr>
            <w:r>
              <w:rPr>
                <w:sz w:val="20"/>
                <w:szCs w:val="20"/>
              </w:rPr>
              <w:t>0,43</w:t>
            </w:r>
          </w:p>
        </w:tc>
        <w:tc>
          <w:tcPr>
            <w:tcW w:w="1520" w:type="dxa"/>
            <w:tcBorders>
              <w:left w:val="single" w:sz="4" w:space="0" w:color="000000"/>
              <w:bottom w:val="single" w:sz="4" w:space="0" w:color="000000"/>
              <w:right w:val="single" w:sz="4" w:space="0" w:color="000000"/>
            </w:tcBorders>
            <w:shd w:color="auto" w:fill="auto" w:val="clear"/>
            <w:vAlign w:val="center"/>
          </w:tcPr>
          <w:p>
            <w:pPr>
              <w:pStyle w:val="Normal"/>
              <w:jc w:val="center"/>
              <w:rPr>
                <w:rFonts w:eastAsia="" w:eastAsiaTheme="majorEastAsia"/>
                <w:b/>
                <w:b/>
                <w:bCs/>
                <w:sz w:val="26"/>
                <w:szCs w:val="26"/>
              </w:rPr>
            </w:pPr>
            <w:r>
              <w:rPr>
                <w:sz w:val="20"/>
                <w:szCs w:val="20"/>
              </w:rPr>
              <w:t>Природный газ</w:t>
            </w:r>
          </w:p>
        </w:tc>
        <w:tc>
          <w:tcPr>
            <w:tcW w:w="1390" w:type="dxa"/>
            <w:tcBorders>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r>
          </w:p>
        </w:tc>
        <w:tc>
          <w:tcPr>
            <w:tcW w:w="1358" w:type="dxa"/>
            <w:tcBorders>
              <w:bottom w:val="single" w:sz="8" w:space="0" w:color="000000"/>
              <w:right w:val="single" w:sz="8" w:space="0" w:color="000000"/>
            </w:tcBorders>
            <w:shd w:color="auto" w:fill="auto" w:val="clear"/>
            <w:vAlign w:val="center"/>
          </w:tcPr>
          <w:p>
            <w:pPr>
              <w:pStyle w:val="Normal"/>
              <w:jc w:val="center"/>
              <w:rPr>
                <w:rFonts w:eastAsia="" w:eastAsiaTheme="majorEastAsia"/>
                <w:b/>
                <w:b/>
                <w:bCs/>
                <w:sz w:val="26"/>
                <w:szCs w:val="26"/>
              </w:rPr>
            </w:pPr>
            <w:r>
              <w:rPr>
                <w:sz w:val="20"/>
                <w:szCs w:val="20"/>
              </w:rPr>
              <w:t>58,393</w:t>
            </w:r>
          </w:p>
        </w:tc>
        <w:tc>
          <w:tcPr>
            <w:tcW w:w="1696" w:type="dxa"/>
            <w:tcBorders>
              <w:bottom w:val="single" w:sz="8" w:space="0" w:color="000000"/>
              <w:right w:val="single" w:sz="8" w:space="0" w:color="000000"/>
            </w:tcBorders>
            <w:shd w:color="auto" w:fill="auto" w:val="clear"/>
            <w:vAlign w:val="center"/>
          </w:tcPr>
          <w:p>
            <w:pPr>
              <w:pStyle w:val="Normal"/>
              <w:jc w:val="center"/>
              <w:rPr>
                <w:rFonts w:eastAsia="" w:eastAsiaTheme="majorEastAsia"/>
                <w:b/>
                <w:b/>
                <w:bCs/>
                <w:sz w:val="26"/>
                <w:szCs w:val="26"/>
              </w:rPr>
            </w:pPr>
            <w:r>
              <w:rPr>
                <w:sz w:val="20"/>
                <w:szCs w:val="20"/>
              </w:rPr>
              <w:t>50,644</w:t>
            </w:r>
          </w:p>
        </w:tc>
        <w:tc>
          <w:tcPr>
            <w:tcW w:w="1486" w:type="dxa"/>
            <w:tcBorders>
              <w:bottom w:val="single" w:sz="8" w:space="0" w:color="000000"/>
              <w:right w:val="single" w:sz="8" w:space="0" w:color="000000"/>
            </w:tcBorders>
            <w:shd w:color="auto" w:fill="auto" w:val="clear"/>
            <w:vAlign w:val="center"/>
          </w:tcPr>
          <w:p>
            <w:pPr>
              <w:pStyle w:val="Normal"/>
              <w:jc w:val="center"/>
              <w:rPr>
                <w:rFonts w:eastAsia="" w:eastAsiaTheme="majorEastAsia"/>
                <w:b/>
                <w:b/>
                <w:bCs/>
                <w:sz w:val="26"/>
                <w:szCs w:val="26"/>
              </w:rPr>
            </w:pPr>
            <w:r>
              <w:rPr>
                <w:sz w:val="20"/>
                <w:szCs w:val="20"/>
              </w:rPr>
              <w:t>170,49</w:t>
            </w:r>
          </w:p>
        </w:tc>
        <w:tc>
          <w:tcPr>
            <w:tcW w:w="854" w:type="dxa"/>
            <w:tcBorders>
              <w:bottom w:val="single" w:sz="8" w:space="0" w:color="000000"/>
              <w:right w:val="single" w:sz="8" w:space="0" w:color="000000"/>
            </w:tcBorders>
            <w:shd w:color="auto" w:fill="auto" w:val="clear"/>
            <w:vAlign w:val="center"/>
          </w:tcPr>
          <w:p>
            <w:pPr>
              <w:pStyle w:val="Normal"/>
              <w:jc w:val="center"/>
              <w:rPr>
                <w:rFonts w:eastAsia="" w:eastAsiaTheme="majorEastAsia"/>
                <w:b/>
                <w:b/>
                <w:bCs/>
                <w:sz w:val="26"/>
                <w:szCs w:val="26"/>
              </w:rPr>
            </w:pPr>
            <w:r>
              <w:rPr>
                <w:sz w:val="20"/>
                <w:szCs w:val="20"/>
              </w:rPr>
              <w:t>83,79</w:t>
            </w:r>
          </w:p>
        </w:tc>
        <w:tc>
          <w:tcPr>
            <w:tcW w:w="1894" w:type="dxa"/>
            <w:tcBorders>
              <w:bottom w:val="single" w:sz="8" w:space="0" w:color="000000"/>
              <w:right w:val="single" w:sz="8" w:space="0" w:color="000000"/>
            </w:tcBorders>
            <w:shd w:color="auto" w:fill="auto" w:val="clear"/>
            <w:vAlign w:val="center"/>
          </w:tcPr>
          <w:p>
            <w:pPr>
              <w:pStyle w:val="Normal"/>
              <w:jc w:val="center"/>
              <w:rPr>
                <w:rFonts w:eastAsia="" w:eastAsiaTheme="majorEastAsia"/>
                <w:b/>
                <w:b/>
                <w:bCs/>
                <w:sz w:val="26"/>
                <w:szCs w:val="26"/>
              </w:rPr>
            </w:pPr>
            <w:r>
              <w:rPr>
                <w:sz w:val="20"/>
                <w:szCs w:val="20"/>
              </w:rPr>
              <w:t>0,009</w:t>
            </w:r>
          </w:p>
        </w:tc>
      </w:tr>
    </w:tbl>
    <w:p>
      <w:pPr>
        <w:pStyle w:val="Normal"/>
        <w:jc w:val="right"/>
        <w:rPr>
          <w:rFonts w:eastAsia="Calibri" w:cs="Calibri"/>
          <w:szCs w:val="22"/>
          <w:lang w:eastAsia="en-US"/>
        </w:rPr>
      </w:pPr>
      <w:r>
        <w:rPr>
          <w:rFonts w:eastAsia="Calibri" w:cs="Calibri"/>
          <w:szCs w:val="22"/>
          <w:lang w:eastAsia="en-US"/>
        </w:rPr>
      </w:r>
    </w:p>
    <w:p>
      <w:pPr>
        <w:pStyle w:val="Normal"/>
        <w:jc w:val="right"/>
        <w:rPr>
          <w:rFonts w:eastAsia="Calibri" w:cs="Calibri"/>
          <w:szCs w:val="22"/>
          <w:lang w:eastAsia="en-US"/>
        </w:rPr>
      </w:pPr>
      <w:r>
        <w:rPr>
          <w:rFonts w:eastAsia="Calibri" w:cs="Calibri"/>
          <w:szCs w:val="22"/>
          <w:lang w:eastAsia="en-US"/>
        </w:rPr>
        <w:t>Таблица 10 – Максимально часовые и годовые расходы основного вида топлива источниками тепловой энергии с учетом реализации мероприятий по источникам и сетям (перспективное положение)</w:t>
      </w:r>
    </w:p>
    <w:tbl>
      <w:tblPr>
        <w:tblW w:w="5000" w:type="pct"/>
        <w:jc w:val="left"/>
        <w:tblInd w:w="0" w:type="dxa"/>
        <w:tblCellMar>
          <w:top w:w="0" w:type="dxa"/>
          <w:left w:w="5" w:type="dxa"/>
          <w:bottom w:w="0" w:type="dxa"/>
          <w:right w:w="5" w:type="dxa"/>
        </w:tblCellMar>
        <w:tblLook w:val="04a0" w:noVBand="1" w:noHBand="0" w:lastColumn="0" w:firstColumn="1" w:lastRow="0" w:firstRow="1"/>
      </w:tblPr>
      <w:tblGrid>
        <w:gridCol w:w="441"/>
        <w:gridCol w:w="1786"/>
        <w:gridCol w:w="1266"/>
        <w:gridCol w:w="1786"/>
        <w:gridCol w:w="1373"/>
        <w:gridCol w:w="1145"/>
        <w:gridCol w:w="93"/>
        <w:gridCol w:w="1144"/>
        <w:gridCol w:w="80"/>
        <w:gridCol w:w="1661"/>
        <w:gridCol w:w="1269"/>
        <w:gridCol w:w="711"/>
        <w:gridCol w:w="1813"/>
      </w:tblGrid>
      <w:tr>
        <w:trPr>
          <w:tblHeader w:val="true"/>
          <w:trHeight w:val="20" w:hRule="atLeast"/>
        </w:trPr>
        <w:tc>
          <w:tcPr>
            <w:tcW w:w="44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xml:space="preserve">№ </w:t>
            </w:r>
            <w:r>
              <w:rPr>
                <w:sz w:val="20"/>
                <w:szCs w:val="20"/>
                <w:lang w:eastAsia="ru-RU"/>
              </w:rPr>
              <w:t xml:space="preserve">п/п </w:t>
            </w:r>
          </w:p>
        </w:tc>
        <w:tc>
          <w:tcPr>
            <w:tcW w:w="178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Наименование и адрес котельной</w:t>
            </w:r>
          </w:p>
        </w:tc>
        <w:tc>
          <w:tcPr>
            <w:tcW w:w="12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Год</w:t>
            </w:r>
          </w:p>
        </w:tc>
        <w:tc>
          <w:tcPr>
            <w:tcW w:w="178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Установленная мощность, Гкал/ч</w:t>
            </w:r>
          </w:p>
        </w:tc>
        <w:tc>
          <w:tcPr>
            <w:tcW w:w="137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Основное топливо</w:t>
            </w:r>
          </w:p>
        </w:tc>
        <w:tc>
          <w:tcPr>
            <w:tcW w:w="1238"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Резервное топливо</w:t>
            </w:r>
          </w:p>
        </w:tc>
        <w:tc>
          <w:tcPr>
            <w:tcW w:w="1224"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Годовой расход условного топлива, т.у.т.</w:t>
            </w:r>
          </w:p>
        </w:tc>
        <w:tc>
          <w:tcPr>
            <w:tcW w:w="16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Годовой расход натурального топлива (т.н.т)</w:t>
            </w:r>
          </w:p>
        </w:tc>
        <w:tc>
          <w:tcPr>
            <w:tcW w:w="12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Удельный расход условного топлива на выработку тепло кг.у.т./Гкал</w:t>
            </w:r>
          </w:p>
        </w:tc>
        <w:tc>
          <w:tcPr>
            <w:tcW w:w="71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КПД, %</w:t>
            </w:r>
          </w:p>
        </w:tc>
        <w:tc>
          <w:tcPr>
            <w:tcW w:w="181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Максимальный часовой расход топлива, т.н.т/ч, тыс.м3/ч</w:t>
            </w:r>
          </w:p>
        </w:tc>
      </w:tr>
      <w:tr>
        <w:trPr>
          <w:trHeight w:val="362" w:hRule="atLeast"/>
        </w:trPr>
        <w:tc>
          <w:tcPr>
            <w:tcW w:w="14568" w:type="dxa"/>
            <w:gridSpan w:val="1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городское поселение Октябрьское</w:t>
            </w:r>
          </w:p>
        </w:tc>
      </w:tr>
      <w:tr>
        <w:trPr>
          <w:trHeight w:val="362" w:hRule="atLeast"/>
        </w:trPr>
        <w:tc>
          <w:tcPr>
            <w:tcW w:w="441"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w:t>
            </w:r>
          </w:p>
        </w:tc>
        <w:tc>
          <w:tcPr>
            <w:tcW w:w="1786"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котельная № 1, пгт.Октябрьское, ул.Сенькина, 46б</w:t>
            </w:r>
          </w:p>
        </w:tc>
        <w:tc>
          <w:tcPr>
            <w:tcW w:w="12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6"/>
                <w:szCs w:val="26"/>
              </w:rPr>
            </w:pPr>
            <w:r>
              <w:rPr>
                <w:sz w:val="20"/>
                <w:szCs w:val="20"/>
                <w:lang w:eastAsia="ru-RU"/>
              </w:rPr>
              <w:t>2024</w:t>
            </w:r>
          </w:p>
        </w:tc>
        <w:tc>
          <w:tcPr>
            <w:tcW w:w="178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6"/>
                <w:szCs w:val="26"/>
              </w:rPr>
            </w:pPr>
            <w:r>
              <w:rPr>
                <w:sz w:val="20"/>
                <w:szCs w:val="20"/>
              </w:rPr>
              <w:t>10,66</w:t>
            </w:r>
          </w:p>
        </w:tc>
        <w:tc>
          <w:tcPr>
            <w:tcW w:w="137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6"/>
                <w:szCs w:val="26"/>
              </w:rPr>
            </w:pPr>
            <w:r>
              <w:rPr>
                <w:sz w:val="20"/>
                <w:szCs w:val="20"/>
              </w:rPr>
              <w:t>Природный газ</w:t>
            </w:r>
          </w:p>
        </w:tc>
        <w:tc>
          <w:tcPr>
            <w:tcW w:w="1238"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6"/>
                <w:szCs w:val="26"/>
              </w:rPr>
            </w:pPr>
            <w:r>
              <w:rPr>
                <w:sz w:val="20"/>
                <w:szCs w:val="20"/>
              </w:rPr>
              <w:t>дизельное топливо</w:t>
            </w:r>
          </w:p>
        </w:tc>
        <w:tc>
          <w:tcPr>
            <w:tcW w:w="1224"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6"/>
                <w:szCs w:val="26"/>
              </w:rPr>
            </w:pPr>
            <w:r>
              <w:rPr>
                <w:sz w:val="20"/>
                <w:szCs w:val="20"/>
              </w:rPr>
              <w:t>2013,897</w:t>
            </w:r>
          </w:p>
        </w:tc>
        <w:tc>
          <w:tcPr>
            <w:tcW w:w="16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6"/>
                <w:szCs w:val="26"/>
              </w:rPr>
            </w:pPr>
            <w:r>
              <w:rPr>
                <w:bCs/>
                <w:sz w:val="20"/>
                <w:szCs w:val="20"/>
              </w:rPr>
              <w:t>1746,658</w:t>
            </w:r>
          </w:p>
        </w:tc>
        <w:tc>
          <w:tcPr>
            <w:tcW w:w="12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6"/>
                <w:szCs w:val="26"/>
              </w:rPr>
            </w:pPr>
            <w:r>
              <w:rPr>
                <w:sz w:val="20"/>
                <w:szCs w:val="20"/>
              </w:rPr>
              <w:t>154,44</w:t>
            </w:r>
          </w:p>
        </w:tc>
        <w:tc>
          <w:tcPr>
            <w:tcW w:w="71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6"/>
                <w:szCs w:val="26"/>
              </w:rPr>
            </w:pPr>
            <w:r>
              <w:rPr>
                <w:sz w:val="20"/>
                <w:szCs w:val="20"/>
              </w:rPr>
              <w:t>92,50</w:t>
            </w:r>
          </w:p>
        </w:tc>
        <w:tc>
          <w:tcPr>
            <w:tcW w:w="181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6"/>
                <w:szCs w:val="26"/>
              </w:rPr>
            </w:pPr>
            <w:r>
              <w:rPr>
                <w:sz w:val="20"/>
                <w:szCs w:val="20"/>
              </w:rPr>
              <w:t>0,295</w:t>
            </w:r>
          </w:p>
        </w:tc>
      </w:tr>
      <w:tr>
        <w:trPr>
          <w:trHeight w:val="20" w:hRule="atLeast"/>
        </w:trPr>
        <w:tc>
          <w:tcPr>
            <w:tcW w:w="44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sz w:val="20"/>
                <w:szCs w:val="20"/>
                <w:lang w:eastAsia="ru-RU"/>
              </w:rPr>
            </w:pPr>
            <w:r>
              <w:rPr>
                <w:sz w:val="20"/>
                <w:szCs w:val="20"/>
                <w:lang w:eastAsia="ru-RU"/>
              </w:rPr>
            </w:r>
          </w:p>
        </w:tc>
        <w:tc>
          <w:tcPr>
            <w:tcW w:w="178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sz w:val="20"/>
                <w:szCs w:val="20"/>
                <w:lang w:eastAsia="ru-RU"/>
              </w:rPr>
            </w:pPr>
            <w:r>
              <w:rPr>
                <w:sz w:val="20"/>
                <w:szCs w:val="20"/>
                <w:lang w:eastAsia="ru-RU"/>
              </w:rPr>
            </w:r>
          </w:p>
        </w:tc>
        <w:tc>
          <w:tcPr>
            <w:tcW w:w="12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6"/>
                <w:szCs w:val="26"/>
              </w:rPr>
            </w:pPr>
            <w:r>
              <w:rPr>
                <w:sz w:val="20"/>
                <w:szCs w:val="20"/>
                <w:lang w:eastAsia="ru-RU"/>
              </w:rPr>
              <w:t>2025</w:t>
            </w:r>
          </w:p>
        </w:tc>
        <w:tc>
          <w:tcPr>
            <w:tcW w:w="178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6"/>
                <w:szCs w:val="26"/>
              </w:rPr>
            </w:pPr>
            <w:r>
              <w:rPr>
                <w:sz w:val="20"/>
                <w:szCs w:val="20"/>
              </w:rPr>
              <w:t>10,66</w:t>
            </w:r>
          </w:p>
        </w:tc>
        <w:tc>
          <w:tcPr>
            <w:tcW w:w="137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6"/>
                <w:szCs w:val="26"/>
              </w:rPr>
            </w:pPr>
            <w:r>
              <w:rPr>
                <w:sz w:val="20"/>
                <w:szCs w:val="20"/>
              </w:rPr>
              <w:t>Природный газ</w:t>
            </w:r>
          </w:p>
        </w:tc>
        <w:tc>
          <w:tcPr>
            <w:tcW w:w="1238"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6"/>
                <w:szCs w:val="26"/>
              </w:rPr>
            </w:pPr>
            <w:r>
              <w:rPr>
                <w:sz w:val="20"/>
                <w:szCs w:val="20"/>
              </w:rPr>
              <w:t>дизельное топливо</w:t>
            </w:r>
          </w:p>
        </w:tc>
        <w:tc>
          <w:tcPr>
            <w:tcW w:w="1224"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6"/>
                <w:szCs w:val="26"/>
              </w:rPr>
            </w:pPr>
            <w:r>
              <w:rPr>
                <w:sz w:val="20"/>
                <w:szCs w:val="20"/>
              </w:rPr>
              <w:t>2013,897</w:t>
            </w:r>
          </w:p>
        </w:tc>
        <w:tc>
          <w:tcPr>
            <w:tcW w:w="16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6"/>
                <w:szCs w:val="26"/>
              </w:rPr>
            </w:pPr>
            <w:r>
              <w:rPr>
                <w:bCs/>
                <w:sz w:val="20"/>
                <w:szCs w:val="20"/>
              </w:rPr>
              <w:t>1746,658</w:t>
            </w:r>
          </w:p>
        </w:tc>
        <w:tc>
          <w:tcPr>
            <w:tcW w:w="12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6"/>
                <w:szCs w:val="26"/>
              </w:rPr>
            </w:pPr>
            <w:r>
              <w:rPr>
                <w:sz w:val="20"/>
                <w:szCs w:val="20"/>
              </w:rPr>
              <w:t>154,44</w:t>
            </w:r>
          </w:p>
        </w:tc>
        <w:tc>
          <w:tcPr>
            <w:tcW w:w="71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6"/>
                <w:szCs w:val="26"/>
              </w:rPr>
            </w:pPr>
            <w:r>
              <w:rPr>
                <w:sz w:val="20"/>
                <w:szCs w:val="20"/>
              </w:rPr>
              <w:t>92,50</w:t>
            </w:r>
          </w:p>
        </w:tc>
        <w:tc>
          <w:tcPr>
            <w:tcW w:w="181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6"/>
                <w:szCs w:val="26"/>
              </w:rPr>
            </w:pPr>
            <w:r>
              <w:rPr>
                <w:sz w:val="20"/>
                <w:szCs w:val="20"/>
              </w:rPr>
              <w:t>0,295</w:t>
            </w:r>
          </w:p>
        </w:tc>
      </w:tr>
      <w:tr>
        <w:trPr>
          <w:trHeight w:val="20" w:hRule="atLeast"/>
        </w:trPr>
        <w:tc>
          <w:tcPr>
            <w:tcW w:w="44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sz w:val="20"/>
                <w:szCs w:val="20"/>
                <w:lang w:eastAsia="ru-RU"/>
              </w:rPr>
            </w:pPr>
            <w:r>
              <w:rPr>
                <w:sz w:val="20"/>
                <w:szCs w:val="20"/>
                <w:lang w:eastAsia="ru-RU"/>
              </w:rPr>
            </w:r>
          </w:p>
        </w:tc>
        <w:tc>
          <w:tcPr>
            <w:tcW w:w="178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sz w:val="20"/>
                <w:szCs w:val="20"/>
                <w:lang w:eastAsia="ru-RU"/>
              </w:rPr>
            </w:pPr>
            <w:r>
              <w:rPr>
                <w:sz w:val="20"/>
                <w:szCs w:val="20"/>
                <w:lang w:eastAsia="ru-RU"/>
              </w:rPr>
            </w:r>
          </w:p>
        </w:tc>
        <w:tc>
          <w:tcPr>
            <w:tcW w:w="12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6"/>
                <w:szCs w:val="26"/>
              </w:rPr>
            </w:pPr>
            <w:r>
              <w:rPr>
                <w:sz w:val="20"/>
                <w:szCs w:val="20"/>
                <w:lang w:eastAsia="ru-RU"/>
              </w:rPr>
              <w:t>2026</w:t>
            </w:r>
          </w:p>
        </w:tc>
        <w:tc>
          <w:tcPr>
            <w:tcW w:w="178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6"/>
                <w:szCs w:val="26"/>
              </w:rPr>
            </w:pPr>
            <w:r>
              <w:rPr>
                <w:sz w:val="20"/>
                <w:szCs w:val="20"/>
              </w:rPr>
              <w:t>10,66</w:t>
            </w:r>
          </w:p>
        </w:tc>
        <w:tc>
          <w:tcPr>
            <w:tcW w:w="137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6"/>
                <w:szCs w:val="26"/>
              </w:rPr>
            </w:pPr>
            <w:r>
              <w:rPr>
                <w:sz w:val="20"/>
                <w:szCs w:val="20"/>
              </w:rPr>
              <w:t>Природный газ</w:t>
            </w:r>
          </w:p>
        </w:tc>
        <w:tc>
          <w:tcPr>
            <w:tcW w:w="1238"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6"/>
                <w:szCs w:val="26"/>
              </w:rPr>
            </w:pPr>
            <w:r>
              <w:rPr>
                <w:sz w:val="20"/>
                <w:szCs w:val="20"/>
              </w:rPr>
              <w:t>дизельное топливо</w:t>
            </w:r>
          </w:p>
        </w:tc>
        <w:tc>
          <w:tcPr>
            <w:tcW w:w="1224"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6"/>
                <w:szCs w:val="26"/>
              </w:rPr>
            </w:pPr>
            <w:r>
              <w:rPr>
                <w:sz w:val="20"/>
                <w:szCs w:val="20"/>
              </w:rPr>
              <w:t>2013,897</w:t>
            </w:r>
          </w:p>
        </w:tc>
        <w:tc>
          <w:tcPr>
            <w:tcW w:w="16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6"/>
                <w:szCs w:val="26"/>
              </w:rPr>
            </w:pPr>
            <w:r>
              <w:rPr>
                <w:bCs/>
                <w:sz w:val="20"/>
                <w:szCs w:val="20"/>
              </w:rPr>
              <w:t>1746,658</w:t>
            </w:r>
          </w:p>
        </w:tc>
        <w:tc>
          <w:tcPr>
            <w:tcW w:w="12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6"/>
                <w:szCs w:val="26"/>
              </w:rPr>
            </w:pPr>
            <w:r>
              <w:rPr>
                <w:sz w:val="20"/>
                <w:szCs w:val="20"/>
              </w:rPr>
              <w:t>154,44</w:t>
            </w:r>
          </w:p>
        </w:tc>
        <w:tc>
          <w:tcPr>
            <w:tcW w:w="71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6"/>
                <w:szCs w:val="26"/>
              </w:rPr>
            </w:pPr>
            <w:r>
              <w:rPr>
                <w:sz w:val="20"/>
                <w:szCs w:val="20"/>
              </w:rPr>
              <w:t>92,50</w:t>
            </w:r>
          </w:p>
        </w:tc>
        <w:tc>
          <w:tcPr>
            <w:tcW w:w="181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6"/>
                <w:szCs w:val="26"/>
              </w:rPr>
            </w:pPr>
            <w:r>
              <w:rPr>
                <w:sz w:val="20"/>
                <w:szCs w:val="20"/>
              </w:rPr>
              <w:t>0,295</w:t>
            </w:r>
          </w:p>
        </w:tc>
      </w:tr>
      <w:tr>
        <w:trPr>
          <w:trHeight w:val="20" w:hRule="atLeast"/>
        </w:trPr>
        <w:tc>
          <w:tcPr>
            <w:tcW w:w="44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sz w:val="20"/>
                <w:szCs w:val="20"/>
                <w:lang w:eastAsia="ru-RU"/>
              </w:rPr>
            </w:pPr>
            <w:r>
              <w:rPr>
                <w:sz w:val="20"/>
                <w:szCs w:val="20"/>
                <w:lang w:eastAsia="ru-RU"/>
              </w:rPr>
            </w:r>
          </w:p>
        </w:tc>
        <w:tc>
          <w:tcPr>
            <w:tcW w:w="178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sz w:val="20"/>
                <w:szCs w:val="20"/>
                <w:lang w:eastAsia="ru-RU"/>
              </w:rPr>
            </w:pPr>
            <w:r>
              <w:rPr>
                <w:sz w:val="20"/>
                <w:szCs w:val="20"/>
                <w:lang w:eastAsia="ru-RU"/>
              </w:rPr>
            </w:r>
          </w:p>
        </w:tc>
        <w:tc>
          <w:tcPr>
            <w:tcW w:w="12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6"/>
                <w:szCs w:val="26"/>
              </w:rPr>
            </w:pPr>
            <w:r>
              <w:rPr>
                <w:sz w:val="20"/>
                <w:szCs w:val="20"/>
                <w:lang w:eastAsia="ru-RU"/>
              </w:rPr>
              <w:t>2027</w:t>
            </w:r>
          </w:p>
        </w:tc>
        <w:tc>
          <w:tcPr>
            <w:tcW w:w="178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6"/>
                <w:szCs w:val="26"/>
              </w:rPr>
            </w:pPr>
            <w:r>
              <w:rPr>
                <w:sz w:val="20"/>
                <w:szCs w:val="20"/>
              </w:rPr>
              <w:t>10,66</w:t>
            </w:r>
          </w:p>
        </w:tc>
        <w:tc>
          <w:tcPr>
            <w:tcW w:w="137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6"/>
                <w:szCs w:val="26"/>
              </w:rPr>
            </w:pPr>
            <w:r>
              <w:rPr>
                <w:sz w:val="20"/>
                <w:szCs w:val="20"/>
              </w:rPr>
              <w:t>Природный газ</w:t>
            </w:r>
          </w:p>
        </w:tc>
        <w:tc>
          <w:tcPr>
            <w:tcW w:w="1238"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6"/>
                <w:szCs w:val="26"/>
              </w:rPr>
            </w:pPr>
            <w:r>
              <w:rPr>
                <w:sz w:val="20"/>
                <w:szCs w:val="20"/>
              </w:rPr>
              <w:t>Дизельное топливо</w:t>
            </w:r>
          </w:p>
        </w:tc>
        <w:tc>
          <w:tcPr>
            <w:tcW w:w="1224"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6"/>
                <w:szCs w:val="26"/>
              </w:rPr>
            </w:pPr>
            <w:r>
              <w:rPr>
                <w:sz w:val="20"/>
                <w:szCs w:val="20"/>
              </w:rPr>
              <w:t>2013,897</w:t>
            </w:r>
          </w:p>
        </w:tc>
        <w:tc>
          <w:tcPr>
            <w:tcW w:w="16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6"/>
                <w:szCs w:val="26"/>
              </w:rPr>
            </w:pPr>
            <w:r>
              <w:rPr>
                <w:bCs/>
                <w:sz w:val="20"/>
                <w:szCs w:val="20"/>
              </w:rPr>
              <w:t>1746,658</w:t>
            </w:r>
          </w:p>
        </w:tc>
        <w:tc>
          <w:tcPr>
            <w:tcW w:w="12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6"/>
                <w:szCs w:val="26"/>
              </w:rPr>
            </w:pPr>
            <w:r>
              <w:rPr>
                <w:sz w:val="20"/>
                <w:szCs w:val="20"/>
              </w:rPr>
              <w:t>154,44</w:t>
            </w:r>
          </w:p>
        </w:tc>
        <w:tc>
          <w:tcPr>
            <w:tcW w:w="71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6"/>
                <w:szCs w:val="26"/>
              </w:rPr>
            </w:pPr>
            <w:r>
              <w:rPr>
                <w:sz w:val="20"/>
                <w:szCs w:val="20"/>
              </w:rPr>
              <w:t>92,50</w:t>
            </w:r>
          </w:p>
        </w:tc>
        <w:tc>
          <w:tcPr>
            <w:tcW w:w="181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6"/>
                <w:szCs w:val="26"/>
              </w:rPr>
            </w:pPr>
            <w:r>
              <w:rPr>
                <w:sz w:val="20"/>
                <w:szCs w:val="20"/>
              </w:rPr>
              <w:t>0,295</w:t>
            </w:r>
          </w:p>
        </w:tc>
      </w:tr>
      <w:tr>
        <w:trPr>
          <w:trHeight w:val="20" w:hRule="atLeast"/>
        </w:trPr>
        <w:tc>
          <w:tcPr>
            <w:tcW w:w="44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sz w:val="20"/>
                <w:szCs w:val="20"/>
                <w:lang w:eastAsia="ru-RU"/>
              </w:rPr>
            </w:pPr>
            <w:r>
              <w:rPr>
                <w:sz w:val="20"/>
                <w:szCs w:val="20"/>
                <w:lang w:eastAsia="ru-RU"/>
              </w:rPr>
            </w:r>
          </w:p>
        </w:tc>
        <w:tc>
          <w:tcPr>
            <w:tcW w:w="178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sz w:val="20"/>
                <w:szCs w:val="20"/>
                <w:lang w:eastAsia="ru-RU"/>
              </w:rPr>
            </w:pPr>
            <w:r>
              <w:rPr>
                <w:sz w:val="20"/>
                <w:szCs w:val="20"/>
                <w:lang w:eastAsia="ru-RU"/>
              </w:rPr>
            </w:r>
          </w:p>
        </w:tc>
        <w:tc>
          <w:tcPr>
            <w:tcW w:w="12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6"/>
                <w:szCs w:val="26"/>
              </w:rPr>
            </w:pPr>
            <w:r>
              <w:rPr>
                <w:sz w:val="20"/>
                <w:szCs w:val="20"/>
                <w:lang w:eastAsia="ru-RU"/>
              </w:rPr>
              <w:t>2028</w:t>
            </w:r>
          </w:p>
        </w:tc>
        <w:tc>
          <w:tcPr>
            <w:tcW w:w="178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6"/>
                <w:szCs w:val="26"/>
              </w:rPr>
            </w:pPr>
            <w:r>
              <w:rPr>
                <w:sz w:val="20"/>
                <w:szCs w:val="20"/>
              </w:rPr>
              <w:t>10,66</w:t>
            </w:r>
          </w:p>
        </w:tc>
        <w:tc>
          <w:tcPr>
            <w:tcW w:w="137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6"/>
                <w:szCs w:val="26"/>
              </w:rPr>
            </w:pPr>
            <w:r>
              <w:rPr>
                <w:sz w:val="20"/>
                <w:szCs w:val="20"/>
              </w:rPr>
              <w:t>Природный газ</w:t>
            </w:r>
          </w:p>
        </w:tc>
        <w:tc>
          <w:tcPr>
            <w:tcW w:w="1238"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6"/>
                <w:szCs w:val="26"/>
              </w:rPr>
            </w:pPr>
            <w:r>
              <w:rPr>
                <w:sz w:val="20"/>
                <w:szCs w:val="20"/>
              </w:rPr>
              <w:t>Дизельное топливо</w:t>
            </w:r>
          </w:p>
        </w:tc>
        <w:tc>
          <w:tcPr>
            <w:tcW w:w="1224"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6"/>
                <w:szCs w:val="26"/>
              </w:rPr>
            </w:pPr>
            <w:r>
              <w:rPr>
                <w:sz w:val="20"/>
                <w:szCs w:val="20"/>
              </w:rPr>
              <w:t>2013,897</w:t>
            </w:r>
          </w:p>
        </w:tc>
        <w:tc>
          <w:tcPr>
            <w:tcW w:w="16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6"/>
                <w:szCs w:val="26"/>
              </w:rPr>
            </w:pPr>
            <w:r>
              <w:rPr>
                <w:bCs/>
                <w:sz w:val="20"/>
                <w:szCs w:val="20"/>
              </w:rPr>
              <w:t>1746,658</w:t>
            </w:r>
          </w:p>
        </w:tc>
        <w:tc>
          <w:tcPr>
            <w:tcW w:w="12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6"/>
                <w:szCs w:val="26"/>
              </w:rPr>
            </w:pPr>
            <w:r>
              <w:rPr>
                <w:sz w:val="20"/>
                <w:szCs w:val="20"/>
              </w:rPr>
              <w:t>154,44</w:t>
            </w:r>
          </w:p>
        </w:tc>
        <w:tc>
          <w:tcPr>
            <w:tcW w:w="71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6"/>
                <w:szCs w:val="26"/>
              </w:rPr>
            </w:pPr>
            <w:r>
              <w:rPr>
                <w:sz w:val="20"/>
                <w:szCs w:val="20"/>
              </w:rPr>
              <w:t>92,50</w:t>
            </w:r>
          </w:p>
        </w:tc>
        <w:tc>
          <w:tcPr>
            <w:tcW w:w="181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6"/>
                <w:szCs w:val="26"/>
              </w:rPr>
            </w:pPr>
            <w:r>
              <w:rPr>
                <w:sz w:val="20"/>
                <w:szCs w:val="20"/>
              </w:rPr>
              <w:t>0,295</w:t>
            </w:r>
          </w:p>
        </w:tc>
      </w:tr>
      <w:tr>
        <w:trPr>
          <w:trHeight w:val="20" w:hRule="atLeast"/>
        </w:trPr>
        <w:tc>
          <w:tcPr>
            <w:tcW w:w="44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sz w:val="20"/>
                <w:szCs w:val="20"/>
                <w:lang w:eastAsia="ru-RU"/>
              </w:rPr>
            </w:pPr>
            <w:r>
              <w:rPr>
                <w:sz w:val="20"/>
                <w:szCs w:val="20"/>
                <w:lang w:eastAsia="ru-RU"/>
              </w:rPr>
            </w:r>
          </w:p>
        </w:tc>
        <w:tc>
          <w:tcPr>
            <w:tcW w:w="178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sz w:val="20"/>
                <w:szCs w:val="20"/>
                <w:lang w:eastAsia="ru-RU"/>
              </w:rPr>
            </w:pPr>
            <w:r>
              <w:rPr>
                <w:sz w:val="20"/>
                <w:szCs w:val="20"/>
                <w:lang w:eastAsia="ru-RU"/>
              </w:rPr>
            </w:r>
          </w:p>
        </w:tc>
        <w:tc>
          <w:tcPr>
            <w:tcW w:w="12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6"/>
                <w:szCs w:val="26"/>
              </w:rPr>
            </w:pPr>
            <w:r>
              <w:rPr>
                <w:sz w:val="20"/>
                <w:szCs w:val="20"/>
                <w:lang w:eastAsia="ru-RU"/>
              </w:rPr>
              <w:t>2029-2032</w:t>
            </w:r>
          </w:p>
        </w:tc>
        <w:tc>
          <w:tcPr>
            <w:tcW w:w="178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6"/>
                <w:szCs w:val="26"/>
              </w:rPr>
            </w:pPr>
            <w:r>
              <w:rPr>
                <w:sz w:val="20"/>
                <w:szCs w:val="20"/>
              </w:rPr>
              <w:t>10,66</w:t>
            </w:r>
          </w:p>
        </w:tc>
        <w:tc>
          <w:tcPr>
            <w:tcW w:w="137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6"/>
                <w:szCs w:val="26"/>
              </w:rPr>
            </w:pPr>
            <w:r>
              <w:rPr>
                <w:sz w:val="20"/>
                <w:szCs w:val="20"/>
              </w:rPr>
              <w:t>Природный газ</w:t>
            </w:r>
          </w:p>
        </w:tc>
        <w:tc>
          <w:tcPr>
            <w:tcW w:w="1238"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6"/>
                <w:szCs w:val="26"/>
              </w:rPr>
            </w:pPr>
            <w:r>
              <w:rPr>
                <w:sz w:val="20"/>
                <w:szCs w:val="20"/>
              </w:rPr>
              <w:t>Дизельное топливо</w:t>
            </w:r>
          </w:p>
        </w:tc>
        <w:tc>
          <w:tcPr>
            <w:tcW w:w="1224"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6"/>
                <w:szCs w:val="26"/>
              </w:rPr>
            </w:pPr>
            <w:r>
              <w:rPr>
                <w:sz w:val="20"/>
                <w:szCs w:val="20"/>
              </w:rPr>
              <w:t>2013,897</w:t>
            </w:r>
          </w:p>
        </w:tc>
        <w:tc>
          <w:tcPr>
            <w:tcW w:w="16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6"/>
                <w:szCs w:val="26"/>
              </w:rPr>
            </w:pPr>
            <w:r>
              <w:rPr>
                <w:bCs/>
                <w:sz w:val="20"/>
                <w:szCs w:val="20"/>
              </w:rPr>
              <w:t>1746,658</w:t>
            </w:r>
          </w:p>
        </w:tc>
        <w:tc>
          <w:tcPr>
            <w:tcW w:w="12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6"/>
                <w:szCs w:val="26"/>
              </w:rPr>
            </w:pPr>
            <w:r>
              <w:rPr>
                <w:sz w:val="20"/>
                <w:szCs w:val="20"/>
              </w:rPr>
              <w:t>154,44</w:t>
            </w:r>
          </w:p>
        </w:tc>
        <w:tc>
          <w:tcPr>
            <w:tcW w:w="71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6"/>
                <w:szCs w:val="26"/>
              </w:rPr>
            </w:pPr>
            <w:r>
              <w:rPr>
                <w:sz w:val="20"/>
                <w:szCs w:val="20"/>
              </w:rPr>
              <w:t>92,50</w:t>
            </w:r>
          </w:p>
        </w:tc>
        <w:tc>
          <w:tcPr>
            <w:tcW w:w="181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6"/>
                <w:szCs w:val="26"/>
              </w:rPr>
            </w:pPr>
            <w:r>
              <w:rPr>
                <w:sz w:val="20"/>
                <w:szCs w:val="20"/>
              </w:rPr>
              <w:t>0,295</w:t>
            </w:r>
          </w:p>
        </w:tc>
      </w:tr>
      <w:tr>
        <w:trPr>
          <w:trHeight w:val="20" w:hRule="atLeast"/>
        </w:trPr>
        <w:tc>
          <w:tcPr>
            <w:tcW w:w="44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sz w:val="20"/>
                <w:szCs w:val="20"/>
                <w:lang w:eastAsia="ru-RU"/>
              </w:rPr>
            </w:pPr>
            <w:r>
              <w:rPr>
                <w:sz w:val="20"/>
                <w:szCs w:val="20"/>
                <w:lang w:eastAsia="ru-RU"/>
              </w:rPr>
            </w:r>
          </w:p>
        </w:tc>
        <w:tc>
          <w:tcPr>
            <w:tcW w:w="178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sz w:val="20"/>
                <w:szCs w:val="20"/>
                <w:lang w:eastAsia="ru-RU"/>
              </w:rPr>
            </w:pPr>
            <w:r>
              <w:rPr>
                <w:sz w:val="20"/>
                <w:szCs w:val="20"/>
                <w:lang w:eastAsia="ru-RU"/>
              </w:rPr>
            </w:r>
          </w:p>
        </w:tc>
        <w:tc>
          <w:tcPr>
            <w:tcW w:w="12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6"/>
                <w:szCs w:val="26"/>
              </w:rPr>
            </w:pPr>
            <w:r>
              <w:rPr>
                <w:sz w:val="20"/>
                <w:szCs w:val="20"/>
                <w:lang w:eastAsia="ru-RU"/>
              </w:rPr>
              <w:t>2033-2035</w:t>
            </w:r>
          </w:p>
        </w:tc>
        <w:tc>
          <w:tcPr>
            <w:tcW w:w="178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6"/>
                <w:szCs w:val="26"/>
              </w:rPr>
            </w:pPr>
            <w:r>
              <w:rPr>
                <w:sz w:val="20"/>
                <w:szCs w:val="20"/>
              </w:rPr>
              <w:t>10,66</w:t>
            </w:r>
          </w:p>
        </w:tc>
        <w:tc>
          <w:tcPr>
            <w:tcW w:w="137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6"/>
                <w:szCs w:val="26"/>
              </w:rPr>
            </w:pPr>
            <w:r>
              <w:rPr>
                <w:sz w:val="20"/>
                <w:szCs w:val="20"/>
              </w:rPr>
              <w:t>Природный газ</w:t>
            </w:r>
          </w:p>
        </w:tc>
        <w:tc>
          <w:tcPr>
            <w:tcW w:w="1238"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6"/>
                <w:szCs w:val="26"/>
              </w:rPr>
            </w:pPr>
            <w:r>
              <w:rPr>
                <w:sz w:val="20"/>
                <w:szCs w:val="20"/>
              </w:rPr>
              <w:t>Дизельное топливо</w:t>
            </w:r>
          </w:p>
        </w:tc>
        <w:tc>
          <w:tcPr>
            <w:tcW w:w="1224"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6"/>
                <w:szCs w:val="26"/>
              </w:rPr>
            </w:pPr>
            <w:r>
              <w:rPr>
                <w:sz w:val="20"/>
                <w:szCs w:val="20"/>
              </w:rPr>
              <w:t>2013,897</w:t>
            </w:r>
          </w:p>
        </w:tc>
        <w:tc>
          <w:tcPr>
            <w:tcW w:w="16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6"/>
                <w:szCs w:val="26"/>
              </w:rPr>
            </w:pPr>
            <w:r>
              <w:rPr>
                <w:bCs/>
                <w:sz w:val="20"/>
                <w:szCs w:val="20"/>
              </w:rPr>
              <w:t>1746,658</w:t>
            </w:r>
          </w:p>
        </w:tc>
        <w:tc>
          <w:tcPr>
            <w:tcW w:w="12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6"/>
                <w:szCs w:val="26"/>
              </w:rPr>
            </w:pPr>
            <w:r>
              <w:rPr>
                <w:sz w:val="20"/>
                <w:szCs w:val="20"/>
              </w:rPr>
              <w:t>154,44</w:t>
            </w:r>
          </w:p>
        </w:tc>
        <w:tc>
          <w:tcPr>
            <w:tcW w:w="71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6"/>
                <w:szCs w:val="26"/>
              </w:rPr>
            </w:pPr>
            <w:r>
              <w:rPr>
                <w:sz w:val="20"/>
                <w:szCs w:val="20"/>
              </w:rPr>
              <w:t>92,50</w:t>
            </w:r>
          </w:p>
        </w:tc>
        <w:tc>
          <w:tcPr>
            <w:tcW w:w="181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6"/>
                <w:szCs w:val="26"/>
              </w:rPr>
            </w:pPr>
            <w:r>
              <w:rPr>
                <w:sz w:val="20"/>
                <w:szCs w:val="20"/>
              </w:rPr>
              <w:t>0,295</w:t>
            </w:r>
          </w:p>
        </w:tc>
      </w:tr>
      <w:tr>
        <w:trPr>
          <w:trHeight w:val="20" w:hRule="atLeast"/>
        </w:trPr>
        <w:tc>
          <w:tcPr>
            <w:tcW w:w="441" w:type="dxa"/>
            <w:vMerge w:val="restart"/>
            <w:tcBorders>
              <w:top w:val="single" w:sz="4" w:space="0" w:color="000000"/>
              <w:left w:val="single" w:sz="4" w:space="0" w:color="000000"/>
              <w:bottom w:val="single" w:sz="4" w:space="0" w:color="000000"/>
              <w:right w:val="single" w:sz="4" w:space="0" w:color="000000"/>
            </w:tcBorders>
            <w:vAlign w:val="center"/>
          </w:tcPr>
          <w:p>
            <w:pPr>
              <w:pStyle w:val="Normal"/>
              <w:rPr>
                <w:sz w:val="20"/>
                <w:szCs w:val="20"/>
                <w:lang w:eastAsia="ru-RU"/>
              </w:rPr>
            </w:pPr>
            <w:r>
              <w:rPr>
                <w:sz w:val="20"/>
                <w:szCs w:val="20"/>
                <w:lang w:eastAsia="ru-RU"/>
              </w:rPr>
              <w:t>2</w:t>
            </w:r>
          </w:p>
        </w:tc>
        <w:tc>
          <w:tcPr>
            <w:tcW w:w="1786" w:type="dxa"/>
            <w:vMerge w:val="restart"/>
            <w:tcBorders>
              <w:top w:val="single" w:sz="4" w:space="0" w:color="000000"/>
              <w:left w:val="single" w:sz="4" w:space="0" w:color="000000"/>
              <w:bottom w:val="single" w:sz="4" w:space="0" w:color="000000"/>
              <w:right w:val="single" w:sz="4" w:space="0" w:color="000000"/>
            </w:tcBorders>
            <w:vAlign w:val="center"/>
          </w:tcPr>
          <w:p>
            <w:pPr>
              <w:pStyle w:val="Normal"/>
              <w:rPr>
                <w:sz w:val="20"/>
                <w:szCs w:val="20"/>
                <w:lang w:eastAsia="ru-RU"/>
              </w:rPr>
            </w:pPr>
            <w:r>
              <w:rPr>
                <w:sz w:val="20"/>
                <w:szCs w:val="20"/>
                <w:lang w:eastAsia="ru-RU"/>
              </w:rPr>
              <w:t>котельная № 2, пгт.Октябрьское, ул.Пионерская, 17б</w:t>
            </w:r>
          </w:p>
        </w:tc>
        <w:tc>
          <w:tcPr>
            <w:tcW w:w="12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6"/>
                <w:szCs w:val="26"/>
              </w:rPr>
            </w:pPr>
            <w:r>
              <w:rPr>
                <w:sz w:val="20"/>
                <w:szCs w:val="20"/>
                <w:lang w:eastAsia="ru-RU"/>
              </w:rPr>
              <w:t>2024</w:t>
            </w:r>
          </w:p>
        </w:tc>
        <w:tc>
          <w:tcPr>
            <w:tcW w:w="178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6"/>
                <w:szCs w:val="26"/>
              </w:rPr>
            </w:pPr>
            <w:r>
              <w:rPr>
                <w:sz w:val="20"/>
                <w:szCs w:val="20"/>
                <w:lang w:eastAsia="ru-RU"/>
              </w:rPr>
              <w:t>6,36</w:t>
            </w:r>
          </w:p>
        </w:tc>
        <w:tc>
          <w:tcPr>
            <w:tcW w:w="137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6"/>
                <w:szCs w:val="26"/>
              </w:rPr>
            </w:pPr>
            <w:r>
              <w:rPr>
                <w:sz w:val="20"/>
                <w:szCs w:val="20"/>
              </w:rPr>
              <w:t>Природный газ</w:t>
            </w:r>
          </w:p>
        </w:tc>
        <w:tc>
          <w:tcPr>
            <w:tcW w:w="1238"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r>
          </w:p>
        </w:tc>
        <w:tc>
          <w:tcPr>
            <w:tcW w:w="1224"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6"/>
                <w:szCs w:val="26"/>
              </w:rPr>
            </w:pPr>
            <w:r>
              <w:rPr>
                <w:sz w:val="20"/>
                <w:szCs w:val="20"/>
                <w:lang w:eastAsia="ru-RU"/>
              </w:rPr>
              <w:t>993,36</w:t>
            </w:r>
          </w:p>
        </w:tc>
        <w:tc>
          <w:tcPr>
            <w:tcW w:w="16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6"/>
                <w:szCs w:val="26"/>
              </w:rPr>
            </w:pPr>
            <w:r>
              <w:rPr>
                <w:bCs/>
                <w:sz w:val="20"/>
                <w:szCs w:val="20"/>
              </w:rPr>
              <w:t>861,544</w:t>
            </w:r>
          </w:p>
        </w:tc>
        <w:tc>
          <w:tcPr>
            <w:tcW w:w="12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6"/>
                <w:szCs w:val="26"/>
              </w:rPr>
            </w:pPr>
            <w:r>
              <w:rPr>
                <w:sz w:val="20"/>
                <w:szCs w:val="20"/>
              </w:rPr>
              <w:t>186,99</w:t>
            </w:r>
          </w:p>
        </w:tc>
        <w:tc>
          <w:tcPr>
            <w:tcW w:w="71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6"/>
                <w:szCs w:val="26"/>
              </w:rPr>
            </w:pPr>
            <w:r>
              <w:rPr>
                <w:sz w:val="20"/>
                <w:szCs w:val="20"/>
              </w:rPr>
              <w:t>76,40</w:t>
            </w:r>
          </w:p>
        </w:tc>
        <w:tc>
          <w:tcPr>
            <w:tcW w:w="181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6"/>
                <w:szCs w:val="26"/>
              </w:rPr>
            </w:pPr>
            <w:r>
              <w:rPr>
                <w:sz w:val="20"/>
                <w:szCs w:val="20"/>
              </w:rPr>
              <w:t>0,145</w:t>
            </w:r>
          </w:p>
        </w:tc>
      </w:tr>
      <w:tr>
        <w:trPr>
          <w:trHeight w:val="20" w:hRule="atLeast"/>
        </w:trPr>
        <w:tc>
          <w:tcPr>
            <w:tcW w:w="44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sz w:val="20"/>
                <w:szCs w:val="20"/>
                <w:lang w:eastAsia="ru-RU"/>
              </w:rPr>
            </w:pPr>
            <w:r>
              <w:rPr>
                <w:sz w:val="20"/>
                <w:szCs w:val="20"/>
                <w:lang w:eastAsia="ru-RU"/>
              </w:rPr>
            </w:r>
          </w:p>
        </w:tc>
        <w:tc>
          <w:tcPr>
            <w:tcW w:w="178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sz w:val="20"/>
                <w:szCs w:val="20"/>
                <w:lang w:eastAsia="ru-RU"/>
              </w:rPr>
            </w:pPr>
            <w:r>
              <w:rPr>
                <w:sz w:val="20"/>
                <w:szCs w:val="20"/>
                <w:lang w:eastAsia="ru-RU"/>
              </w:rPr>
            </w:r>
          </w:p>
        </w:tc>
        <w:tc>
          <w:tcPr>
            <w:tcW w:w="12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6"/>
                <w:szCs w:val="26"/>
              </w:rPr>
            </w:pPr>
            <w:r>
              <w:rPr>
                <w:sz w:val="20"/>
                <w:szCs w:val="20"/>
                <w:lang w:eastAsia="ru-RU"/>
              </w:rPr>
              <w:t>2025</w:t>
            </w:r>
          </w:p>
        </w:tc>
        <w:tc>
          <w:tcPr>
            <w:tcW w:w="178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6"/>
                <w:szCs w:val="26"/>
              </w:rPr>
            </w:pPr>
            <w:r>
              <w:rPr>
                <w:sz w:val="20"/>
                <w:szCs w:val="20"/>
                <w:lang w:eastAsia="ru-RU"/>
              </w:rPr>
              <w:t>6,36</w:t>
            </w:r>
          </w:p>
        </w:tc>
        <w:tc>
          <w:tcPr>
            <w:tcW w:w="137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6"/>
                <w:szCs w:val="26"/>
              </w:rPr>
            </w:pPr>
            <w:r>
              <w:rPr>
                <w:sz w:val="20"/>
                <w:szCs w:val="20"/>
              </w:rPr>
              <w:t>Природный газ</w:t>
            </w:r>
          </w:p>
        </w:tc>
        <w:tc>
          <w:tcPr>
            <w:tcW w:w="1238"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r>
          </w:p>
        </w:tc>
        <w:tc>
          <w:tcPr>
            <w:tcW w:w="1224"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6"/>
                <w:szCs w:val="26"/>
              </w:rPr>
            </w:pPr>
            <w:r>
              <w:rPr>
                <w:sz w:val="20"/>
                <w:szCs w:val="20"/>
                <w:lang w:eastAsia="ru-RU"/>
              </w:rPr>
              <w:t>993,36</w:t>
            </w:r>
          </w:p>
        </w:tc>
        <w:tc>
          <w:tcPr>
            <w:tcW w:w="16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6"/>
                <w:szCs w:val="26"/>
              </w:rPr>
            </w:pPr>
            <w:r>
              <w:rPr>
                <w:bCs/>
                <w:sz w:val="20"/>
                <w:szCs w:val="20"/>
              </w:rPr>
              <w:t>861,544</w:t>
            </w:r>
          </w:p>
        </w:tc>
        <w:tc>
          <w:tcPr>
            <w:tcW w:w="12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6"/>
                <w:szCs w:val="26"/>
              </w:rPr>
            </w:pPr>
            <w:r>
              <w:rPr>
                <w:sz w:val="20"/>
                <w:szCs w:val="20"/>
              </w:rPr>
              <w:t>186,99</w:t>
            </w:r>
          </w:p>
        </w:tc>
        <w:tc>
          <w:tcPr>
            <w:tcW w:w="71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6"/>
                <w:szCs w:val="26"/>
              </w:rPr>
            </w:pPr>
            <w:r>
              <w:rPr>
                <w:sz w:val="20"/>
                <w:szCs w:val="20"/>
              </w:rPr>
              <w:t>76,40</w:t>
            </w:r>
          </w:p>
        </w:tc>
        <w:tc>
          <w:tcPr>
            <w:tcW w:w="181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6"/>
                <w:szCs w:val="26"/>
              </w:rPr>
            </w:pPr>
            <w:r>
              <w:rPr>
                <w:sz w:val="20"/>
                <w:szCs w:val="20"/>
              </w:rPr>
              <w:t>0,145</w:t>
            </w:r>
          </w:p>
        </w:tc>
      </w:tr>
      <w:tr>
        <w:trPr>
          <w:trHeight w:val="20" w:hRule="atLeast"/>
        </w:trPr>
        <w:tc>
          <w:tcPr>
            <w:tcW w:w="44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sz w:val="20"/>
                <w:szCs w:val="20"/>
                <w:lang w:eastAsia="ru-RU"/>
              </w:rPr>
            </w:pPr>
            <w:r>
              <w:rPr>
                <w:sz w:val="20"/>
                <w:szCs w:val="20"/>
                <w:lang w:eastAsia="ru-RU"/>
              </w:rPr>
            </w:r>
          </w:p>
        </w:tc>
        <w:tc>
          <w:tcPr>
            <w:tcW w:w="178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sz w:val="20"/>
                <w:szCs w:val="20"/>
                <w:lang w:eastAsia="ru-RU"/>
              </w:rPr>
            </w:pPr>
            <w:r>
              <w:rPr>
                <w:sz w:val="20"/>
                <w:szCs w:val="20"/>
                <w:lang w:eastAsia="ru-RU"/>
              </w:rPr>
            </w:r>
          </w:p>
        </w:tc>
        <w:tc>
          <w:tcPr>
            <w:tcW w:w="12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6"/>
                <w:szCs w:val="26"/>
              </w:rPr>
            </w:pPr>
            <w:r>
              <w:rPr>
                <w:sz w:val="20"/>
                <w:szCs w:val="20"/>
                <w:lang w:eastAsia="ru-RU"/>
              </w:rPr>
              <w:t>2026</w:t>
            </w:r>
          </w:p>
        </w:tc>
        <w:tc>
          <w:tcPr>
            <w:tcW w:w="178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6"/>
                <w:szCs w:val="26"/>
              </w:rPr>
            </w:pPr>
            <w:r>
              <w:rPr>
                <w:sz w:val="20"/>
                <w:szCs w:val="20"/>
                <w:lang w:eastAsia="ru-RU"/>
              </w:rPr>
              <w:t>6,36</w:t>
            </w:r>
          </w:p>
        </w:tc>
        <w:tc>
          <w:tcPr>
            <w:tcW w:w="137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6"/>
                <w:szCs w:val="26"/>
              </w:rPr>
            </w:pPr>
            <w:r>
              <w:rPr>
                <w:sz w:val="20"/>
                <w:szCs w:val="20"/>
              </w:rPr>
              <w:t>Природный газ</w:t>
            </w:r>
          </w:p>
        </w:tc>
        <w:tc>
          <w:tcPr>
            <w:tcW w:w="1238"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r>
          </w:p>
        </w:tc>
        <w:tc>
          <w:tcPr>
            <w:tcW w:w="1224"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6"/>
                <w:szCs w:val="26"/>
              </w:rPr>
            </w:pPr>
            <w:r>
              <w:rPr>
                <w:sz w:val="20"/>
                <w:szCs w:val="20"/>
                <w:lang w:eastAsia="ru-RU"/>
              </w:rPr>
              <w:t>993,36</w:t>
            </w:r>
          </w:p>
        </w:tc>
        <w:tc>
          <w:tcPr>
            <w:tcW w:w="16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6"/>
                <w:szCs w:val="26"/>
              </w:rPr>
            </w:pPr>
            <w:r>
              <w:rPr>
                <w:bCs/>
                <w:sz w:val="20"/>
                <w:szCs w:val="20"/>
              </w:rPr>
              <w:t>861,544</w:t>
            </w:r>
          </w:p>
        </w:tc>
        <w:tc>
          <w:tcPr>
            <w:tcW w:w="12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6"/>
                <w:szCs w:val="26"/>
              </w:rPr>
            </w:pPr>
            <w:r>
              <w:rPr>
                <w:sz w:val="20"/>
                <w:szCs w:val="20"/>
              </w:rPr>
              <w:t>186,99</w:t>
            </w:r>
          </w:p>
        </w:tc>
        <w:tc>
          <w:tcPr>
            <w:tcW w:w="71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6"/>
                <w:szCs w:val="26"/>
              </w:rPr>
            </w:pPr>
            <w:r>
              <w:rPr>
                <w:sz w:val="20"/>
                <w:szCs w:val="20"/>
              </w:rPr>
              <w:t>76,40</w:t>
            </w:r>
          </w:p>
        </w:tc>
        <w:tc>
          <w:tcPr>
            <w:tcW w:w="181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6"/>
                <w:szCs w:val="26"/>
              </w:rPr>
            </w:pPr>
            <w:r>
              <w:rPr>
                <w:sz w:val="20"/>
                <w:szCs w:val="20"/>
              </w:rPr>
              <w:t>0,145</w:t>
            </w:r>
          </w:p>
        </w:tc>
      </w:tr>
      <w:tr>
        <w:trPr>
          <w:trHeight w:val="20" w:hRule="atLeast"/>
        </w:trPr>
        <w:tc>
          <w:tcPr>
            <w:tcW w:w="44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sz w:val="20"/>
                <w:szCs w:val="20"/>
                <w:lang w:eastAsia="ru-RU"/>
              </w:rPr>
            </w:pPr>
            <w:r>
              <w:rPr>
                <w:sz w:val="20"/>
                <w:szCs w:val="20"/>
                <w:lang w:eastAsia="ru-RU"/>
              </w:rPr>
            </w:r>
          </w:p>
        </w:tc>
        <w:tc>
          <w:tcPr>
            <w:tcW w:w="178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sz w:val="20"/>
                <w:szCs w:val="20"/>
                <w:lang w:eastAsia="ru-RU"/>
              </w:rPr>
            </w:pPr>
            <w:r>
              <w:rPr>
                <w:sz w:val="20"/>
                <w:szCs w:val="20"/>
                <w:lang w:eastAsia="ru-RU"/>
              </w:rPr>
            </w:r>
          </w:p>
        </w:tc>
        <w:tc>
          <w:tcPr>
            <w:tcW w:w="12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6"/>
                <w:szCs w:val="26"/>
              </w:rPr>
            </w:pPr>
            <w:r>
              <w:rPr>
                <w:sz w:val="20"/>
                <w:szCs w:val="20"/>
                <w:lang w:eastAsia="ru-RU"/>
              </w:rPr>
              <w:t>2027</w:t>
            </w:r>
          </w:p>
        </w:tc>
        <w:tc>
          <w:tcPr>
            <w:tcW w:w="11075" w:type="dxa"/>
            <w:gridSpan w:val="10"/>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6"/>
                <w:szCs w:val="26"/>
              </w:rPr>
            </w:pPr>
            <w:r>
              <w:rPr>
                <w:sz w:val="20"/>
                <w:szCs w:val="20"/>
                <w:lang w:eastAsia="ru-RU"/>
              </w:rPr>
              <w:t>Строительство котельной по ул.Дзержинского, 14 в пгт.Октябрьское. Вывод из эксплуатации котельной № 2 по ул.Пионерская, 17Б и котельной № 6 по ул.Дзержинского, 2Б с переключением нагрузки на новую котельную по ул.Дзержинского, 14</w:t>
            </w:r>
          </w:p>
        </w:tc>
      </w:tr>
      <w:tr>
        <w:trPr>
          <w:trHeight w:val="20" w:hRule="atLeast"/>
        </w:trPr>
        <w:tc>
          <w:tcPr>
            <w:tcW w:w="441" w:type="dxa"/>
            <w:vMerge w:val="restart"/>
            <w:tcBorders>
              <w:top w:val="single" w:sz="4" w:space="0" w:color="000000"/>
              <w:left w:val="single" w:sz="4" w:space="0" w:color="000000"/>
              <w:bottom w:val="single" w:sz="4" w:space="0" w:color="000000"/>
              <w:right w:val="single" w:sz="4" w:space="0" w:color="000000"/>
            </w:tcBorders>
            <w:vAlign w:val="center"/>
          </w:tcPr>
          <w:p>
            <w:pPr>
              <w:pStyle w:val="Normal"/>
              <w:rPr>
                <w:sz w:val="20"/>
                <w:szCs w:val="20"/>
                <w:lang w:eastAsia="ru-RU"/>
              </w:rPr>
            </w:pPr>
            <w:r>
              <w:rPr>
                <w:sz w:val="20"/>
                <w:szCs w:val="20"/>
                <w:lang w:eastAsia="ru-RU"/>
              </w:rPr>
              <w:t>3</w:t>
            </w:r>
          </w:p>
        </w:tc>
        <w:tc>
          <w:tcPr>
            <w:tcW w:w="1786" w:type="dxa"/>
            <w:vMerge w:val="restart"/>
            <w:tcBorders>
              <w:top w:val="single" w:sz="4" w:space="0" w:color="000000"/>
              <w:left w:val="single" w:sz="4" w:space="0" w:color="000000"/>
              <w:bottom w:val="single" w:sz="4" w:space="0" w:color="000000"/>
              <w:right w:val="single" w:sz="4" w:space="0" w:color="000000"/>
            </w:tcBorders>
            <w:vAlign w:val="center"/>
          </w:tcPr>
          <w:p>
            <w:pPr>
              <w:pStyle w:val="Normal"/>
              <w:rPr>
                <w:sz w:val="20"/>
                <w:szCs w:val="20"/>
                <w:lang w:eastAsia="ru-RU"/>
              </w:rPr>
            </w:pPr>
            <w:r>
              <w:rPr>
                <w:sz w:val="20"/>
                <w:szCs w:val="20"/>
                <w:lang w:eastAsia="ru-RU"/>
              </w:rPr>
              <w:t xml:space="preserve">котельная № 3, </w:t>
            </w:r>
          </w:p>
          <w:p>
            <w:pPr>
              <w:pStyle w:val="Normal"/>
              <w:rPr>
                <w:sz w:val="20"/>
                <w:szCs w:val="20"/>
                <w:lang w:eastAsia="ru-RU"/>
              </w:rPr>
            </w:pPr>
            <w:r>
              <w:rPr>
                <w:sz w:val="20"/>
                <w:szCs w:val="20"/>
                <w:lang w:eastAsia="ru-RU"/>
              </w:rPr>
              <w:t xml:space="preserve">пгт.Октябрьское, </w:t>
            </w:r>
          </w:p>
          <w:p>
            <w:pPr>
              <w:pStyle w:val="Normal"/>
              <w:rPr>
                <w:sz w:val="20"/>
                <w:szCs w:val="20"/>
                <w:lang w:eastAsia="ru-RU"/>
              </w:rPr>
            </w:pPr>
            <w:r>
              <w:rPr>
                <w:sz w:val="20"/>
                <w:szCs w:val="20"/>
                <w:lang w:eastAsia="ru-RU"/>
              </w:rPr>
              <w:t>ул.Чапаева, 6б</w:t>
            </w:r>
          </w:p>
        </w:tc>
        <w:tc>
          <w:tcPr>
            <w:tcW w:w="12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6"/>
                <w:szCs w:val="26"/>
              </w:rPr>
            </w:pPr>
            <w:r>
              <w:rPr>
                <w:sz w:val="20"/>
                <w:szCs w:val="20"/>
                <w:lang w:eastAsia="ru-RU"/>
              </w:rPr>
              <w:t>2024</w:t>
            </w:r>
          </w:p>
        </w:tc>
        <w:tc>
          <w:tcPr>
            <w:tcW w:w="178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6"/>
                <w:szCs w:val="26"/>
              </w:rPr>
            </w:pPr>
            <w:r>
              <w:rPr>
                <w:sz w:val="20"/>
                <w:szCs w:val="20"/>
                <w:lang w:eastAsia="ru-RU"/>
              </w:rPr>
              <w:t>4,82</w:t>
            </w:r>
          </w:p>
        </w:tc>
        <w:tc>
          <w:tcPr>
            <w:tcW w:w="137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6"/>
                <w:szCs w:val="26"/>
              </w:rPr>
            </w:pPr>
            <w:r>
              <w:rPr>
                <w:sz w:val="20"/>
                <w:szCs w:val="20"/>
              </w:rPr>
              <w:t>Природный газ</w:t>
            </w:r>
          </w:p>
        </w:tc>
        <w:tc>
          <w:tcPr>
            <w:tcW w:w="1238"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r>
          </w:p>
        </w:tc>
        <w:tc>
          <w:tcPr>
            <w:tcW w:w="114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6"/>
                <w:szCs w:val="26"/>
              </w:rPr>
            </w:pPr>
            <w:r>
              <w:rPr>
                <w:sz w:val="20"/>
                <w:szCs w:val="20"/>
              </w:rPr>
              <w:t>827,33</w:t>
            </w:r>
          </w:p>
        </w:tc>
        <w:tc>
          <w:tcPr>
            <w:tcW w:w="1741"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6"/>
                <w:szCs w:val="26"/>
              </w:rPr>
            </w:pPr>
            <w:r>
              <w:rPr>
                <w:bCs/>
                <w:sz w:val="20"/>
                <w:szCs w:val="20"/>
              </w:rPr>
              <w:t>717,546</w:t>
            </w:r>
          </w:p>
        </w:tc>
        <w:tc>
          <w:tcPr>
            <w:tcW w:w="12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6"/>
                <w:szCs w:val="26"/>
              </w:rPr>
            </w:pPr>
            <w:r>
              <w:rPr>
                <w:sz w:val="20"/>
                <w:szCs w:val="20"/>
              </w:rPr>
              <w:t>173,37</w:t>
            </w:r>
          </w:p>
        </w:tc>
        <w:tc>
          <w:tcPr>
            <w:tcW w:w="71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6"/>
                <w:szCs w:val="26"/>
              </w:rPr>
            </w:pPr>
            <w:r>
              <w:rPr>
                <w:sz w:val="20"/>
                <w:szCs w:val="20"/>
              </w:rPr>
              <w:t>82,40</w:t>
            </w:r>
          </w:p>
        </w:tc>
        <w:tc>
          <w:tcPr>
            <w:tcW w:w="181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6"/>
                <w:szCs w:val="26"/>
              </w:rPr>
            </w:pPr>
            <w:r>
              <w:rPr>
                <w:sz w:val="20"/>
                <w:szCs w:val="20"/>
              </w:rPr>
              <w:t>0,121</w:t>
            </w:r>
          </w:p>
        </w:tc>
      </w:tr>
      <w:tr>
        <w:trPr>
          <w:trHeight w:val="20" w:hRule="atLeast"/>
        </w:trPr>
        <w:tc>
          <w:tcPr>
            <w:tcW w:w="44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sz w:val="20"/>
                <w:szCs w:val="20"/>
                <w:lang w:eastAsia="ru-RU"/>
              </w:rPr>
            </w:pPr>
            <w:r>
              <w:rPr>
                <w:sz w:val="20"/>
                <w:szCs w:val="20"/>
                <w:lang w:eastAsia="ru-RU"/>
              </w:rPr>
            </w:r>
          </w:p>
        </w:tc>
        <w:tc>
          <w:tcPr>
            <w:tcW w:w="178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sz w:val="20"/>
                <w:szCs w:val="20"/>
                <w:lang w:eastAsia="ru-RU"/>
              </w:rPr>
            </w:pPr>
            <w:r>
              <w:rPr>
                <w:sz w:val="20"/>
                <w:szCs w:val="20"/>
                <w:lang w:eastAsia="ru-RU"/>
              </w:rPr>
            </w:r>
          </w:p>
        </w:tc>
        <w:tc>
          <w:tcPr>
            <w:tcW w:w="12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6"/>
                <w:szCs w:val="26"/>
              </w:rPr>
            </w:pPr>
            <w:r>
              <w:rPr>
                <w:sz w:val="20"/>
                <w:szCs w:val="20"/>
                <w:lang w:eastAsia="ru-RU"/>
              </w:rPr>
              <w:t>2025</w:t>
            </w:r>
          </w:p>
        </w:tc>
        <w:tc>
          <w:tcPr>
            <w:tcW w:w="178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6"/>
                <w:szCs w:val="26"/>
              </w:rPr>
            </w:pPr>
            <w:r>
              <w:rPr>
                <w:sz w:val="20"/>
                <w:szCs w:val="20"/>
                <w:lang w:eastAsia="ru-RU"/>
              </w:rPr>
              <w:t>4,82</w:t>
            </w:r>
          </w:p>
        </w:tc>
        <w:tc>
          <w:tcPr>
            <w:tcW w:w="137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6"/>
                <w:szCs w:val="26"/>
              </w:rPr>
            </w:pPr>
            <w:r>
              <w:rPr>
                <w:sz w:val="20"/>
                <w:szCs w:val="20"/>
              </w:rPr>
              <w:t>Природный газ</w:t>
            </w:r>
          </w:p>
        </w:tc>
        <w:tc>
          <w:tcPr>
            <w:tcW w:w="1238"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r>
          </w:p>
        </w:tc>
        <w:tc>
          <w:tcPr>
            <w:tcW w:w="114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6"/>
                <w:szCs w:val="26"/>
              </w:rPr>
            </w:pPr>
            <w:r>
              <w:rPr>
                <w:sz w:val="20"/>
                <w:szCs w:val="20"/>
              </w:rPr>
              <w:t>827,33</w:t>
            </w:r>
          </w:p>
        </w:tc>
        <w:tc>
          <w:tcPr>
            <w:tcW w:w="1741"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6"/>
                <w:szCs w:val="26"/>
              </w:rPr>
            </w:pPr>
            <w:r>
              <w:rPr>
                <w:bCs/>
                <w:sz w:val="20"/>
                <w:szCs w:val="20"/>
              </w:rPr>
              <w:t>717,546</w:t>
            </w:r>
          </w:p>
        </w:tc>
        <w:tc>
          <w:tcPr>
            <w:tcW w:w="12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6"/>
                <w:szCs w:val="26"/>
              </w:rPr>
            </w:pPr>
            <w:r>
              <w:rPr>
                <w:sz w:val="20"/>
                <w:szCs w:val="20"/>
              </w:rPr>
              <w:t>173,37</w:t>
            </w:r>
          </w:p>
        </w:tc>
        <w:tc>
          <w:tcPr>
            <w:tcW w:w="71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6"/>
                <w:szCs w:val="26"/>
              </w:rPr>
            </w:pPr>
            <w:r>
              <w:rPr>
                <w:sz w:val="20"/>
                <w:szCs w:val="20"/>
              </w:rPr>
              <w:t>82,40</w:t>
            </w:r>
          </w:p>
        </w:tc>
        <w:tc>
          <w:tcPr>
            <w:tcW w:w="181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6"/>
                <w:szCs w:val="26"/>
              </w:rPr>
            </w:pPr>
            <w:r>
              <w:rPr>
                <w:sz w:val="20"/>
                <w:szCs w:val="20"/>
              </w:rPr>
              <w:t>0,121</w:t>
            </w:r>
          </w:p>
        </w:tc>
      </w:tr>
      <w:tr>
        <w:trPr>
          <w:trHeight w:val="20" w:hRule="atLeast"/>
        </w:trPr>
        <w:tc>
          <w:tcPr>
            <w:tcW w:w="44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sz w:val="20"/>
                <w:szCs w:val="20"/>
                <w:lang w:eastAsia="ru-RU"/>
              </w:rPr>
            </w:pPr>
            <w:r>
              <w:rPr>
                <w:sz w:val="20"/>
                <w:szCs w:val="20"/>
                <w:lang w:eastAsia="ru-RU"/>
              </w:rPr>
            </w:r>
          </w:p>
        </w:tc>
        <w:tc>
          <w:tcPr>
            <w:tcW w:w="178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sz w:val="20"/>
                <w:szCs w:val="20"/>
                <w:lang w:eastAsia="ru-RU"/>
              </w:rPr>
            </w:pPr>
            <w:r>
              <w:rPr>
                <w:sz w:val="20"/>
                <w:szCs w:val="20"/>
                <w:lang w:eastAsia="ru-RU"/>
              </w:rPr>
            </w:r>
          </w:p>
        </w:tc>
        <w:tc>
          <w:tcPr>
            <w:tcW w:w="12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6"/>
                <w:szCs w:val="26"/>
              </w:rPr>
            </w:pPr>
            <w:r>
              <w:rPr>
                <w:sz w:val="20"/>
                <w:szCs w:val="20"/>
                <w:lang w:eastAsia="ru-RU"/>
              </w:rPr>
              <w:t>2026</w:t>
            </w:r>
          </w:p>
        </w:tc>
        <w:tc>
          <w:tcPr>
            <w:tcW w:w="178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6"/>
                <w:szCs w:val="26"/>
              </w:rPr>
            </w:pPr>
            <w:r>
              <w:rPr>
                <w:sz w:val="20"/>
                <w:szCs w:val="20"/>
                <w:lang w:eastAsia="ru-RU"/>
              </w:rPr>
              <w:t>4,82</w:t>
            </w:r>
          </w:p>
        </w:tc>
        <w:tc>
          <w:tcPr>
            <w:tcW w:w="137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6"/>
                <w:szCs w:val="26"/>
              </w:rPr>
            </w:pPr>
            <w:r>
              <w:rPr>
                <w:sz w:val="20"/>
                <w:szCs w:val="20"/>
              </w:rPr>
              <w:t>Природный газ</w:t>
            </w:r>
          </w:p>
        </w:tc>
        <w:tc>
          <w:tcPr>
            <w:tcW w:w="1238"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r>
          </w:p>
        </w:tc>
        <w:tc>
          <w:tcPr>
            <w:tcW w:w="114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6"/>
                <w:szCs w:val="26"/>
              </w:rPr>
            </w:pPr>
            <w:r>
              <w:rPr>
                <w:sz w:val="20"/>
                <w:szCs w:val="20"/>
              </w:rPr>
              <w:t>827,33</w:t>
            </w:r>
          </w:p>
        </w:tc>
        <w:tc>
          <w:tcPr>
            <w:tcW w:w="1741"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6"/>
                <w:szCs w:val="26"/>
              </w:rPr>
            </w:pPr>
            <w:r>
              <w:rPr>
                <w:bCs/>
                <w:sz w:val="20"/>
                <w:szCs w:val="20"/>
              </w:rPr>
              <w:t>717,546</w:t>
            </w:r>
          </w:p>
        </w:tc>
        <w:tc>
          <w:tcPr>
            <w:tcW w:w="12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6"/>
                <w:szCs w:val="26"/>
              </w:rPr>
            </w:pPr>
            <w:r>
              <w:rPr>
                <w:sz w:val="20"/>
                <w:szCs w:val="20"/>
              </w:rPr>
              <w:t>173,37</w:t>
            </w:r>
          </w:p>
        </w:tc>
        <w:tc>
          <w:tcPr>
            <w:tcW w:w="71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6"/>
                <w:szCs w:val="26"/>
              </w:rPr>
            </w:pPr>
            <w:r>
              <w:rPr>
                <w:sz w:val="20"/>
                <w:szCs w:val="20"/>
              </w:rPr>
              <w:t>82,40</w:t>
            </w:r>
          </w:p>
        </w:tc>
        <w:tc>
          <w:tcPr>
            <w:tcW w:w="181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6"/>
                <w:szCs w:val="26"/>
              </w:rPr>
            </w:pPr>
            <w:r>
              <w:rPr>
                <w:sz w:val="20"/>
                <w:szCs w:val="20"/>
              </w:rPr>
              <w:t>0,121</w:t>
            </w:r>
          </w:p>
        </w:tc>
      </w:tr>
      <w:tr>
        <w:trPr>
          <w:trHeight w:val="20" w:hRule="atLeast"/>
        </w:trPr>
        <w:tc>
          <w:tcPr>
            <w:tcW w:w="44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sz w:val="20"/>
                <w:szCs w:val="20"/>
                <w:lang w:eastAsia="ru-RU"/>
              </w:rPr>
            </w:pPr>
            <w:r>
              <w:rPr>
                <w:sz w:val="20"/>
                <w:szCs w:val="20"/>
                <w:lang w:eastAsia="ru-RU"/>
              </w:rPr>
            </w:r>
          </w:p>
        </w:tc>
        <w:tc>
          <w:tcPr>
            <w:tcW w:w="178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sz w:val="20"/>
                <w:szCs w:val="20"/>
                <w:lang w:eastAsia="ru-RU"/>
              </w:rPr>
            </w:pPr>
            <w:r>
              <w:rPr>
                <w:sz w:val="20"/>
                <w:szCs w:val="20"/>
                <w:lang w:eastAsia="ru-RU"/>
              </w:rPr>
            </w:r>
          </w:p>
        </w:tc>
        <w:tc>
          <w:tcPr>
            <w:tcW w:w="12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6"/>
                <w:szCs w:val="26"/>
              </w:rPr>
            </w:pPr>
            <w:r>
              <w:rPr>
                <w:sz w:val="20"/>
                <w:szCs w:val="20"/>
                <w:lang w:eastAsia="ru-RU"/>
              </w:rPr>
              <w:t>2027</w:t>
            </w:r>
          </w:p>
        </w:tc>
        <w:tc>
          <w:tcPr>
            <w:tcW w:w="11075" w:type="dxa"/>
            <w:gridSpan w:val="10"/>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6"/>
                <w:szCs w:val="26"/>
              </w:rPr>
            </w:pPr>
            <w:r>
              <w:rPr>
                <w:sz w:val="20"/>
                <w:szCs w:val="20"/>
                <w:lang w:eastAsia="ru-RU"/>
              </w:rPr>
              <w:t>Вывод из эксплуатации котельной № 3 по ул.Чапаева, 6Б с переключением нагрузки на котельную № 1 по ул.Сенькина, 46б</w:t>
            </w:r>
          </w:p>
        </w:tc>
      </w:tr>
      <w:tr>
        <w:trPr>
          <w:trHeight w:val="20" w:hRule="atLeast"/>
        </w:trPr>
        <w:tc>
          <w:tcPr>
            <w:tcW w:w="441" w:type="dxa"/>
            <w:vMerge w:val="restart"/>
            <w:tcBorders>
              <w:top w:val="single" w:sz="4" w:space="0" w:color="000000"/>
              <w:left w:val="single" w:sz="4" w:space="0" w:color="000000"/>
              <w:bottom w:val="single" w:sz="4" w:space="0" w:color="000000"/>
              <w:right w:val="single" w:sz="4" w:space="0" w:color="000000"/>
            </w:tcBorders>
            <w:vAlign w:val="center"/>
          </w:tcPr>
          <w:p>
            <w:pPr>
              <w:pStyle w:val="Normal"/>
              <w:rPr>
                <w:sz w:val="20"/>
                <w:szCs w:val="20"/>
                <w:lang w:eastAsia="ru-RU"/>
              </w:rPr>
            </w:pPr>
            <w:r>
              <w:rPr>
                <w:sz w:val="20"/>
                <w:szCs w:val="20"/>
                <w:lang w:eastAsia="ru-RU"/>
              </w:rPr>
              <w:t>4</w:t>
            </w:r>
          </w:p>
        </w:tc>
        <w:tc>
          <w:tcPr>
            <w:tcW w:w="1786" w:type="dxa"/>
            <w:vMerge w:val="restart"/>
            <w:tcBorders>
              <w:top w:val="single" w:sz="4" w:space="0" w:color="000000"/>
              <w:left w:val="single" w:sz="4" w:space="0" w:color="000000"/>
              <w:bottom w:val="single" w:sz="4" w:space="0" w:color="000000"/>
              <w:right w:val="single" w:sz="4" w:space="0" w:color="000000"/>
            </w:tcBorders>
            <w:vAlign w:val="center"/>
          </w:tcPr>
          <w:p>
            <w:pPr>
              <w:pStyle w:val="Normal"/>
              <w:rPr>
                <w:sz w:val="20"/>
                <w:szCs w:val="20"/>
                <w:lang w:eastAsia="ru-RU"/>
              </w:rPr>
            </w:pPr>
            <w:r>
              <w:rPr>
                <w:sz w:val="20"/>
                <w:szCs w:val="20"/>
                <w:lang w:eastAsia="ru-RU"/>
              </w:rPr>
              <w:t xml:space="preserve">котельная № 6, </w:t>
            </w:r>
          </w:p>
          <w:p>
            <w:pPr>
              <w:pStyle w:val="Normal"/>
              <w:rPr>
                <w:sz w:val="20"/>
                <w:szCs w:val="20"/>
                <w:lang w:eastAsia="ru-RU"/>
              </w:rPr>
            </w:pPr>
            <w:r>
              <w:rPr>
                <w:sz w:val="20"/>
                <w:szCs w:val="20"/>
                <w:lang w:eastAsia="ru-RU"/>
              </w:rPr>
              <w:t xml:space="preserve">пгт.Октябрьское, </w:t>
            </w:r>
          </w:p>
          <w:p>
            <w:pPr>
              <w:pStyle w:val="Normal"/>
              <w:rPr>
                <w:sz w:val="20"/>
                <w:szCs w:val="20"/>
                <w:lang w:eastAsia="ru-RU"/>
              </w:rPr>
            </w:pPr>
            <w:r>
              <w:rPr>
                <w:sz w:val="20"/>
                <w:szCs w:val="20"/>
                <w:lang w:eastAsia="ru-RU"/>
              </w:rPr>
              <w:t>ул.Дзержинского, 2б</w:t>
            </w:r>
          </w:p>
        </w:tc>
        <w:tc>
          <w:tcPr>
            <w:tcW w:w="12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6"/>
                <w:szCs w:val="26"/>
              </w:rPr>
            </w:pPr>
            <w:r>
              <w:rPr>
                <w:sz w:val="20"/>
                <w:szCs w:val="20"/>
                <w:lang w:eastAsia="ru-RU"/>
              </w:rPr>
              <w:t>2024</w:t>
            </w:r>
          </w:p>
        </w:tc>
        <w:tc>
          <w:tcPr>
            <w:tcW w:w="178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6"/>
                <w:szCs w:val="26"/>
              </w:rPr>
            </w:pPr>
            <w:r>
              <w:rPr>
                <w:sz w:val="20"/>
                <w:szCs w:val="20"/>
                <w:lang w:eastAsia="ru-RU"/>
              </w:rPr>
              <w:t>4,64</w:t>
            </w:r>
          </w:p>
        </w:tc>
        <w:tc>
          <w:tcPr>
            <w:tcW w:w="137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6"/>
                <w:szCs w:val="26"/>
              </w:rPr>
            </w:pPr>
            <w:r>
              <w:rPr>
                <w:sz w:val="20"/>
                <w:szCs w:val="20"/>
              </w:rPr>
              <w:t>Природный газ</w:t>
            </w:r>
          </w:p>
        </w:tc>
        <w:tc>
          <w:tcPr>
            <w:tcW w:w="1238"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r>
          </w:p>
        </w:tc>
        <w:tc>
          <w:tcPr>
            <w:tcW w:w="114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6"/>
                <w:szCs w:val="26"/>
              </w:rPr>
            </w:pPr>
            <w:r>
              <w:rPr>
                <w:sz w:val="20"/>
                <w:szCs w:val="20"/>
              </w:rPr>
              <w:t>227,19</w:t>
            </w:r>
          </w:p>
        </w:tc>
        <w:tc>
          <w:tcPr>
            <w:tcW w:w="1741"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6"/>
                <w:szCs w:val="26"/>
              </w:rPr>
            </w:pPr>
            <w:r>
              <w:rPr>
                <w:bCs/>
                <w:sz w:val="20"/>
                <w:szCs w:val="20"/>
              </w:rPr>
              <w:t>197,043</w:t>
            </w:r>
          </w:p>
        </w:tc>
        <w:tc>
          <w:tcPr>
            <w:tcW w:w="12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6"/>
                <w:szCs w:val="26"/>
              </w:rPr>
            </w:pPr>
            <w:r>
              <w:rPr>
                <w:sz w:val="20"/>
                <w:szCs w:val="20"/>
              </w:rPr>
              <w:t>169,87</w:t>
            </w:r>
          </w:p>
        </w:tc>
        <w:tc>
          <w:tcPr>
            <w:tcW w:w="71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6"/>
                <w:szCs w:val="26"/>
              </w:rPr>
            </w:pPr>
            <w:r>
              <w:rPr>
                <w:sz w:val="20"/>
                <w:szCs w:val="20"/>
              </w:rPr>
              <w:t>84,10</w:t>
            </w:r>
          </w:p>
        </w:tc>
        <w:tc>
          <w:tcPr>
            <w:tcW w:w="181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6"/>
                <w:szCs w:val="26"/>
              </w:rPr>
            </w:pPr>
            <w:r>
              <w:rPr>
                <w:sz w:val="20"/>
                <w:szCs w:val="20"/>
              </w:rPr>
              <w:t>0,033</w:t>
            </w:r>
          </w:p>
        </w:tc>
      </w:tr>
      <w:tr>
        <w:trPr>
          <w:trHeight w:val="20" w:hRule="atLeast"/>
        </w:trPr>
        <w:tc>
          <w:tcPr>
            <w:tcW w:w="44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sz w:val="20"/>
                <w:szCs w:val="20"/>
                <w:lang w:eastAsia="ru-RU"/>
              </w:rPr>
            </w:pPr>
            <w:r>
              <w:rPr>
                <w:sz w:val="20"/>
                <w:szCs w:val="20"/>
                <w:lang w:eastAsia="ru-RU"/>
              </w:rPr>
            </w:r>
          </w:p>
        </w:tc>
        <w:tc>
          <w:tcPr>
            <w:tcW w:w="178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sz w:val="20"/>
                <w:szCs w:val="20"/>
                <w:lang w:eastAsia="ru-RU"/>
              </w:rPr>
            </w:pPr>
            <w:r>
              <w:rPr>
                <w:sz w:val="20"/>
                <w:szCs w:val="20"/>
                <w:lang w:eastAsia="ru-RU"/>
              </w:rPr>
            </w:r>
          </w:p>
        </w:tc>
        <w:tc>
          <w:tcPr>
            <w:tcW w:w="12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6"/>
                <w:szCs w:val="26"/>
              </w:rPr>
            </w:pPr>
            <w:r>
              <w:rPr>
                <w:sz w:val="20"/>
                <w:szCs w:val="20"/>
                <w:lang w:eastAsia="ru-RU"/>
              </w:rPr>
              <w:t>2025</w:t>
            </w:r>
          </w:p>
        </w:tc>
        <w:tc>
          <w:tcPr>
            <w:tcW w:w="178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6"/>
                <w:szCs w:val="26"/>
              </w:rPr>
            </w:pPr>
            <w:r>
              <w:rPr>
                <w:sz w:val="20"/>
                <w:szCs w:val="20"/>
                <w:lang w:eastAsia="ru-RU"/>
              </w:rPr>
              <w:t>4,64</w:t>
            </w:r>
          </w:p>
        </w:tc>
        <w:tc>
          <w:tcPr>
            <w:tcW w:w="137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6"/>
                <w:szCs w:val="26"/>
              </w:rPr>
            </w:pPr>
            <w:r>
              <w:rPr>
                <w:sz w:val="20"/>
                <w:szCs w:val="20"/>
              </w:rPr>
              <w:t>Природный газ</w:t>
            </w:r>
          </w:p>
        </w:tc>
        <w:tc>
          <w:tcPr>
            <w:tcW w:w="1238"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r>
          </w:p>
        </w:tc>
        <w:tc>
          <w:tcPr>
            <w:tcW w:w="114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6"/>
                <w:szCs w:val="26"/>
              </w:rPr>
            </w:pPr>
            <w:r>
              <w:rPr>
                <w:sz w:val="20"/>
                <w:szCs w:val="20"/>
              </w:rPr>
              <w:t>227,19</w:t>
            </w:r>
          </w:p>
        </w:tc>
        <w:tc>
          <w:tcPr>
            <w:tcW w:w="1741"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6"/>
                <w:szCs w:val="26"/>
              </w:rPr>
            </w:pPr>
            <w:r>
              <w:rPr>
                <w:bCs/>
                <w:sz w:val="20"/>
                <w:szCs w:val="20"/>
              </w:rPr>
              <w:t>197,043</w:t>
            </w:r>
          </w:p>
        </w:tc>
        <w:tc>
          <w:tcPr>
            <w:tcW w:w="12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6"/>
                <w:szCs w:val="26"/>
              </w:rPr>
            </w:pPr>
            <w:r>
              <w:rPr>
                <w:sz w:val="20"/>
                <w:szCs w:val="20"/>
              </w:rPr>
              <w:t>169,87</w:t>
            </w:r>
          </w:p>
        </w:tc>
        <w:tc>
          <w:tcPr>
            <w:tcW w:w="71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6"/>
                <w:szCs w:val="26"/>
              </w:rPr>
            </w:pPr>
            <w:r>
              <w:rPr>
                <w:sz w:val="20"/>
                <w:szCs w:val="20"/>
              </w:rPr>
              <w:t>84,10</w:t>
            </w:r>
          </w:p>
        </w:tc>
        <w:tc>
          <w:tcPr>
            <w:tcW w:w="181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6"/>
                <w:szCs w:val="26"/>
              </w:rPr>
            </w:pPr>
            <w:r>
              <w:rPr>
                <w:sz w:val="20"/>
                <w:szCs w:val="20"/>
              </w:rPr>
              <w:t>0,033</w:t>
            </w:r>
          </w:p>
        </w:tc>
      </w:tr>
      <w:tr>
        <w:trPr>
          <w:trHeight w:val="20" w:hRule="atLeast"/>
        </w:trPr>
        <w:tc>
          <w:tcPr>
            <w:tcW w:w="44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sz w:val="20"/>
                <w:szCs w:val="20"/>
                <w:lang w:eastAsia="ru-RU"/>
              </w:rPr>
            </w:pPr>
            <w:r>
              <w:rPr>
                <w:sz w:val="20"/>
                <w:szCs w:val="20"/>
                <w:lang w:eastAsia="ru-RU"/>
              </w:rPr>
            </w:r>
          </w:p>
        </w:tc>
        <w:tc>
          <w:tcPr>
            <w:tcW w:w="178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sz w:val="20"/>
                <w:szCs w:val="20"/>
                <w:lang w:eastAsia="ru-RU"/>
              </w:rPr>
            </w:pPr>
            <w:r>
              <w:rPr>
                <w:sz w:val="20"/>
                <w:szCs w:val="20"/>
                <w:lang w:eastAsia="ru-RU"/>
              </w:rPr>
            </w:r>
          </w:p>
        </w:tc>
        <w:tc>
          <w:tcPr>
            <w:tcW w:w="12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6"/>
                <w:szCs w:val="26"/>
              </w:rPr>
            </w:pPr>
            <w:r>
              <w:rPr>
                <w:sz w:val="20"/>
                <w:szCs w:val="20"/>
                <w:lang w:eastAsia="ru-RU"/>
              </w:rPr>
              <w:t>2026</w:t>
            </w:r>
          </w:p>
        </w:tc>
        <w:tc>
          <w:tcPr>
            <w:tcW w:w="178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6"/>
                <w:szCs w:val="26"/>
              </w:rPr>
            </w:pPr>
            <w:r>
              <w:rPr>
                <w:sz w:val="20"/>
                <w:szCs w:val="20"/>
                <w:lang w:eastAsia="ru-RU"/>
              </w:rPr>
              <w:t>4,64</w:t>
            </w:r>
          </w:p>
        </w:tc>
        <w:tc>
          <w:tcPr>
            <w:tcW w:w="137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6"/>
                <w:szCs w:val="26"/>
              </w:rPr>
            </w:pPr>
            <w:r>
              <w:rPr>
                <w:sz w:val="20"/>
                <w:szCs w:val="20"/>
              </w:rPr>
              <w:t>Природный газ</w:t>
            </w:r>
          </w:p>
        </w:tc>
        <w:tc>
          <w:tcPr>
            <w:tcW w:w="1238"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r>
          </w:p>
        </w:tc>
        <w:tc>
          <w:tcPr>
            <w:tcW w:w="114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6"/>
                <w:szCs w:val="26"/>
              </w:rPr>
            </w:pPr>
            <w:r>
              <w:rPr>
                <w:sz w:val="20"/>
                <w:szCs w:val="20"/>
              </w:rPr>
              <w:t>227,19</w:t>
            </w:r>
          </w:p>
        </w:tc>
        <w:tc>
          <w:tcPr>
            <w:tcW w:w="1741"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6"/>
                <w:szCs w:val="26"/>
              </w:rPr>
            </w:pPr>
            <w:r>
              <w:rPr>
                <w:bCs/>
                <w:sz w:val="20"/>
                <w:szCs w:val="20"/>
              </w:rPr>
              <w:t>197,043</w:t>
            </w:r>
          </w:p>
        </w:tc>
        <w:tc>
          <w:tcPr>
            <w:tcW w:w="12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6"/>
                <w:szCs w:val="26"/>
              </w:rPr>
            </w:pPr>
            <w:r>
              <w:rPr>
                <w:sz w:val="20"/>
                <w:szCs w:val="20"/>
              </w:rPr>
              <w:t>169,87</w:t>
            </w:r>
          </w:p>
        </w:tc>
        <w:tc>
          <w:tcPr>
            <w:tcW w:w="71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6"/>
                <w:szCs w:val="26"/>
              </w:rPr>
            </w:pPr>
            <w:r>
              <w:rPr>
                <w:sz w:val="20"/>
                <w:szCs w:val="20"/>
              </w:rPr>
              <w:t>84,10</w:t>
            </w:r>
          </w:p>
        </w:tc>
        <w:tc>
          <w:tcPr>
            <w:tcW w:w="181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6"/>
                <w:szCs w:val="26"/>
              </w:rPr>
            </w:pPr>
            <w:r>
              <w:rPr>
                <w:sz w:val="20"/>
                <w:szCs w:val="20"/>
              </w:rPr>
              <w:t>0,033</w:t>
            </w:r>
          </w:p>
        </w:tc>
      </w:tr>
      <w:tr>
        <w:trPr>
          <w:trHeight w:val="20" w:hRule="atLeast"/>
        </w:trPr>
        <w:tc>
          <w:tcPr>
            <w:tcW w:w="44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sz w:val="20"/>
                <w:szCs w:val="20"/>
                <w:lang w:eastAsia="ru-RU"/>
              </w:rPr>
            </w:pPr>
            <w:r>
              <w:rPr>
                <w:sz w:val="20"/>
                <w:szCs w:val="20"/>
                <w:lang w:eastAsia="ru-RU"/>
              </w:rPr>
            </w:r>
          </w:p>
        </w:tc>
        <w:tc>
          <w:tcPr>
            <w:tcW w:w="178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sz w:val="20"/>
                <w:szCs w:val="20"/>
                <w:lang w:eastAsia="ru-RU"/>
              </w:rPr>
            </w:pPr>
            <w:r>
              <w:rPr>
                <w:sz w:val="20"/>
                <w:szCs w:val="20"/>
                <w:lang w:eastAsia="ru-RU"/>
              </w:rPr>
            </w:r>
          </w:p>
        </w:tc>
        <w:tc>
          <w:tcPr>
            <w:tcW w:w="12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6"/>
                <w:szCs w:val="26"/>
              </w:rPr>
            </w:pPr>
            <w:r>
              <w:rPr>
                <w:sz w:val="20"/>
                <w:szCs w:val="20"/>
                <w:lang w:eastAsia="ru-RU"/>
              </w:rPr>
              <w:t>2027</w:t>
            </w:r>
          </w:p>
        </w:tc>
        <w:tc>
          <w:tcPr>
            <w:tcW w:w="11075" w:type="dxa"/>
            <w:gridSpan w:val="10"/>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6"/>
                <w:szCs w:val="26"/>
              </w:rPr>
            </w:pPr>
            <w:r>
              <w:rPr>
                <w:sz w:val="20"/>
                <w:szCs w:val="20"/>
                <w:lang w:eastAsia="ru-RU"/>
              </w:rPr>
              <w:t>Строительство котельной по ул.Дзержинского, 14 в пгт.Октябрьское. Вывод из эксплуатации котельной № 2 по ул.Пионерская, 17Б и котельной № 6 по ул.Дзержинского, 2Б с переключением нагрузки на новую котельную по ул.Дзержинского, 14</w:t>
            </w:r>
          </w:p>
        </w:tc>
      </w:tr>
      <w:tr>
        <w:trPr>
          <w:trHeight w:val="20" w:hRule="atLeast"/>
        </w:trPr>
        <w:tc>
          <w:tcPr>
            <w:tcW w:w="441" w:type="dxa"/>
            <w:vMerge w:val="restart"/>
            <w:tcBorders>
              <w:top w:val="single" w:sz="4" w:space="0" w:color="000000"/>
              <w:left w:val="single" w:sz="4" w:space="0" w:color="000000"/>
              <w:bottom w:val="single" w:sz="4" w:space="0" w:color="000000"/>
              <w:right w:val="single" w:sz="4" w:space="0" w:color="000000"/>
            </w:tcBorders>
            <w:vAlign w:val="center"/>
          </w:tcPr>
          <w:p>
            <w:pPr>
              <w:pStyle w:val="Normal"/>
              <w:rPr>
                <w:sz w:val="20"/>
                <w:szCs w:val="20"/>
                <w:lang w:eastAsia="ru-RU"/>
              </w:rPr>
            </w:pPr>
            <w:r>
              <w:rPr>
                <w:sz w:val="20"/>
                <w:szCs w:val="20"/>
                <w:lang w:eastAsia="ru-RU"/>
              </w:rPr>
              <w:t>9</w:t>
            </w:r>
          </w:p>
        </w:tc>
        <w:tc>
          <w:tcPr>
            <w:tcW w:w="1786" w:type="dxa"/>
            <w:vMerge w:val="restart"/>
            <w:tcBorders>
              <w:top w:val="single" w:sz="4" w:space="0" w:color="000000"/>
              <w:left w:val="single" w:sz="4" w:space="0" w:color="000000"/>
              <w:bottom w:val="single" w:sz="4" w:space="0" w:color="000000"/>
              <w:right w:val="single" w:sz="4" w:space="0" w:color="000000"/>
            </w:tcBorders>
            <w:vAlign w:val="center"/>
          </w:tcPr>
          <w:p>
            <w:pPr>
              <w:pStyle w:val="Normal"/>
              <w:rPr>
                <w:sz w:val="20"/>
                <w:szCs w:val="20"/>
                <w:lang w:eastAsia="ru-RU"/>
              </w:rPr>
            </w:pPr>
            <w:r>
              <w:rPr>
                <w:sz w:val="20"/>
                <w:szCs w:val="20"/>
                <w:lang w:eastAsia="ru-RU"/>
              </w:rPr>
              <w:t xml:space="preserve">котельная № 7, </w:t>
            </w:r>
          </w:p>
          <w:p>
            <w:pPr>
              <w:pStyle w:val="Normal"/>
              <w:rPr>
                <w:sz w:val="20"/>
                <w:szCs w:val="20"/>
                <w:lang w:eastAsia="ru-RU"/>
              </w:rPr>
            </w:pPr>
            <w:r>
              <w:rPr>
                <w:sz w:val="20"/>
                <w:szCs w:val="20"/>
                <w:lang w:eastAsia="ru-RU"/>
              </w:rPr>
              <w:t xml:space="preserve">пгт.Октябрьское, </w:t>
            </w:r>
          </w:p>
          <w:p>
            <w:pPr>
              <w:pStyle w:val="Normal"/>
              <w:rPr>
                <w:sz w:val="20"/>
                <w:szCs w:val="20"/>
                <w:lang w:eastAsia="ru-RU"/>
              </w:rPr>
            </w:pPr>
            <w:r>
              <w:rPr>
                <w:sz w:val="20"/>
                <w:szCs w:val="20"/>
                <w:lang w:eastAsia="ru-RU"/>
              </w:rPr>
              <w:t>ул.Медицинская, 3Б</w:t>
            </w:r>
          </w:p>
        </w:tc>
        <w:tc>
          <w:tcPr>
            <w:tcW w:w="12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6"/>
                <w:szCs w:val="26"/>
              </w:rPr>
            </w:pPr>
            <w:r>
              <w:rPr>
                <w:sz w:val="20"/>
                <w:szCs w:val="20"/>
                <w:lang w:eastAsia="ru-RU"/>
              </w:rPr>
              <w:t>2024</w:t>
            </w:r>
          </w:p>
        </w:tc>
        <w:tc>
          <w:tcPr>
            <w:tcW w:w="178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6"/>
                <w:szCs w:val="26"/>
              </w:rPr>
            </w:pPr>
            <w:r>
              <w:rPr>
                <w:sz w:val="20"/>
                <w:szCs w:val="20"/>
                <w:lang w:eastAsia="ru-RU"/>
              </w:rPr>
              <w:t>5,16</w:t>
            </w:r>
          </w:p>
        </w:tc>
        <w:tc>
          <w:tcPr>
            <w:tcW w:w="137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6"/>
                <w:szCs w:val="26"/>
              </w:rPr>
            </w:pPr>
            <w:r>
              <w:rPr>
                <w:sz w:val="20"/>
                <w:szCs w:val="20"/>
              </w:rPr>
              <w:t>Природный газ</w:t>
            </w:r>
          </w:p>
        </w:tc>
        <w:tc>
          <w:tcPr>
            <w:tcW w:w="114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6"/>
                <w:szCs w:val="26"/>
              </w:rPr>
            </w:pPr>
            <w:r>
              <w:rPr>
                <w:sz w:val="20"/>
                <w:szCs w:val="20"/>
              </w:rPr>
              <w:t>дизельное топливо</w:t>
            </w:r>
          </w:p>
        </w:tc>
        <w:tc>
          <w:tcPr>
            <w:tcW w:w="1237"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6"/>
                <w:szCs w:val="26"/>
              </w:rPr>
            </w:pPr>
            <w:r>
              <w:rPr>
                <w:sz w:val="20"/>
                <w:szCs w:val="20"/>
              </w:rPr>
              <w:t>160,109</w:t>
            </w:r>
          </w:p>
        </w:tc>
        <w:tc>
          <w:tcPr>
            <w:tcW w:w="1741"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6"/>
                <w:szCs w:val="26"/>
              </w:rPr>
            </w:pPr>
            <w:r>
              <w:rPr>
                <w:bCs/>
                <w:sz w:val="20"/>
                <w:szCs w:val="20"/>
              </w:rPr>
              <w:t>138,863</w:t>
            </w:r>
          </w:p>
        </w:tc>
        <w:tc>
          <w:tcPr>
            <w:tcW w:w="12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6"/>
                <w:szCs w:val="26"/>
              </w:rPr>
            </w:pPr>
            <w:r>
              <w:rPr>
                <w:sz w:val="20"/>
                <w:szCs w:val="20"/>
              </w:rPr>
              <w:t>176,56</w:t>
            </w:r>
          </w:p>
        </w:tc>
        <w:tc>
          <w:tcPr>
            <w:tcW w:w="71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6"/>
                <w:szCs w:val="26"/>
              </w:rPr>
            </w:pPr>
            <w:r>
              <w:rPr>
                <w:sz w:val="20"/>
                <w:szCs w:val="20"/>
              </w:rPr>
              <w:t>80,91</w:t>
            </w:r>
          </w:p>
        </w:tc>
        <w:tc>
          <w:tcPr>
            <w:tcW w:w="181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6"/>
                <w:szCs w:val="26"/>
              </w:rPr>
            </w:pPr>
            <w:r>
              <w:rPr>
                <w:sz w:val="20"/>
                <w:szCs w:val="20"/>
              </w:rPr>
              <w:t>0,023</w:t>
            </w:r>
          </w:p>
        </w:tc>
      </w:tr>
      <w:tr>
        <w:trPr>
          <w:trHeight w:val="20" w:hRule="atLeast"/>
        </w:trPr>
        <w:tc>
          <w:tcPr>
            <w:tcW w:w="44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sz w:val="20"/>
                <w:szCs w:val="20"/>
                <w:lang w:eastAsia="ru-RU"/>
              </w:rPr>
            </w:pPr>
            <w:r>
              <w:rPr>
                <w:sz w:val="20"/>
                <w:szCs w:val="20"/>
                <w:lang w:eastAsia="ru-RU"/>
              </w:rPr>
            </w:r>
          </w:p>
        </w:tc>
        <w:tc>
          <w:tcPr>
            <w:tcW w:w="178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sz w:val="20"/>
                <w:szCs w:val="20"/>
                <w:lang w:eastAsia="ru-RU"/>
              </w:rPr>
            </w:pPr>
            <w:r>
              <w:rPr>
                <w:sz w:val="20"/>
                <w:szCs w:val="20"/>
                <w:lang w:eastAsia="ru-RU"/>
              </w:rPr>
            </w:r>
          </w:p>
        </w:tc>
        <w:tc>
          <w:tcPr>
            <w:tcW w:w="12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6"/>
                <w:szCs w:val="26"/>
              </w:rPr>
            </w:pPr>
            <w:r>
              <w:rPr>
                <w:sz w:val="20"/>
                <w:szCs w:val="20"/>
                <w:lang w:eastAsia="ru-RU"/>
              </w:rPr>
              <w:t>2025</w:t>
            </w:r>
          </w:p>
        </w:tc>
        <w:tc>
          <w:tcPr>
            <w:tcW w:w="178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6"/>
                <w:szCs w:val="26"/>
              </w:rPr>
            </w:pPr>
            <w:r>
              <w:rPr>
                <w:sz w:val="20"/>
                <w:szCs w:val="20"/>
                <w:lang w:eastAsia="ru-RU"/>
              </w:rPr>
              <w:t>5,16</w:t>
            </w:r>
          </w:p>
        </w:tc>
        <w:tc>
          <w:tcPr>
            <w:tcW w:w="137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6"/>
                <w:szCs w:val="26"/>
              </w:rPr>
            </w:pPr>
            <w:r>
              <w:rPr>
                <w:sz w:val="20"/>
                <w:szCs w:val="20"/>
              </w:rPr>
              <w:t>Природный газ</w:t>
            </w:r>
          </w:p>
        </w:tc>
        <w:tc>
          <w:tcPr>
            <w:tcW w:w="114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6"/>
                <w:szCs w:val="26"/>
              </w:rPr>
            </w:pPr>
            <w:r>
              <w:rPr>
                <w:sz w:val="20"/>
                <w:szCs w:val="20"/>
              </w:rPr>
              <w:t>дизельное топливо</w:t>
            </w:r>
          </w:p>
        </w:tc>
        <w:tc>
          <w:tcPr>
            <w:tcW w:w="1237"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6"/>
                <w:szCs w:val="26"/>
              </w:rPr>
            </w:pPr>
            <w:r>
              <w:rPr>
                <w:sz w:val="20"/>
                <w:szCs w:val="20"/>
              </w:rPr>
              <w:t>160,109</w:t>
            </w:r>
          </w:p>
        </w:tc>
        <w:tc>
          <w:tcPr>
            <w:tcW w:w="1741"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6"/>
                <w:szCs w:val="26"/>
              </w:rPr>
            </w:pPr>
            <w:r>
              <w:rPr>
                <w:bCs/>
                <w:sz w:val="20"/>
                <w:szCs w:val="20"/>
              </w:rPr>
              <w:t>138,863</w:t>
            </w:r>
          </w:p>
        </w:tc>
        <w:tc>
          <w:tcPr>
            <w:tcW w:w="12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6"/>
                <w:szCs w:val="26"/>
              </w:rPr>
            </w:pPr>
            <w:r>
              <w:rPr>
                <w:sz w:val="20"/>
                <w:szCs w:val="20"/>
              </w:rPr>
              <w:t>176,56</w:t>
            </w:r>
          </w:p>
        </w:tc>
        <w:tc>
          <w:tcPr>
            <w:tcW w:w="71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6"/>
                <w:szCs w:val="26"/>
              </w:rPr>
            </w:pPr>
            <w:r>
              <w:rPr>
                <w:sz w:val="20"/>
                <w:szCs w:val="20"/>
              </w:rPr>
              <w:t>80,91</w:t>
            </w:r>
          </w:p>
        </w:tc>
        <w:tc>
          <w:tcPr>
            <w:tcW w:w="181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6"/>
                <w:szCs w:val="26"/>
              </w:rPr>
            </w:pPr>
            <w:r>
              <w:rPr>
                <w:sz w:val="20"/>
                <w:szCs w:val="20"/>
              </w:rPr>
              <w:t>0,023</w:t>
            </w:r>
          </w:p>
        </w:tc>
      </w:tr>
      <w:tr>
        <w:trPr>
          <w:trHeight w:val="20" w:hRule="atLeast"/>
        </w:trPr>
        <w:tc>
          <w:tcPr>
            <w:tcW w:w="44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sz w:val="20"/>
                <w:szCs w:val="20"/>
                <w:lang w:eastAsia="ru-RU"/>
              </w:rPr>
            </w:pPr>
            <w:r>
              <w:rPr>
                <w:sz w:val="20"/>
                <w:szCs w:val="20"/>
                <w:lang w:eastAsia="ru-RU"/>
              </w:rPr>
            </w:r>
          </w:p>
        </w:tc>
        <w:tc>
          <w:tcPr>
            <w:tcW w:w="178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sz w:val="20"/>
                <w:szCs w:val="20"/>
                <w:lang w:eastAsia="ru-RU"/>
              </w:rPr>
            </w:pPr>
            <w:r>
              <w:rPr>
                <w:sz w:val="20"/>
                <w:szCs w:val="20"/>
                <w:lang w:eastAsia="ru-RU"/>
              </w:rPr>
            </w:r>
          </w:p>
        </w:tc>
        <w:tc>
          <w:tcPr>
            <w:tcW w:w="12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6"/>
                <w:szCs w:val="26"/>
              </w:rPr>
            </w:pPr>
            <w:r>
              <w:rPr>
                <w:sz w:val="20"/>
                <w:szCs w:val="20"/>
                <w:lang w:eastAsia="ru-RU"/>
              </w:rPr>
              <w:t>2026</w:t>
            </w:r>
          </w:p>
        </w:tc>
        <w:tc>
          <w:tcPr>
            <w:tcW w:w="178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6"/>
                <w:szCs w:val="26"/>
              </w:rPr>
            </w:pPr>
            <w:r>
              <w:rPr>
                <w:sz w:val="20"/>
                <w:szCs w:val="20"/>
                <w:lang w:eastAsia="ru-RU"/>
              </w:rPr>
              <w:t>5,16</w:t>
            </w:r>
          </w:p>
        </w:tc>
        <w:tc>
          <w:tcPr>
            <w:tcW w:w="137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6"/>
                <w:szCs w:val="26"/>
              </w:rPr>
            </w:pPr>
            <w:r>
              <w:rPr>
                <w:sz w:val="20"/>
                <w:szCs w:val="20"/>
              </w:rPr>
              <w:t>Природный газ</w:t>
            </w:r>
          </w:p>
        </w:tc>
        <w:tc>
          <w:tcPr>
            <w:tcW w:w="114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6"/>
                <w:szCs w:val="26"/>
              </w:rPr>
            </w:pPr>
            <w:r>
              <w:rPr>
                <w:sz w:val="20"/>
                <w:szCs w:val="20"/>
              </w:rPr>
              <w:t>дизельное топливо</w:t>
            </w:r>
          </w:p>
        </w:tc>
        <w:tc>
          <w:tcPr>
            <w:tcW w:w="1237"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6"/>
                <w:szCs w:val="26"/>
              </w:rPr>
            </w:pPr>
            <w:r>
              <w:rPr>
                <w:sz w:val="20"/>
                <w:szCs w:val="20"/>
              </w:rPr>
              <w:t>160,109</w:t>
            </w:r>
          </w:p>
        </w:tc>
        <w:tc>
          <w:tcPr>
            <w:tcW w:w="1741"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6"/>
                <w:szCs w:val="26"/>
              </w:rPr>
            </w:pPr>
            <w:r>
              <w:rPr>
                <w:bCs/>
                <w:sz w:val="20"/>
                <w:szCs w:val="20"/>
              </w:rPr>
              <w:t>138,863</w:t>
            </w:r>
          </w:p>
        </w:tc>
        <w:tc>
          <w:tcPr>
            <w:tcW w:w="12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6"/>
                <w:szCs w:val="26"/>
              </w:rPr>
            </w:pPr>
            <w:r>
              <w:rPr>
                <w:sz w:val="20"/>
                <w:szCs w:val="20"/>
              </w:rPr>
              <w:t>176,56</w:t>
            </w:r>
          </w:p>
        </w:tc>
        <w:tc>
          <w:tcPr>
            <w:tcW w:w="71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6"/>
                <w:szCs w:val="26"/>
              </w:rPr>
            </w:pPr>
            <w:r>
              <w:rPr>
                <w:sz w:val="20"/>
                <w:szCs w:val="20"/>
              </w:rPr>
              <w:t>80,91</w:t>
            </w:r>
          </w:p>
        </w:tc>
        <w:tc>
          <w:tcPr>
            <w:tcW w:w="181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6"/>
                <w:szCs w:val="26"/>
              </w:rPr>
            </w:pPr>
            <w:r>
              <w:rPr>
                <w:sz w:val="20"/>
                <w:szCs w:val="20"/>
              </w:rPr>
              <w:t>0,023</w:t>
            </w:r>
          </w:p>
        </w:tc>
      </w:tr>
      <w:tr>
        <w:trPr>
          <w:trHeight w:val="20" w:hRule="atLeast"/>
        </w:trPr>
        <w:tc>
          <w:tcPr>
            <w:tcW w:w="44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sz w:val="20"/>
                <w:szCs w:val="20"/>
                <w:lang w:eastAsia="ru-RU"/>
              </w:rPr>
            </w:pPr>
            <w:r>
              <w:rPr>
                <w:sz w:val="20"/>
                <w:szCs w:val="20"/>
                <w:lang w:eastAsia="ru-RU"/>
              </w:rPr>
            </w:r>
          </w:p>
        </w:tc>
        <w:tc>
          <w:tcPr>
            <w:tcW w:w="178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sz w:val="20"/>
                <w:szCs w:val="20"/>
                <w:lang w:eastAsia="ru-RU"/>
              </w:rPr>
            </w:pPr>
            <w:r>
              <w:rPr>
                <w:sz w:val="20"/>
                <w:szCs w:val="20"/>
                <w:lang w:eastAsia="ru-RU"/>
              </w:rPr>
            </w:r>
          </w:p>
        </w:tc>
        <w:tc>
          <w:tcPr>
            <w:tcW w:w="12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6"/>
                <w:szCs w:val="26"/>
              </w:rPr>
            </w:pPr>
            <w:r>
              <w:rPr>
                <w:sz w:val="20"/>
                <w:szCs w:val="20"/>
                <w:lang w:eastAsia="ru-RU"/>
              </w:rPr>
              <w:t>2027</w:t>
            </w:r>
          </w:p>
        </w:tc>
        <w:tc>
          <w:tcPr>
            <w:tcW w:w="11075" w:type="dxa"/>
            <w:gridSpan w:val="10"/>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xml:space="preserve">Вывод из эксплуатации котельной № 7 по ул.Медицинская, 3Б с переключением нагрузки на котельную № 12 </w:t>
            </w:r>
          </w:p>
          <w:p>
            <w:pPr>
              <w:pStyle w:val="Normal"/>
              <w:jc w:val="center"/>
              <w:rPr>
                <w:sz w:val="20"/>
                <w:szCs w:val="20"/>
                <w:lang w:eastAsia="ru-RU"/>
              </w:rPr>
            </w:pPr>
            <w:r>
              <w:rPr>
                <w:sz w:val="20"/>
                <w:szCs w:val="20"/>
                <w:lang w:eastAsia="ru-RU"/>
              </w:rPr>
              <w:t>по ул.Медицинская, 3К</w:t>
            </w:r>
          </w:p>
        </w:tc>
      </w:tr>
      <w:tr>
        <w:trPr>
          <w:trHeight w:val="460" w:hRule="atLeast"/>
        </w:trPr>
        <w:tc>
          <w:tcPr>
            <w:tcW w:w="441"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6</w:t>
            </w:r>
          </w:p>
        </w:tc>
        <w:tc>
          <w:tcPr>
            <w:tcW w:w="1786"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xml:space="preserve">котельная № 12, </w:t>
            </w:r>
          </w:p>
          <w:p>
            <w:pPr>
              <w:pStyle w:val="Normal"/>
              <w:jc w:val="center"/>
              <w:rPr>
                <w:sz w:val="20"/>
                <w:szCs w:val="20"/>
                <w:lang w:eastAsia="ru-RU"/>
              </w:rPr>
            </w:pPr>
            <w:r>
              <w:rPr>
                <w:sz w:val="20"/>
                <w:szCs w:val="20"/>
                <w:lang w:eastAsia="ru-RU"/>
              </w:rPr>
              <w:t xml:space="preserve">пгт.Октябрьское, </w:t>
            </w:r>
          </w:p>
          <w:p>
            <w:pPr>
              <w:pStyle w:val="Normal"/>
              <w:jc w:val="center"/>
              <w:rPr>
                <w:sz w:val="20"/>
                <w:szCs w:val="20"/>
                <w:lang w:eastAsia="ru-RU"/>
              </w:rPr>
            </w:pPr>
            <w:r>
              <w:rPr>
                <w:sz w:val="20"/>
                <w:szCs w:val="20"/>
                <w:lang w:eastAsia="ru-RU"/>
              </w:rPr>
              <w:t>ул.Медицинская, 3к</w:t>
            </w:r>
          </w:p>
        </w:tc>
        <w:tc>
          <w:tcPr>
            <w:tcW w:w="12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6"/>
                <w:szCs w:val="26"/>
              </w:rPr>
            </w:pPr>
            <w:r>
              <w:rPr>
                <w:sz w:val="20"/>
                <w:szCs w:val="20"/>
                <w:lang w:eastAsia="ru-RU"/>
              </w:rPr>
              <w:t>2024</w:t>
            </w:r>
          </w:p>
        </w:tc>
        <w:tc>
          <w:tcPr>
            <w:tcW w:w="178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6"/>
                <w:szCs w:val="26"/>
              </w:rPr>
            </w:pPr>
            <w:r>
              <w:rPr>
                <w:sz w:val="20"/>
                <w:szCs w:val="20"/>
              </w:rPr>
              <w:t>4,30</w:t>
            </w:r>
          </w:p>
        </w:tc>
        <w:tc>
          <w:tcPr>
            <w:tcW w:w="137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6"/>
                <w:szCs w:val="26"/>
              </w:rPr>
            </w:pPr>
            <w:r>
              <w:rPr>
                <w:sz w:val="20"/>
                <w:szCs w:val="20"/>
              </w:rPr>
              <w:t>Природный газ</w:t>
            </w:r>
          </w:p>
        </w:tc>
        <w:tc>
          <w:tcPr>
            <w:tcW w:w="1238"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6"/>
                <w:szCs w:val="26"/>
              </w:rPr>
            </w:pPr>
            <w:r>
              <w:rPr>
                <w:sz w:val="20"/>
                <w:szCs w:val="20"/>
              </w:rPr>
              <w:t>-</w:t>
            </w:r>
          </w:p>
        </w:tc>
        <w:tc>
          <w:tcPr>
            <w:tcW w:w="1224"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6"/>
                <w:szCs w:val="26"/>
              </w:rPr>
            </w:pPr>
            <w:r>
              <w:rPr>
                <w:sz w:val="20"/>
                <w:szCs w:val="20"/>
              </w:rPr>
              <w:t>2076,78</w:t>
            </w:r>
          </w:p>
        </w:tc>
        <w:tc>
          <w:tcPr>
            <w:tcW w:w="16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6"/>
                <w:szCs w:val="26"/>
              </w:rPr>
            </w:pPr>
            <w:r>
              <w:rPr>
                <w:bCs/>
                <w:sz w:val="20"/>
                <w:szCs w:val="20"/>
              </w:rPr>
              <w:t>1801,196</w:t>
            </w:r>
          </w:p>
        </w:tc>
        <w:tc>
          <w:tcPr>
            <w:tcW w:w="12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6"/>
                <w:szCs w:val="26"/>
              </w:rPr>
            </w:pPr>
            <w:r>
              <w:rPr>
                <w:sz w:val="20"/>
                <w:szCs w:val="20"/>
              </w:rPr>
              <w:t>162,04</w:t>
            </w:r>
          </w:p>
        </w:tc>
        <w:tc>
          <w:tcPr>
            <w:tcW w:w="71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6"/>
                <w:szCs w:val="26"/>
              </w:rPr>
            </w:pPr>
            <w:r>
              <w:rPr>
                <w:sz w:val="20"/>
                <w:szCs w:val="20"/>
              </w:rPr>
              <w:t>88,16</w:t>
            </w:r>
          </w:p>
        </w:tc>
        <w:tc>
          <w:tcPr>
            <w:tcW w:w="181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6"/>
                <w:szCs w:val="26"/>
              </w:rPr>
            </w:pPr>
            <w:r>
              <w:rPr>
                <w:sz w:val="20"/>
                <w:szCs w:val="20"/>
              </w:rPr>
              <w:t>0,304</w:t>
            </w:r>
          </w:p>
        </w:tc>
      </w:tr>
      <w:tr>
        <w:trPr>
          <w:trHeight w:val="20" w:hRule="atLeast"/>
        </w:trPr>
        <w:tc>
          <w:tcPr>
            <w:tcW w:w="44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sz w:val="20"/>
                <w:szCs w:val="20"/>
                <w:lang w:eastAsia="ru-RU"/>
              </w:rPr>
            </w:pPr>
            <w:r>
              <w:rPr>
                <w:sz w:val="20"/>
                <w:szCs w:val="20"/>
                <w:lang w:eastAsia="ru-RU"/>
              </w:rPr>
            </w:r>
          </w:p>
        </w:tc>
        <w:tc>
          <w:tcPr>
            <w:tcW w:w="178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sz w:val="20"/>
                <w:szCs w:val="20"/>
                <w:lang w:eastAsia="ru-RU"/>
              </w:rPr>
            </w:pPr>
            <w:r>
              <w:rPr>
                <w:sz w:val="20"/>
                <w:szCs w:val="20"/>
                <w:lang w:eastAsia="ru-RU"/>
              </w:rPr>
            </w:r>
          </w:p>
        </w:tc>
        <w:tc>
          <w:tcPr>
            <w:tcW w:w="12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6"/>
                <w:szCs w:val="26"/>
              </w:rPr>
            </w:pPr>
            <w:r>
              <w:rPr>
                <w:sz w:val="20"/>
                <w:szCs w:val="20"/>
                <w:lang w:eastAsia="ru-RU"/>
              </w:rPr>
              <w:t>2025</w:t>
            </w:r>
          </w:p>
        </w:tc>
        <w:tc>
          <w:tcPr>
            <w:tcW w:w="1786"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sz w:val="26"/>
                <w:szCs w:val="26"/>
              </w:rPr>
            </w:pPr>
            <w:r>
              <w:rPr>
                <w:sz w:val="20"/>
                <w:szCs w:val="20"/>
              </w:rPr>
              <w:t>4,30</w:t>
            </w:r>
          </w:p>
        </w:tc>
        <w:tc>
          <w:tcPr>
            <w:tcW w:w="137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6"/>
                <w:szCs w:val="26"/>
              </w:rPr>
            </w:pPr>
            <w:r>
              <w:rPr>
                <w:sz w:val="20"/>
                <w:szCs w:val="20"/>
              </w:rPr>
              <w:t>Природный газ</w:t>
            </w:r>
          </w:p>
        </w:tc>
        <w:tc>
          <w:tcPr>
            <w:tcW w:w="1238"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6"/>
                <w:szCs w:val="26"/>
              </w:rPr>
            </w:pPr>
            <w:r>
              <w:rPr>
                <w:sz w:val="20"/>
                <w:szCs w:val="20"/>
              </w:rPr>
              <w:t>-</w:t>
            </w:r>
          </w:p>
        </w:tc>
        <w:tc>
          <w:tcPr>
            <w:tcW w:w="1224"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6"/>
                <w:szCs w:val="26"/>
              </w:rPr>
            </w:pPr>
            <w:r>
              <w:rPr>
                <w:sz w:val="20"/>
                <w:szCs w:val="20"/>
              </w:rPr>
              <w:t>2076,78</w:t>
            </w:r>
          </w:p>
        </w:tc>
        <w:tc>
          <w:tcPr>
            <w:tcW w:w="16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6"/>
                <w:szCs w:val="26"/>
              </w:rPr>
            </w:pPr>
            <w:r>
              <w:rPr>
                <w:bCs/>
                <w:sz w:val="20"/>
                <w:szCs w:val="20"/>
              </w:rPr>
              <w:t>1801,196</w:t>
            </w:r>
          </w:p>
        </w:tc>
        <w:tc>
          <w:tcPr>
            <w:tcW w:w="12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6"/>
                <w:szCs w:val="26"/>
              </w:rPr>
            </w:pPr>
            <w:r>
              <w:rPr>
                <w:sz w:val="20"/>
                <w:szCs w:val="20"/>
              </w:rPr>
              <w:t>162,04</w:t>
            </w:r>
          </w:p>
        </w:tc>
        <w:tc>
          <w:tcPr>
            <w:tcW w:w="71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6"/>
                <w:szCs w:val="26"/>
              </w:rPr>
            </w:pPr>
            <w:r>
              <w:rPr>
                <w:sz w:val="20"/>
                <w:szCs w:val="20"/>
              </w:rPr>
              <w:t>88,16</w:t>
            </w:r>
          </w:p>
        </w:tc>
        <w:tc>
          <w:tcPr>
            <w:tcW w:w="181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6"/>
                <w:szCs w:val="26"/>
              </w:rPr>
            </w:pPr>
            <w:r>
              <w:rPr>
                <w:sz w:val="20"/>
                <w:szCs w:val="20"/>
              </w:rPr>
              <w:t>0,304</w:t>
            </w:r>
          </w:p>
        </w:tc>
      </w:tr>
      <w:tr>
        <w:trPr>
          <w:trHeight w:val="20" w:hRule="atLeast"/>
        </w:trPr>
        <w:tc>
          <w:tcPr>
            <w:tcW w:w="44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sz w:val="20"/>
                <w:szCs w:val="20"/>
                <w:lang w:eastAsia="ru-RU"/>
              </w:rPr>
            </w:pPr>
            <w:r>
              <w:rPr>
                <w:sz w:val="20"/>
                <w:szCs w:val="20"/>
                <w:lang w:eastAsia="ru-RU"/>
              </w:rPr>
            </w:r>
          </w:p>
        </w:tc>
        <w:tc>
          <w:tcPr>
            <w:tcW w:w="178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sz w:val="20"/>
                <w:szCs w:val="20"/>
                <w:lang w:eastAsia="ru-RU"/>
              </w:rPr>
            </w:pPr>
            <w:r>
              <w:rPr>
                <w:sz w:val="20"/>
                <w:szCs w:val="20"/>
                <w:lang w:eastAsia="ru-RU"/>
              </w:rPr>
            </w:r>
          </w:p>
        </w:tc>
        <w:tc>
          <w:tcPr>
            <w:tcW w:w="12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6"/>
                <w:szCs w:val="26"/>
              </w:rPr>
            </w:pPr>
            <w:r>
              <w:rPr>
                <w:sz w:val="20"/>
                <w:szCs w:val="20"/>
                <w:lang w:eastAsia="ru-RU"/>
              </w:rPr>
              <w:t>2026</w:t>
            </w:r>
          </w:p>
        </w:tc>
        <w:tc>
          <w:tcPr>
            <w:tcW w:w="1786"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sz w:val="26"/>
                <w:szCs w:val="26"/>
              </w:rPr>
            </w:pPr>
            <w:r>
              <w:rPr>
                <w:sz w:val="20"/>
                <w:szCs w:val="20"/>
              </w:rPr>
              <w:t>4,30</w:t>
            </w:r>
          </w:p>
        </w:tc>
        <w:tc>
          <w:tcPr>
            <w:tcW w:w="137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6"/>
                <w:szCs w:val="26"/>
              </w:rPr>
            </w:pPr>
            <w:r>
              <w:rPr>
                <w:sz w:val="20"/>
                <w:szCs w:val="20"/>
              </w:rPr>
              <w:t>Природный газ</w:t>
            </w:r>
          </w:p>
        </w:tc>
        <w:tc>
          <w:tcPr>
            <w:tcW w:w="1238"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6"/>
                <w:szCs w:val="26"/>
              </w:rPr>
            </w:pPr>
            <w:r>
              <w:rPr>
                <w:sz w:val="20"/>
                <w:szCs w:val="20"/>
              </w:rPr>
              <w:t>-</w:t>
            </w:r>
          </w:p>
        </w:tc>
        <w:tc>
          <w:tcPr>
            <w:tcW w:w="1224"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6"/>
                <w:szCs w:val="26"/>
              </w:rPr>
            </w:pPr>
            <w:r>
              <w:rPr>
                <w:sz w:val="20"/>
                <w:szCs w:val="20"/>
              </w:rPr>
              <w:t>2076,78</w:t>
            </w:r>
          </w:p>
        </w:tc>
        <w:tc>
          <w:tcPr>
            <w:tcW w:w="16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6"/>
                <w:szCs w:val="26"/>
              </w:rPr>
            </w:pPr>
            <w:r>
              <w:rPr>
                <w:bCs/>
                <w:sz w:val="20"/>
                <w:szCs w:val="20"/>
              </w:rPr>
              <w:t>1801,196</w:t>
            </w:r>
          </w:p>
        </w:tc>
        <w:tc>
          <w:tcPr>
            <w:tcW w:w="12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6"/>
                <w:szCs w:val="26"/>
              </w:rPr>
            </w:pPr>
            <w:r>
              <w:rPr>
                <w:sz w:val="20"/>
                <w:szCs w:val="20"/>
              </w:rPr>
              <w:t>162,04</w:t>
            </w:r>
          </w:p>
        </w:tc>
        <w:tc>
          <w:tcPr>
            <w:tcW w:w="71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6"/>
                <w:szCs w:val="26"/>
              </w:rPr>
            </w:pPr>
            <w:r>
              <w:rPr>
                <w:sz w:val="20"/>
                <w:szCs w:val="20"/>
              </w:rPr>
              <w:t>88,16</w:t>
            </w:r>
          </w:p>
        </w:tc>
        <w:tc>
          <w:tcPr>
            <w:tcW w:w="181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6"/>
                <w:szCs w:val="26"/>
              </w:rPr>
            </w:pPr>
            <w:r>
              <w:rPr>
                <w:sz w:val="20"/>
                <w:szCs w:val="20"/>
              </w:rPr>
              <w:t>0,304</w:t>
            </w:r>
          </w:p>
        </w:tc>
      </w:tr>
      <w:tr>
        <w:trPr>
          <w:trHeight w:val="20" w:hRule="atLeast"/>
        </w:trPr>
        <w:tc>
          <w:tcPr>
            <w:tcW w:w="44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sz w:val="20"/>
                <w:szCs w:val="20"/>
                <w:lang w:eastAsia="ru-RU"/>
              </w:rPr>
            </w:pPr>
            <w:r>
              <w:rPr>
                <w:sz w:val="20"/>
                <w:szCs w:val="20"/>
                <w:lang w:eastAsia="ru-RU"/>
              </w:rPr>
            </w:r>
          </w:p>
        </w:tc>
        <w:tc>
          <w:tcPr>
            <w:tcW w:w="178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sz w:val="20"/>
                <w:szCs w:val="20"/>
                <w:lang w:eastAsia="ru-RU"/>
              </w:rPr>
            </w:pPr>
            <w:r>
              <w:rPr>
                <w:sz w:val="20"/>
                <w:szCs w:val="20"/>
                <w:lang w:eastAsia="ru-RU"/>
              </w:rPr>
            </w:r>
          </w:p>
        </w:tc>
        <w:tc>
          <w:tcPr>
            <w:tcW w:w="12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6"/>
                <w:szCs w:val="26"/>
              </w:rPr>
            </w:pPr>
            <w:r>
              <w:rPr>
                <w:sz w:val="20"/>
                <w:szCs w:val="20"/>
                <w:lang w:eastAsia="ru-RU"/>
              </w:rPr>
              <w:t>2027</w:t>
            </w:r>
          </w:p>
        </w:tc>
        <w:tc>
          <w:tcPr>
            <w:tcW w:w="1786"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sz w:val="26"/>
                <w:szCs w:val="26"/>
              </w:rPr>
            </w:pPr>
            <w:r>
              <w:rPr>
                <w:sz w:val="20"/>
                <w:szCs w:val="20"/>
              </w:rPr>
              <w:t>4,30</w:t>
            </w:r>
          </w:p>
        </w:tc>
        <w:tc>
          <w:tcPr>
            <w:tcW w:w="137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6"/>
                <w:szCs w:val="26"/>
              </w:rPr>
            </w:pPr>
            <w:r>
              <w:rPr>
                <w:sz w:val="20"/>
                <w:szCs w:val="20"/>
              </w:rPr>
              <w:t>Природный газ</w:t>
            </w:r>
          </w:p>
        </w:tc>
        <w:tc>
          <w:tcPr>
            <w:tcW w:w="1238"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6"/>
                <w:szCs w:val="26"/>
              </w:rPr>
            </w:pPr>
            <w:r>
              <w:rPr>
                <w:sz w:val="20"/>
                <w:szCs w:val="20"/>
              </w:rPr>
              <w:t>-</w:t>
            </w:r>
          </w:p>
        </w:tc>
        <w:tc>
          <w:tcPr>
            <w:tcW w:w="1224"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6"/>
                <w:szCs w:val="26"/>
              </w:rPr>
            </w:pPr>
            <w:r>
              <w:rPr>
                <w:sz w:val="20"/>
                <w:szCs w:val="20"/>
              </w:rPr>
              <w:t>2076,78</w:t>
            </w:r>
          </w:p>
        </w:tc>
        <w:tc>
          <w:tcPr>
            <w:tcW w:w="16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6"/>
                <w:szCs w:val="26"/>
              </w:rPr>
            </w:pPr>
            <w:r>
              <w:rPr>
                <w:bCs/>
                <w:sz w:val="20"/>
                <w:szCs w:val="20"/>
              </w:rPr>
              <w:t>1801,196</w:t>
            </w:r>
          </w:p>
        </w:tc>
        <w:tc>
          <w:tcPr>
            <w:tcW w:w="12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6"/>
                <w:szCs w:val="26"/>
              </w:rPr>
            </w:pPr>
            <w:r>
              <w:rPr>
                <w:sz w:val="20"/>
                <w:szCs w:val="20"/>
              </w:rPr>
              <w:t>162,04</w:t>
            </w:r>
          </w:p>
        </w:tc>
        <w:tc>
          <w:tcPr>
            <w:tcW w:w="71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6"/>
                <w:szCs w:val="26"/>
              </w:rPr>
            </w:pPr>
            <w:r>
              <w:rPr>
                <w:sz w:val="20"/>
                <w:szCs w:val="20"/>
              </w:rPr>
              <w:t>88,16</w:t>
            </w:r>
          </w:p>
        </w:tc>
        <w:tc>
          <w:tcPr>
            <w:tcW w:w="181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6"/>
                <w:szCs w:val="26"/>
              </w:rPr>
            </w:pPr>
            <w:r>
              <w:rPr>
                <w:sz w:val="20"/>
                <w:szCs w:val="20"/>
              </w:rPr>
              <w:t>0,304</w:t>
            </w:r>
          </w:p>
        </w:tc>
      </w:tr>
      <w:tr>
        <w:trPr>
          <w:trHeight w:val="20" w:hRule="atLeast"/>
        </w:trPr>
        <w:tc>
          <w:tcPr>
            <w:tcW w:w="44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sz w:val="20"/>
                <w:szCs w:val="20"/>
                <w:lang w:eastAsia="ru-RU"/>
              </w:rPr>
            </w:pPr>
            <w:r>
              <w:rPr>
                <w:sz w:val="20"/>
                <w:szCs w:val="20"/>
                <w:lang w:eastAsia="ru-RU"/>
              </w:rPr>
            </w:r>
          </w:p>
        </w:tc>
        <w:tc>
          <w:tcPr>
            <w:tcW w:w="178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sz w:val="20"/>
                <w:szCs w:val="20"/>
                <w:lang w:eastAsia="ru-RU"/>
              </w:rPr>
            </w:pPr>
            <w:r>
              <w:rPr>
                <w:sz w:val="20"/>
                <w:szCs w:val="20"/>
                <w:lang w:eastAsia="ru-RU"/>
              </w:rPr>
            </w:r>
          </w:p>
        </w:tc>
        <w:tc>
          <w:tcPr>
            <w:tcW w:w="12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6"/>
                <w:szCs w:val="26"/>
              </w:rPr>
            </w:pPr>
            <w:r>
              <w:rPr>
                <w:sz w:val="20"/>
                <w:szCs w:val="20"/>
                <w:lang w:eastAsia="ru-RU"/>
              </w:rPr>
              <w:t>2028</w:t>
            </w:r>
          </w:p>
        </w:tc>
        <w:tc>
          <w:tcPr>
            <w:tcW w:w="1786"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sz w:val="26"/>
                <w:szCs w:val="26"/>
              </w:rPr>
            </w:pPr>
            <w:r>
              <w:rPr>
                <w:sz w:val="20"/>
                <w:szCs w:val="20"/>
              </w:rPr>
              <w:t>4,30</w:t>
            </w:r>
          </w:p>
        </w:tc>
        <w:tc>
          <w:tcPr>
            <w:tcW w:w="137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6"/>
                <w:szCs w:val="26"/>
              </w:rPr>
            </w:pPr>
            <w:r>
              <w:rPr>
                <w:sz w:val="20"/>
                <w:szCs w:val="20"/>
              </w:rPr>
              <w:t>Природный газ</w:t>
            </w:r>
          </w:p>
        </w:tc>
        <w:tc>
          <w:tcPr>
            <w:tcW w:w="1238"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6"/>
                <w:szCs w:val="26"/>
              </w:rPr>
            </w:pPr>
            <w:r>
              <w:rPr>
                <w:sz w:val="20"/>
                <w:szCs w:val="20"/>
              </w:rPr>
              <w:t>-</w:t>
            </w:r>
          </w:p>
        </w:tc>
        <w:tc>
          <w:tcPr>
            <w:tcW w:w="1224"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6"/>
                <w:szCs w:val="26"/>
              </w:rPr>
            </w:pPr>
            <w:r>
              <w:rPr>
                <w:sz w:val="20"/>
                <w:szCs w:val="20"/>
              </w:rPr>
              <w:t>2076,78</w:t>
            </w:r>
          </w:p>
        </w:tc>
        <w:tc>
          <w:tcPr>
            <w:tcW w:w="16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6"/>
                <w:szCs w:val="26"/>
              </w:rPr>
            </w:pPr>
            <w:r>
              <w:rPr>
                <w:bCs/>
                <w:sz w:val="20"/>
                <w:szCs w:val="20"/>
              </w:rPr>
              <w:t>1801,196</w:t>
            </w:r>
          </w:p>
        </w:tc>
        <w:tc>
          <w:tcPr>
            <w:tcW w:w="12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6"/>
                <w:szCs w:val="26"/>
              </w:rPr>
            </w:pPr>
            <w:r>
              <w:rPr>
                <w:sz w:val="20"/>
                <w:szCs w:val="20"/>
              </w:rPr>
              <w:t>162,04</w:t>
            </w:r>
          </w:p>
        </w:tc>
        <w:tc>
          <w:tcPr>
            <w:tcW w:w="71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6"/>
                <w:szCs w:val="26"/>
              </w:rPr>
            </w:pPr>
            <w:r>
              <w:rPr>
                <w:sz w:val="20"/>
                <w:szCs w:val="20"/>
              </w:rPr>
              <w:t>88,16</w:t>
            </w:r>
          </w:p>
        </w:tc>
        <w:tc>
          <w:tcPr>
            <w:tcW w:w="181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6"/>
                <w:szCs w:val="26"/>
              </w:rPr>
            </w:pPr>
            <w:r>
              <w:rPr>
                <w:sz w:val="20"/>
                <w:szCs w:val="20"/>
              </w:rPr>
              <w:t>0,304</w:t>
            </w:r>
          </w:p>
        </w:tc>
      </w:tr>
      <w:tr>
        <w:trPr>
          <w:trHeight w:val="20" w:hRule="atLeast"/>
        </w:trPr>
        <w:tc>
          <w:tcPr>
            <w:tcW w:w="44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sz w:val="20"/>
                <w:szCs w:val="20"/>
                <w:lang w:eastAsia="ru-RU"/>
              </w:rPr>
            </w:pPr>
            <w:r>
              <w:rPr>
                <w:sz w:val="20"/>
                <w:szCs w:val="20"/>
                <w:lang w:eastAsia="ru-RU"/>
              </w:rPr>
            </w:r>
          </w:p>
        </w:tc>
        <w:tc>
          <w:tcPr>
            <w:tcW w:w="178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sz w:val="20"/>
                <w:szCs w:val="20"/>
                <w:lang w:eastAsia="ru-RU"/>
              </w:rPr>
            </w:pPr>
            <w:r>
              <w:rPr>
                <w:sz w:val="20"/>
                <w:szCs w:val="20"/>
                <w:lang w:eastAsia="ru-RU"/>
              </w:rPr>
            </w:r>
          </w:p>
        </w:tc>
        <w:tc>
          <w:tcPr>
            <w:tcW w:w="12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6"/>
                <w:szCs w:val="26"/>
              </w:rPr>
            </w:pPr>
            <w:r>
              <w:rPr>
                <w:sz w:val="20"/>
                <w:szCs w:val="20"/>
                <w:lang w:eastAsia="ru-RU"/>
              </w:rPr>
              <w:t>2029-2032</w:t>
            </w:r>
          </w:p>
        </w:tc>
        <w:tc>
          <w:tcPr>
            <w:tcW w:w="1786"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sz w:val="26"/>
                <w:szCs w:val="26"/>
              </w:rPr>
            </w:pPr>
            <w:r>
              <w:rPr>
                <w:sz w:val="20"/>
                <w:szCs w:val="20"/>
              </w:rPr>
              <w:t>4,30</w:t>
            </w:r>
          </w:p>
        </w:tc>
        <w:tc>
          <w:tcPr>
            <w:tcW w:w="137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6"/>
                <w:szCs w:val="26"/>
              </w:rPr>
            </w:pPr>
            <w:r>
              <w:rPr>
                <w:sz w:val="20"/>
                <w:szCs w:val="20"/>
              </w:rPr>
              <w:t>Природный газ</w:t>
            </w:r>
          </w:p>
        </w:tc>
        <w:tc>
          <w:tcPr>
            <w:tcW w:w="1238"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6"/>
                <w:szCs w:val="26"/>
              </w:rPr>
            </w:pPr>
            <w:r>
              <w:rPr>
                <w:sz w:val="20"/>
                <w:szCs w:val="20"/>
              </w:rPr>
              <w:t>-</w:t>
            </w:r>
          </w:p>
        </w:tc>
        <w:tc>
          <w:tcPr>
            <w:tcW w:w="1224"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6"/>
                <w:szCs w:val="26"/>
              </w:rPr>
            </w:pPr>
            <w:r>
              <w:rPr>
                <w:sz w:val="20"/>
                <w:szCs w:val="20"/>
              </w:rPr>
              <w:t>2076,78</w:t>
            </w:r>
          </w:p>
        </w:tc>
        <w:tc>
          <w:tcPr>
            <w:tcW w:w="16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6"/>
                <w:szCs w:val="26"/>
              </w:rPr>
            </w:pPr>
            <w:r>
              <w:rPr>
                <w:bCs/>
                <w:sz w:val="20"/>
                <w:szCs w:val="20"/>
              </w:rPr>
              <w:t>1801,196</w:t>
            </w:r>
          </w:p>
        </w:tc>
        <w:tc>
          <w:tcPr>
            <w:tcW w:w="12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6"/>
                <w:szCs w:val="26"/>
              </w:rPr>
            </w:pPr>
            <w:r>
              <w:rPr>
                <w:sz w:val="20"/>
                <w:szCs w:val="20"/>
              </w:rPr>
              <w:t>162,04</w:t>
            </w:r>
          </w:p>
        </w:tc>
        <w:tc>
          <w:tcPr>
            <w:tcW w:w="71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6"/>
                <w:szCs w:val="26"/>
              </w:rPr>
            </w:pPr>
            <w:r>
              <w:rPr>
                <w:sz w:val="20"/>
                <w:szCs w:val="20"/>
              </w:rPr>
              <w:t>88,16</w:t>
            </w:r>
          </w:p>
        </w:tc>
        <w:tc>
          <w:tcPr>
            <w:tcW w:w="181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6"/>
                <w:szCs w:val="26"/>
              </w:rPr>
            </w:pPr>
            <w:r>
              <w:rPr>
                <w:sz w:val="20"/>
                <w:szCs w:val="20"/>
              </w:rPr>
              <w:t>0,304</w:t>
            </w:r>
          </w:p>
        </w:tc>
      </w:tr>
      <w:tr>
        <w:trPr>
          <w:trHeight w:val="20" w:hRule="atLeast"/>
        </w:trPr>
        <w:tc>
          <w:tcPr>
            <w:tcW w:w="44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sz w:val="20"/>
                <w:szCs w:val="20"/>
                <w:lang w:eastAsia="ru-RU"/>
              </w:rPr>
            </w:pPr>
            <w:r>
              <w:rPr>
                <w:sz w:val="20"/>
                <w:szCs w:val="20"/>
                <w:lang w:eastAsia="ru-RU"/>
              </w:rPr>
            </w:r>
          </w:p>
        </w:tc>
        <w:tc>
          <w:tcPr>
            <w:tcW w:w="178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sz w:val="20"/>
                <w:szCs w:val="20"/>
                <w:lang w:eastAsia="ru-RU"/>
              </w:rPr>
            </w:pPr>
            <w:r>
              <w:rPr>
                <w:sz w:val="20"/>
                <w:szCs w:val="20"/>
                <w:lang w:eastAsia="ru-RU"/>
              </w:rPr>
            </w:r>
          </w:p>
        </w:tc>
        <w:tc>
          <w:tcPr>
            <w:tcW w:w="12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6"/>
                <w:szCs w:val="26"/>
              </w:rPr>
            </w:pPr>
            <w:r>
              <w:rPr>
                <w:sz w:val="20"/>
                <w:szCs w:val="20"/>
                <w:lang w:eastAsia="ru-RU"/>
              </w:rPr>
              <w:t>2033-2035</w:t>
            </w:r>
          </w:p>
        </w:tc>
        <w:tc>
          <w:tcPr>
            <w:tcW w:w="1786"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sz w:val="26"/>
                <w:szCs w:val="26"/>
              </w:rPr>
            </w:pPr>
            <w:r>
              <w:rPr>
                <w:sz w:val="20"/>
                <w:szCs w:val="20"/>
              </w:rPr>
              <w:t>4,30</w:t>
            </w:r>
          </w:p>
        </w:tc>
        <w:tc>
          <w:tcPr>
            <w:tcW w:w="137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6"/>
                <w:szCs w:val="26"/>
              </w:rPr>
            </w:pPr>
            <w:r>
              <w:rPr>
                <w:sz w:val="20"/>
                <w:szCs w:val="20"/>
              </w:rPr>
              <w:t>Природный газ</w:t>
            </w:r>
          </w:p>
        </w:tc>
        <w:tc>
          <w:tcPr>
            <w:tcW w:w="1238"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6"/>
                <w:szCs w:val="26"/>
              </w:rPr>
            </w:pPr>
            <w:r>
              <w:rPr>
                <w:sz w:val="20"/>
                <w:szCs w:val="20"/>
              </w:rPr>
              <w:t>-</w:t>
            </w:r>
          </w:p>
        </w:tc>
        <w:tc>
          <w:tcPr>
            <w:tcW w:w="1224"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6"/>
                <w:szCs w:val="26"/>
              </w:rPr>
            </w:pPr>
            <w:r>
              <w:rPr>
                <w:sz w:val="20"/>
                <w:szCs w:val="20"/>
              </w:rPr>
              <w:t>2076,78</w:t>
            </w:r>
          </w:p>
        </w:tc>
        <w:tc>
          <w:tcPr>
            <w:tcW w:w="16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6"/>
                <w:szCs w:val="26"/>
              </w:rPr>
            </w:pPr>
            <w:r>
              <w:rPr>
                <w:bCs/>
                <w:sz w:val="20"/>
                <w:szCs w:val="20"/>
              </w:rPr>
              <w:t>1801,196</w:t>
            </w:r>
          </w:p>
        </w:tc>
        <w:tc>
          <w:tcPr>
            <w:tcW w:w="12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6"/>
                <w:szCs w:val="26"/>
              </w:rPr>
            </w:pPr>
            <w:r>
              <w:rPr>
                <w:sz w:val="20"/>
                <w:szCs w:val="20"/>
              </w:rPr>
              <w:t>162,04</w:t>
            </w:r>
          </w:p>
        </w:tc>
        <w:tc>
          <w:tcPr>
            <w:tcW w:w="71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6"/>
                <w:szCs w:val="26"/>
              </w:rPr>
            </w:pPr>
            <w:r>
              <w:rPr>
                <w:sz w:val="20"/>
                <w:szCs w:val="20"/>
              </w:rPr>
              <w:t>88,16</w:t>
            </w:r>
          </w:p>
        </w:tc>
        <w:tc>
          <w:tcPr>
            <w:tcW w:w="181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6"/>
                <w:szCs w:val="26"/>
              </w:rPr>
            </w:pPr>
            <w:r>
              <w:rPr>
                <w:sz w:val="20"/>
                <w:szCs w:val="20"/>
              </w:rPr>
              <w:t>0,304</w:t>
            </w:r>
          </w:p>
        </w:tc>
      </w:tr>
      <w:tr>
        <w:trPr>
          <w:trHeight w:val="20" w:hRule="atLeast"/>
        </w:trPr>
        <w:tc>
          <w:tcPr>
            <w:tcW w:w="441" w:type="dxa"/>
            <w:vMerge w:val="restart"/>
            <w:tcBorders>
              <w:top w:val="single" w:sz="4" w:space="0" w:color="000000"/>
              <w:left w:val="single" w:sz="4" w:space="0" w:color="000000"/>
              <w:bottom w:val="single" w:sz="4" w:space="0" w:color="000000"/>
              <w:right w:val="single" w:sz="4" w:space="0" w:color="000000"/>
            </w:tcBorders>
            <w:vAlign w:val="center"/>
          </w:tcPr>
          <w:p>
            <w:pPr>
              <w:pStyle w:val="Normal"/>
              <w:rPr>
                <w:sz w:val="20"/>
                <w:szCs w:val="20"/>
                <w:lang w:eastAsia="ru-RU"/>
              </w:rPr>
            </w:pPr>
            <w:r>
              <w:rPr>
                <w:sz w:val="20"/>
                <w:szCs w:val="20"/>
                <w:lang w:eastAsia="ru-RU"/>
              </w:rPr>
              <w:t>7</w:t>
            </w:r>
          </w:p>
        </w:tc>
        <w:tc>
          <w:tcPr>
            <w:tcW w:w="1786" w:type="dxa"/>
            <w:vMerge w:val="restart"/>
            <w:tcBorders>
              <w:top w:val="single" w:sz="4" w:space="0" w:color="000000"/>
              <w:left w:val="single" w:sz="4" w:space="0" w:color="000000"/>
              <w:bottom w:val="single" w:sz="4" w:space="0" w:color="000000"/>
              <w:right w:val="single" w:sz="4" w:space="0" w:color="000000"/>
            </w:tcBorders>
            <w:vAlign w:val="center"/>
          </w:tcPr>
          <w:p>
            <w:pPr>
              <w:pStyle w:val="Normal"/>
              <w:rPr>
                <w:sz w:val="20"/>
                <w:szCs w:val="20"/>
                <w:lang w:eastAsia="ru-RU"/>
              </w:rPr>
            </w:pPr>
            <w:r>
              <w:rPr>
                <w:sz w:val="20"/>
                <w:szCs w:val="20"/>
                <w:lang w:eastAsia="ru-RU"/>
              </w:rPr>
              <w:t xml:space="preserve">котельная № 8, </w:t>
            </w:r>
          </w:p>
          <w:p>
            <w:pPr>
              <w:pStyle w:val="Normal"/>
              <w:rPr>
                <w:sz w:val="20"/>
                <w:szCs w:val="20"/>
                <w:lang w:eastAsia="ru-RU"/>
              </w:rPr>
            </w:pPr>
            <w:r>
              <w:rPr>
                <w:sz w:val="20"/>
                <w:szCs w:val="20"/>
                <w:lang w:eastAsia="ru-RU"/>
              </w:rPr>
              <w:t xml:space="preserve">пгт.Октябрьское, </w:t>
            </w:r>
          </w:p>
          <w:p>
            <w:pPr>
              <w:pStyle w:val="Normal"/>
              <w:rPr>
                <w:sz w:val="20"/>
                <w:szCs w:val="20"/>
                <w:lang w:eastAsia="ru-RU"/>
              </w:rPr>
            </w:pPr>
            <w:r>
              <w:rPr>
                <w:sz w:val="20"/>
                <w:szCs w:val="20"/>
                <w:lang w:eastAsia="ru-RU"/>
              </w:rPr>
              <w:t>ул.50 лет, 38А</w:t>
            </w:r>
          </w:p>
        </w:tc>
        <w:tc>
          <w:tcPr>
            <w:tcW w:w="12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6"/>
                <w:szCs w:val="26"/>
              </w:rPr>
            </w:pPr>
            <w:r>
              <w:rPr>
                <w:sz w:val="20"/>
                <w:szCs w:val="20"/>
                <w:lang w:eastAsia="ru-RU"/>
              </w:rPr>
              <w:t>2024</w:t>
            </w:r>
          </w:p>
        </w:tc>
        <w:tc>
          <w:tcPr>
            <w:tcW w:w="178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6"/>
                <w:szCs w:val="26"/>
              </w:rPr>
            </w:pPr>
            <w:r>
              <w:rPr>
                <w:sz w:val="20"/>
                <w:szCs w:val="20"/>
              </w:rPr>
              <w:t>0,43</w:t>
            </w:r>
          </w:p>
        </w:tc>
        <w:tc>
          <w:tcPr>
            <w:tcW w:w="137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6"/>
                <w:szCs w:val="26"/>
              </w:rPr>
            </w:pPr>
            <w:r>
              <w:rPr>
                <w:sz w:val="20"/>
                <w:szCs w:val="20"/>
              </w:rPr>
              <w:t>Природный газ</w:t>
            </w:r>
          </w:p>
        </w:tc>
        <w:tc>
          <w:tcPr>
            <w:tcW w:w="1238"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6"/>
                <w:szCs w:val="26"/>
              </w:rPr>
            </w:pPr>
            <w:r>
              <w:rPr>
                <w:sz w:val="20"/>
                <w:szCs w:val="20"/>
              </w:rPr>
              <w:t> </w:t>
            </w:r>
          </w:p>
        </w:tc>
        <w:tc>
          <w:tcPr>
            <w:tcW w:w="1224"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6"/>
                <w:szCs w:val="26"/>
              </w:rPr>
            </w:pPr>
            <w:r>
              <w:rPr>
                <w:sz w:val="20"/>
                <w:szCs w:val="20"/>
              </w:rPr>
              <w:t>58,393</w:t>
            </w:r>
          </w:p>
        </w:tc>
        <w:tc>
          <w:tcPr>
            <w:tcW w:w="16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6"/>
                <w:szCs w:val="26"/>
              </w:rPr>
            </w:pPr>
            <w:r>
              <w:rPr>
                <w:sz w:val="20"/>
                <w:szCs w:val="20"/>
              </w:rPr>
              <w:t>50,644</w:t>
            </w:r>
          </w:p>
        </w:tc>
        <w:tc>
          <w:tcPr>
            <w:tcW w:w="12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6"/>
                <w:szCs w:val="26"/>
              </w:rPr>
            </w:pPr>
            <w:r>
              <w:rPr>
                <w:sz w:val="20"/>
                <w:szCs w:val="20"/>
              </w:rPr>
              <w:t>170,49</w:t>
            </w:r>
          </w:p>
        </w:tc>
        <w:tc>
          <w:tcPr>
            <w:tcW w:w="71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6"/>
                <w:szCs w:val="26"/>
              </w:rPr>
            </w:pPr>
            <w:r>
              <w:rPr>
                <w:sz w:val="20"/>
                <w:szCs w:val="20"/>
              </w:rPr>
              <w:t>83,79</w:t>
            </w:r>
          </w:p>
        </w:tc>
        <w:tc>
          <w:tcPr>
            <w:tcW w:w="181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6"/>
                <w:szCs w:val="26"/>
              </w:rPr>
            </w:pPr>
            <w:r>
              <w:rPr>
                <w:sz w:val="20"/>
                <w:szCs w:val="20"/>
              </w:rPr>
              <w:t>0,009</w:t>
            </w:r>
          </w:p>
        </w:tc>
      </w:tr>
      <w:tr>
        <w:trPr>
          <w:trHeight w:val="20" w:hRule="atLeast"/>
        </w:trPr>
        <w:tc>
          <w:tcPr>
            <w:tcW w:w="44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sz w:val="20"/>
                <w:szCs w:val="20"/>
                <w:lang w:eastAsia="ru-RU"/>
              </w:rPr>
            </w:pPr>
            <w:r>
              <w:rPr>
                <w:sz w:val="20"/>
                <w:szCs w:val="20"/>
                <w:lang w:eastAsia="ru-RU"/>
              </w:rPr>
            </w:r>
          </w:p>
        </w:tc>
        <w:tc>
          <w:tcPr>
            <w:tcW w:w="178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sz w:val="20"/>
                <w:szCs w:val="20"/>
                <w:lang w:eastAsia="ru-RU"/>
              </w:rPr>
            </w:pPr>
            <w:r>
              <w:rPr>
                <w:sz w:val="20"/>
                <w:szCs w:val="20"/>
                <w:lang w:eastAsia="ru-RU"/>
              </w:rPr>
            </w:r>
          </w:p>
        </w:tc>
        <w:tc>
          <w:tcPr>
            <w:tcW w:w="12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6"/>
                <w:szCs w:val="26"/>
              </w:rPr>
            </w:pPr>
            <w:r>
              <w:rPr>
                <w:sz w:val="20"/>
                <w:szCs w:val="20"/>
                <w:lang w:eastAsia="ru-RU"/>
              </w:rPr>
              <w:t>2025</w:t>
            </w:r>
          </w:p>
        </w:tc>
        <w:tc>
          <w:tcPr>
            <w:tcW w:w="178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6"/>
                <w:szCs w:val="26"/>
              </w:rPr>
            </w:pPr>
            <w:r>
              <w:rPr>
                <w:sz w:val="20"/>
                <w:szCs w:val="20"/>
              </w:rPr>
              <w:t>0,43</w:t>
            </w:r>
          </w:p>
        </w:tc>
        <w:tc>
          <w:tcPr>
            <w:tcW w:w="137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6"/>
                <w:szCs w:val="26"/>
              </w:rPr>
            </w:pPr>
            <w:r>
              <w:rPr>
                <w:sz w:val="20"/>
                <w:szCs w:val="20"/>
              </w:rPr>
              <w:t>Природный газ</w:t>
            </w:r>
          </w:p>
        </w:tc>
        <w:tc>
          <w:tcPr>
            <w:tcW w:w="1238"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rPr>
            </w:r>
          </w:p>
        </w:tc>
        <w:tc>
          <w:tcPr>
            <w:tcW w:w="1224"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6"/>
                <w:szCs w:val="26"/>
              </w:rPr>
            </w:pPr>
            <w:r>
              <w:rPr>
                <w:sz w:val="20"/>
                <w:szCs w:val="20"/>
              </w:rPr>
              <w:t>58,393</w:t>
            </w:r>
          </w:p>
        </w:tc>
        <w:tc>
          <w:tcPr>
            <w:tcW w:w="16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6"/>
                <w:szCs w:val="26"/>
              </w:rPr>
            </w:pPr>
            <w:r>
              <w:rPr>
                <w:sz w:val="20"/>
                <w:szCs w:val="20"/>
              </w:rPr>
              <w:t>50,644</w:t>
            </w:r>
          </w:p>
        </w:tc>
        <w:tc>
          <w:tcPr>
            <w:tcW w:w="12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6"/>
                <w:szCs w:val="26"/>
              </w:rPr>
            </w:pPr>
            <w:r>
              <w:rPr>
                <w:sz w:val="20"/>
                <w:szCs w:val="20"/>
              </w:rPr>
              <w:t>170,49</w:t>
            </w:r>
          </w:p>
        </w:tc>
        <w:tc>
          <w:tcPr>
            <w:tcW w:w="71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6"/>
                <w:szCs w:val="26"/>
              </w:rPr>
            </w:pPr>
            <w:r>
              <w:rPr>
                <w:sz w:val="20"/>
                <w:szCs w:val="20"/>
              </w:rPr>
              <w:t>83,79</w:t>
            </w:r>
          </w:p>
        </w:tc>
        <w:tc>
          <w:tcPr>
            <w:tcW w:w="181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6"/>
                <w:szCs w:val="26"/>
              </w:rPr>
            </w:pPr>
            <w:r>
              <w:rPr>
                <w:sz w:val="20"/>
                <w:szCs w:val="20"/>
              </w:rPr>
              <w:t>0,009</w:t>
            </w:r>
          </w:p>
        </w:tc>
      </w:tr>
      <w:tr>
        <w:trPr>
          <w:trHeight w:val="20" w:hRule="atLeast"/>
        </w:trPr>
        <w:tc>
          <w:tcPr>
            <w:tcW w:w="44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sz w:val="20"/>
                <w:szCs w:val="20"/>
                <w:lang w:eastAsia="ru-RU"/>
              </w:rPr>
            </w:pPr>
            <w:r>
              <w:rPr>
                <w:sz w:val="20"/>
                <w:szCs w:val="20"/>
                <w:lang w:eastAsia="ru-RU"/>
              </w:rPr>
            </w:r>
          </w:p>
        </w:tc>
        <w:tc>
          <w:tcPr>
            <w:tcW w:w="178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sz w:val="20"/>
                <w:szCs w:val="20"/>
                <w:lang w:eastAsia="ru-RU"/>
              </w:rPr>
            </w:pPr>
            <w:r>
              <w:rPr>
                <w:sz w:val="20"/>
                <w:szCs w:val="20"/>
                <w:lang w:eastAsia="ru-RU"/>
              </w:rPr>
            </w:r>
          </w:p>
        </w:tc>
        <w:tc>
          <w:tcPr>
            <w:tcW w:w="12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6"/>
                <w:szCs w:val="26"/>
              </w:rPr>
            </w:pPr>
            <w:r>
              <w:rPr>
                <w:sz w:val="20"/>
                <w:szCs w:val="20"/>
                <w:lang w:eastAsia="ru-RU"/>
              </w:rPr>
              <w:t>2026</w:t>
            </w:r>
          </w:p>
        </w:tc>
        <w:tc>
          <w:tcPr>
            <w:tcW w:w="178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6"/>
                <w:szCs w:val="26"/>
              </w:rPr>
            </w:pPr>
            <w:r>
              <w:rPr>
                <w:sz w:val="20"/>
                <w:szCs w:val="20"/>
              </w:rPr>
              <w:t>0,43</w:t>
            </w:r>
          </w:p>
        </w:tc>
        <w:tc>
          <w:tcPr>
            <w:tcW w:w="137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6"/>
                <w:szCs w:val="26"/>
              </w:rPr>
            </w:pPr>
            <w:r>
              <w:rPr>
                <w:sz w:val="20"/>
                <w:szCs w:val="20"/>
              </w:rPr>
              <w:t>Природный газ</w:t>
            </w:r>
          </w:p>
        </w:tc>
        <w:tc>
          <w:tcPr>
            <w:tcW w:w="1238"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rPr>
            </w:r>
          </w:p>
        </w:tc>
        <w:tc>
          <w:tcPr>
            <w:tcW w:w="1224"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6"/>
                <w:szCs w:val="26"/>
              </w:rPr>
            </w:pPr>
            <w:r>
              <w:rPr>
                <w:sz w:val="20"/>
                <w:szCs w:val="20"/>
              </w:rPr>
              <w:t>58,393</w:t>
            </w:r>
          </w:p>
        </w:tc>
        <w:tc>
          <w:tcPr>
            <w:tcW w:w="16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6"/>
                <w:szCs w:val="26"/>
              </w:rPr>
            </w:pPr>
            <w:r>
              <w:rPr>
                <w:sz w:val="20"/>
                <w:szCs w:val="20"/>
              </w:rPr>
              <w:t>50,644</w:t>
            </w:r>
          </w:p>
        </w:tc>
        <w:tc>
          <w:tcPr>
            <w:tcW w:w="12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6"/>
                <w:szCs w:val="26"/>
              </w:rPr>
            </w:pPr>
            <w:r>
              <w:rPr>
                <w:sz w:val="20"/>
                <w:szCs w:val="20"/>
              </w:rPr>
              <w:t>170,49</w:t>
            </w:r>
          </w:p>
        </w:tc>
        <w:tc>
          <w:tcPr>
            <w:tcW w:w="71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6"/>
                <w:szCs w:val="26"/>
              </w:rPr>
            </w:pPr>
            <w:r>
              <w:rPr>
                <w:sz w:val="20"/>
                <w:szCs w:val="20"/>
              </w:rPr>
              <w:t>83,79</w:t>
            </w:r>
          </w:p>
        </w:tc>
        <w:tc>
          <w:tcPr>
            <w:tcW w:w="181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6"/>
                <w:szCs w:val="26"/>
              </w:rPr>
            </w:pPr>
            <w:r>
              <w:rPr>
                <w:sz w:val="20"/>
                <w:szCs w:val="20"/>
              </w:rPr>
              <w:t>0,009</w:t>
            </w:r>
          </w:p>
        </w:tc>
      </w:tr>
      <w:tr>
        <w:trPr>
          <w:trHeight w:val="20" w:hRule="atLeast"/>
        </w:trPr>
        <w:tc>
          <w:tcPr>
            <w:tcW w:w="44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sz w:val="20"/>
                <w:szCs w:val="20"/>
                <w:lang w:eastAsia="ru-RU"/>
              </w:rPr>
            </w:pPr>
            <w:r>
              <w:rPr>
                <w:sz w:val="20"/>
                <w:szCs w:val="20"/>
                <w:lang w:eastAsia="ru-RU"/>
              </w:rPr>
            </w:r>
          </w:p>
        </w:tc>
        <w:tc>
          <w:tcPr>
            <w:tcW w:w="178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sz w:val="20"/>
                <w:szCs w:val="20"/>
                <w:lang w:eastAsia="ru-RU"/>
              </w:rPr>
            </w:pPr>
            <w:r>
              <w:rPr>
                <w:sz w:val="20"/>
                <w:szCs w:val="20"/>
                <w:lang w:eastAsia="ru-RU"/>
              </w:rPr>
            </w:r>
          </w:p>
        </w:tc>
        <w:tc>
          <w:tcPr>
            <w:tcW w:w="12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6"/>
                <w:szCs w:val="26"/>
              </w:rPr>
            </w:pPr>
            <w:r>
              <w:rPr>
                <w:sz w:val="20"/>
                <w:szCs w:val="20"/>
                <w:lang w:eastAsia="ru-RU"/>
              </w:rPr>
              <w:t>2027</w:t>
            </w:r>
          </w:p>
        </w:tc>
        <w:tc>
          <w:tcPr>
            <w:tcW w:w="11075" w:type="dxa"/>
            <w:gridSpan w:val="10"/>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xml:space="preserve">Децентрализация системы теплоснабжения пгт.Октябрьское путем перехода на автономные источники теплоснабжения, </w:t>
            </w:r>
          </w:p>
          <w:p>
            <w:pPr>
              <w:pStyle w:val="Normal"/>
              <w:jc w:val="center"/>
              <w:rPr>
                <w:sz w:val="26"/>
                <w:szCs w:val="26"/>
              </w:rPr>
            </w:pPr>
            <w:r>
              <w:rPr>
                <w:sz w:val="20"/>
                <w:szCs w:val="20"/>
                <w:lang w:eastAsia="ru-RU"/>
              </w:rPr>
              <w:t>отказ от эксплуатации тепловых сетей, вывод котельной № 8 пгт.Октябрьское, ул.50 лет Победы, 38а из эксплуатации.</w:t>
            </w:r>
          </w:p>
        </w:tc>
      </w:tr>
      <w:tr>
        <w:trPr>
          <w:trHeight w:val="20" w:hRule="atLeast"/>
        </w:trPr>
        <w:tc>
          <w:tcPr>
            <w:tcW w:w="441" w:type="dxa"/>
            <w:vMerge w:val="restart"/>
            <w:tcBorders>
              <w:top w:val="single" w:sz="4" w:space="0" w:color="000000"/>
              <w:left w:val="single" w:sz="4" w:space="0" w:color="000000"/>
              <w:bottom w:val="single" w:sz="4" w:space="0" w:color="000000"/>
              <w:right w:val="single" w:sz="4" w:space="0" w:color="000000"/>
            </w:tcBorders>
            <w:vAlign w:val="center"/>
          </w:tcPr>
          <w:p>
            <w:pPr>
              <w:pStyle w:val="Normal"/>
              <w:rPr>
                <w:sz w:val="20"/>
                <w:szCs w:val="20"/>
                <w:lang w:eastAsia="ru-RU"/>
              </w:rPr>
            </w:pPr>
            <w:r>
              <w:rPr>
                <w:sz w:val="20"/>
                <w:szCs w:val="20"/>
                <w:lang w:eastAsia="ru-RU"/>
              </w:rPr>
              <w:t>8</w:t>
            </w:r>
          </w:p>
        </w:tc>
        <w:tc>
          <w:tcPr>
            <w:tcW w:w="1786" w:type="dxa"/>
            <w:vMerge w:val="restart"/>
            <w:tcBorders>
              <w:top w:val="single" w:sz="4" w:space="0" w:color="000000"/>
              <w:left w:val="single" w:sz="4" w:space="0" w:color="000000"/>
              <w:bottom w:val="single" w:sz="4" w:space="0" w:color="000000"/>
              <w:right w:val="single" w:sz="4" w:space="0" w:color="000000"/>
            </w:tcBorders>
            <w:vAlign w:val="center"/>
          </w:tcPr>
          <w:p>
            <w:pPr>
              <w:pStyle w:val="Normal"/>
              <w:rPr>
                <w:sz w:val="20"/>
                <w:szCs w:val="20"/>
                <w:lang w:eastAsia="ru-RU"/>
              </w:rPr>
            </w:pPr>
            <w:r>
              <w:rPr>
                <w:sz w:val="20"/>
                <w:szCs w:val="20"/>
                <w:lang w:eastAsia="ru-RU"/>
              </w:rPr>
              <w:t xml:space="preserve">перспективная котельная, </w:t>
            </w:r>
          </w:p>
          <w:p>
            <w:pPr>
              <w:pStyle w:val="Normal"/>
              <w:rPr>
                <w:sz w:val="20"/>
                <w:szCs w:val="20"/>
                <w:lang w:eastAsia="ru-RU"/>
              </w:rPr>
            </w:pPr>
            <w:r>
              <w:rPr>
                <w:sz w:val="20"/>
                <w:szCs w:val="20"/>
                <w:lang w:eastAsia="ru-RU"/>
              </w:rPr>
              <w:t xml:space="preserve">пгт.Октябрьское, </w:t>
            </w:r>
          </w:p>
          <w:p>
            <w:pPr>
              <w:pStyle w:val="Normal"/>
              <w:rPr>
                <w:sz w:val="20"/>
                <w:szCs w:val="20"/>
                <w:lang w:eastAsia="ru-RU"/>
              </w:rPr>
            </w:pPr>
            <w:r>
              <w:rPr>
                <w:sz w:val="20"/>
                <w:szCs w:val="20"/>
                <w:lang w:eastAsia="ru-RU"/>
              </w:rPr>
              <w:t>ул.Дзержинского, 14</w:t>
            </w:r>
          </w:p>
        </w:tc>
        <w:tc>
          <w:tcPr>
            <w:tcW w:w="12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6"/>
                <w:szCs w:val="26"/>
              </w:rPr>
            </w:pPr>
            <w:r>
              <w:rPr>
                <w:sz w:val="20"/>
                <w:szCs w:val="20"/>
                <w:lang w:eastAsia="ru-RU"/>
              </w:rPr>
              <w:t>2024</w:t>
            </w:r>
          </w:p>
        </w:tc>
        <w:tc>
          <w:tcPr>
            <w:tcW w:w="11075" w:type="dxa"/>
            <w:gridSpan w:val="10"/>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sz w:val="26"/>
                <w:szCs w:val="26"/>
              </w:rPr>
            </w:pPr>
            <w:r>
              <w:rPr>
                <w:sz w:val="20"/>
                <w:szCs w:val="20"/>
                <w:lang w:eastAsia="ru-RU"/>
              </w:rPr>
              <w:t>Строительство котельной по ул.Дзержинского, 14 в пгт.Октябрьское. Вывод из эксплуатации котельной № 2 по ул.Пионерская, 17Б и котельной № 6 по ул.Дзержинского, 2Б с переключением нагрузки на новую котельную по ул.Дзержинского, 14</w:t>
            </w:r>
          </w:p>
        </w:tc>
      </w:tr>
      <w:tr>
        <w:trPr>
          <w:trHeight w:val="20" w:hRule="atLeast"/>
        </w:trPr>
        <w:tc>
          <w:tcPr>
            <w:tcW w:w="44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sz w:val="20"/>
                <w:szCs w:val="20"/>
                <w:lang w:eastAsia="ru-RU"/>
              </w:rPr>
            </w:pPr>
            <w:r>
              <w:rPr>
                <w:sz w:val="20"/>
                <w:szCs w:val="20"/>
                <w:lang w:eastAsia="ru-RU"/>
              </w:rPr>
            </w:r>
          </w:p>
        </w:tc>
        <w:tc>
          <w:tcPr>
            <w:tcW w:w="178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sz w:val="20"/>
                <w:szCs w:val="20"/>
                <w:lang w:eastAsia="ru-RU"/>
              </w:rPr>
            </w:pPr>
            <w:r>
              <w:rPr>
                <w:sz w:val="20"/>
                <w:szCs w:val="20"/>
                <w:lang w:eastAsia="ru-RU"/>
              </w:rPr>
            </w:r>
          </w:p>
        </w:tc>
        <w:tc>
          <w:tcPr>
            <w:tcW w:w="12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6"/>
                <w:szCs w:val="26"/>
              </w:rPr>
            </w:pPr>
            <w:r>
              <w:rPr>
                <w:sz w:val="20"/>
                <w:szCs w:val="20"/>
                <w:lang w:eastAsia="ru-RU"/>
              </w:rPr>
              <w:t>2025</w:t>
            </w:r>
          </w:p>
        </w:tc>
        <w:tc>
          <w:tcPr>
            <w:tcW w:w="11075" w:type="dxa"/>
            <w:gridSpan w:val="10"/>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r>
          </w:p>
        </w:tc>
      </w:tr>
      <w:tr>
        <w:trPr>
          <w:trHeight w:val="20" w:hRule="atLeast"/>
        </w:trPr>
        <w:tc>
          <w:tcPr>
            <w:tcW w:w="44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sz w:val="20"/>
                <w:szCs w:val="20"/>
                <w:lang w:eastAsia="ru-RU"/>
              </w:rPr>
            </w:pPr>
            <w:r>
              <w:rPr>
                <w:sz w:val="20"/>
                <w:szCs w:val="20"/>
                <w:lang w:eastAsia="ru-RU"/>
              </w:rPr>
            </w:r>
          </w:p>
        </w:tc>
        <w:tc>
          <w:tcPr>
            <w:tcW w:w="178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sz w:val="20"/>
                <w:szCs w:val="20"/>
                <w:lang w:eastAsia="ru-RU"/>
              </w:rPr>
            </w:pPr>
            <w:r>
              <w:rPr>
                <w:sz w:val="20"/>
                <w:szCs w:val="20"/>
                <w:lang w:eastAsia="ru-RU"/>
              </w:rPr>
            </w:r>
          </w:p>
        </w:tc>
        <w:tc>
          <w:tcPr>
            <w:tcW w:w="12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6"/>
                <w:szCs w:val="26"/>
              </w:rPr>
            </w:pPr>
            <w:r>
              <w:rPr>
                <w:sz w:val="20"/>
                <w:szCs w:val="20"/>
                <w:lang w:eastAsia="ru-RU"/>
              </w:rPr>
              <w:t>2026</w:t>
            </w:r>
          </w:p>
        </w:tc>
        <w:tc>
          <w:tcPr>
            <w:tcW w:w="11075" w:type="dxa"/>
            <w:gridSpan w:val="10"/>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r>
          </w:p>
        </w:tc>
      </w:tr>
      <w:tr>
        <w:trPr>
          <w:trHeight w:val="20" w:hRule="atLeast"/>
        </w:trPr>
        <w:tc>
          <w:tcPr>
            <w:tcW w:w="44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sz w:val="20"/>
                <w:szCs w:val="20"/>
                <w:lang w:eastAsia="ru-RU"/>
              </w:rPr>
            </w:pPr>
            <w:r>
              <w:rPr>
                <w:sz w:val="20"/>
                <w:szCs w:val="20"/>
                <w:lang w:eastAsia="ru-RU"/>
              </w:rPr>
            </w:r>
          </w:p>
        </w:tc>
        <w:tc>
          <w:tcPr>
            <w:tcW w:w="178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sz w:val="20"/>
                <w:szCs w:val="20"/>
                <w:lang w:eastAsia="ru-RU"/>
              </w:rPr>
            </w:pPr>
            <w:r>
              <w:rPr>
                <w:sz w:val="20"/>
                <w:szCs w:val="20"/>
                <w:lang w:eastAsia="ru-RU"/>
              </w:rPr>
            </w:r>
          </w:p>
        </w:tc>
        <w:tc>
          <w:tcPr>
            <w:tcW w:w="12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6"/>
                <w:szCs w:val="26"/>
              </w:rPr>
            </w:pPr>
            <w:r>
              <w:rPr>
                <w:sz w:val="20"/>
                <w:szCs w:val="20"/>
                <w:lang w:eastAsia="ru-RU"/>
              </w:rPr>
              <w:t>2027</w:t>
            </w:r>
          </w:p>
        </w:tc>
        <w:tc>
          <w:tcPr>
            <w:tcW w:w="178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6"/>
                <w:szCs w:val="26"/>
              </w:rPr>
            </w:pPr>
            <w:r>
              <w:rPr>
                <w:sz w:val="20"/>
                <w:szCs w:val="20"/>
              </w:rPr>
              <w:t>11,13</w:t>
            </w:r>
          </w:p>
        </w:tc>
        <w:tc>
          <w:tcPr>
            <w:tcW w:w="137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6"/>
                <w:szCs w:val="26"/>
              </w:rPr>
            </w:pPr>
            <w:r>
              <w:rPr>
                <w:sz w:val="20"/>
                <w:szCs w:val="20"/>
              </w:rPr>
              <w:t>Природный газ</w:t>
            </w:r>
          </w:p>
        </w:tc>
        <w:tc>
          <w:tcPr>
            <w:tcW w:w="1238"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6"/>
                <w:szCs w:val="26"/>
              </w:rPr>
            </w:pPr>
            <w:r>
              <w:rPr>
                <w:sz w:val="20"/>
                <w:szCs w:val="20"/>
              </w:rPr>
              <w:t>-</w:t>
            </w:r>
          </w:p>
        </w:tc>
        <w:tc>
          <w:tcPr>
            <w:tcW w:w="1224"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6"/>
                <w:szCs w:val="26"/>
              </w:rPr>
            </w:pPr>
            <w:r>
              <w:rPr>
                <w:sz w:val="20"/>
                <w:szCs w:val="20"/>
              </w:rPr>
              <w:t>2030,54</w:t>
            </w:r>
          </w:p>
        </w:tc>
        <w:tc>
          <w:tcPr>
            <w:tcW w:w="16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6"/>
                <w:szCs w:val="26"/>
              </w:rPr>
            </w:pPr>
            <w:r>
              <w:rPr>
                <w:sz w:val="20"/>
                <w:szCs w:val="20"/>
              </w:rPr>
              <w:t>1026,60</w:t>
            </w:r>
          </w:p>
        </w:tc>
        <w:tc>
          <w:tcPr>
            <w:tcW w:w="12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6"/>
                <w:szCs w:val="26"/>
              </w:rPr>
            </w:pPr>
            <w:r>
              <w:rPr>
                <w:sz w:val="20"/>
                <w:szCs w:val="20"/>
              </w:rPr>
              <w:t>155,6</w:t>
            </w:r>
          </w:p>
        </w:tc>
        <w:tc>
          <w:tcPr>
            <w:tcW w:w="71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6"/>
                <w:szCs w:val="26"/>
              </w:rPr>
            </w:pPr>
            <w:r>
              <w:rPr>
                <w:sz w:val="20"/>
                <w:szCs w:val="20"/>
              </w:rPr>
              <w:t>91,8</w:t>
            </w:r>
          </w:p>
        </w:tc>
        <w:tc>
          <w:tcPr>
            <w:tcW w:w="181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6"/>
                <w:szCs w:val="26"/>
              </w:rPr>
            </w:pPr>
            <w:r>
              <w:rPr>
                <w:sz w:val="20"/>
                <w:szCs w:val="20"/>
              </w:rPr>
              <w:t>0,12</w:t>
            </w:r>
          </w:p>
        </w:tc>
      </w:tr>
      <w:tr>
        <w:trPr>
          <w:trHeight w:val="20" w:hRule="atLeast"/>
        </w:trPr>
        <w:tc>
          <w:tcPr>
            <w:tcW w:w="44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sz w:val="20"/>
                <w:szCs w:val="20"/>
                <w:lang w:eastAsia="ru-RU"/>
              </w:rPr>
            </w:pPr>
            <w:r>
              <w:rPr>
                <w:sz w:val="20"/>
                <w:szCs w:val="20"/>
                <w:lang w:eastAsia="ru-RU"/>
              </w:rPr>
            </w:r>
          </w:p>
        </w:tc>
        <w:tc>
          <w:tcPr>
            <w:tcW w:w="178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sz w:val="20"/>
                <w:szCs w:val="20"/>
                <w:lang w:eastAsia="ru-RU"/>
              </w:rPr>
            </w:pPr>
            <w:r>
              <w:rPr>
                <w:sz w:val="20"/>
                <w:szCs w:val="20"/>
                <w:lang w:eastAsia="ru-RU"/>
              </w:rPr>
            </w:r>
          </w:p>
        </w:tc>
        <w:tc>
          <w:tcPr>
            <w:tcW w:w="12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2028</w:t>
            </w:r>
          </w:p>
        </w:tc>
        <w:tc>
          <w:tcPr>
            <w:tcW w:w="178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rPr>
              <w:t>11,13</w:t>
            </w:r>
          </w:p>
        </w:tc>
        <w:tc>
          <w:tcPr>
            <w:tcW w:w="137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rPr>
              <w:t>Природный газ</w:t>
            </w:r>
          </w:p>
        </w:tc>
        <w:tc>
          <w:tcPr>
            <w:tcW w:w="1238"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rPr>
              <w:t>-</w:t>
            </w:r>
          </w:p>
        </w:tc>
        <w:tc>
          <w:tcPr>
            <w:tcW w:w="1224"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rPr>
              <w:t>2030,54</w:t>
            </w:r>
          </w:p>
        </w:tc>
        <w:tc>
          <w:tcPr>
            <w:tcW w:w="16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rPr>
              <w:t>1026,60</w:t>
            </w:r>
          </w:p>
        </w:tc>
        <w:tc>
          <w:tcPr>
            <w:tcW w:w="12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rPr>
              <w:t>155,6</w:t>
            </w:r>
          </w:p>
        </w:tc>
        <w:tc>
          <w:tcPr>
            <w:tcW w:w="71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rPr>
              <w:t>91,8</w:t>
            </w:r>
          </w:p>
        </w:tc>
        <w:tc>
          <w:tcPr>
            <w:tcW w:w="181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rPr>
              <w:t>0,12</w:t>
            </w:r>
          </w:p>
        </w:tc>
      </w:tr>
      <w:tr>
        <w:trPr>
          <w:trHeight w:val="20" w:hRule="atLeast"/>
        </w:trPr>
        <w:tc>
          <w:tcPr>
            <w:tcW w:w="44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sz w:val="20"/>
                <w:szCs w:val="20"/>
                <w:lang w:eastAsia="ru-RU"/>
              </w:rPr>
            </w:pPr>
            <w:r>
              <w:rPr>
                <w:sz w:val="20"/>
                <w:szCs w:val="20"/>
                <w:lang w:eastAsia="ru-RU"/>
              </w:rPr>
            </w:r>
          </w:p>
        </w:tc>
        <w:tc>
          <w:tcPr>
            <w:tcW w:w="178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sz w:val="20"/>
                <w:szCs w:val="20"/>
                <w:lang w:eastAsia="ru-RU"/>
              </w:rPr>
            </w:pPr>
            <w:r>
              <w:rPr>
                <w:sz w:val="20"/>
                <w:szCs w:val="20"/>
                <w:lang w:eastAsia="ru-RU"/>
              </w:rPr>
            </w:r>
          </w:p>
        </w:tc>
        <w:tc>
          <w:tcPr>
            <w:tcW w:w="12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2029-2032</w:t>
            </w:r>
          </w:p>
        </w:tc>
        <w:tc>
          <w:tcPr>
            <w:tcW w:w="178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rPr>
              <w:t>11,13</w:t>
            </w:r>
          </w:p>
        </w:tc>
        <w:tc>
          <w:tcPr>
            <w:tcW w:w="137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rPr>
              <w:t>Природный газ</w:t>
            </w:r>
          </w:p>
        </w:tc>
        <w:tc>
          <w:tcPr>
            <w:tcW w:w="1238"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rPr>
              <w:t>-</w:t>
            </w:r>
          </w:p>
        </w:tc>
        <w:tc>
          <w:tcPr>
            <w:tcW w:w="1224"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rPr>
              <w:t>2030,54</w:t>
            </w:r>
          </w:p>
        </w:tc>
        <w:tc>
          <w:tcPr>
            <w:tcW w:w="16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rPr>
              <w:t>1026,60</w:t>
            </w:r>
          </w:p>
        </w:tc>
        <w:tc>
          <w:tcPr>
            <w:tcW w:w="12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rPr>
              <w:t>155,6</w:t>
            </w:r>
          </w:p>
        </w:tc>
        <w:tc>
          <w:tcPr>
            <w:tcW w:w="71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rPr>
              <w:t>91,8</w:t>
            </w:r>
          </w:p>
        </w:tc>
        <w:tc>
          <w:tcPr>
            <w:tcW w:w="181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rPr>
              <w:t>0,12</w:t>
            </w:r>
          </w:p>
        </w:tc>
      </w:tr>
      <w:tr>
        <w:trPr>
          <w:trHeight w:val="20" w:hRule="atLeast"/>
        </w:trPr>
        <w:tc>
          <w:tcPr>
            <w:tcW w:w="44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sz w:val="20"/>
                <w:szCs w:val="20"/>
                <w:lang w:eastAsia="ru-RU"/>
              </w:rPr>
            </w:pPr>
            <w:r>
              <w:rPr>
                <w:sz w:val="20"/>
                <w:szCs w:val="20"/>
                <w:lang w:eastAsia="ru-RU"/>
              </w:rPr>
            </w:r>
          </w:p>
        </w:tc>
        <w:tc>
          <w:tcPr>
            <w:tcW w:w="178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sz w:val="20"/>
                <w:szCs w:val="20"/>
                <w:lang w:eastAsia="ru-RU"/>
              </w:rPr>
            </w:pPr>
            <w:r>
              <w:rPr>
                <w:sz w:val="20"/>
                <w:szCs w:val="20"/>
                <w:lang w:eastAsia="ru-RU"/>
              </w:rPr>
            </w:r>
          </w:p>
        </w:tc>
        <w:tc>
          <w:tcPr>
            <w:tcW w:w="12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2033-2035</w:t>
            </w:r>
          </w:p>
        </w:tc>
        <w:tc>
          <w:tcPr>
            <w:tcW w:w="178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rPr>
              <w:t>11,13</w:t>
            </w:r>
          </w:p>
        </w:tc>
        <w:tc>
          <w:tcPr>
            <w:tcW w:w="137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rPr>
              <w:t>Природный газ</w:t>
            </w:r>
          </w:p>
        </w:tc>
        <w:tc>
          <w:tcPr>
            <w:tcW w:w="1238"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rPr>
              <w:t>-</w:t>
            </w:r>
          </w:p>
        </w:tc>
        <w:tc>
          <w:tcPr>
            <w:tcW w:w="1224"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rPr>
              <w:t>2030,54</w:t>
            </w:r>
          </w:p>
        </w:tc>
        <w:tc>
          <w:tcPr>
            <w:tcW w:w="16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rPr>
              <w:t>1026,60</w:t>
            </w:r>
          </w:p>
        </w:tc>
        <w:tc>
          <w:tcPr>
            <w:tcW w:w="12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rPr>
              <w:t>155,6</w:t>
            </w:r>
          </w:p>
        </w:tc>
        <w:tc>
          <w:tcPr>
            <w:tcW w:w="71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rPr>
              <w:t>91,8</w:t>
            </w:r>
          </w:p>
        </w:tc>
        <w:tc>
          <w:tcPr>
            <w:tcW w:w="181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rPr>
              <w:t>0,12</w:t>
            </w:r>
          </w:p>
        </w:tc>
      </w:tr>
    </w:tbl>
    <w:p>
      <w:pPr>
        <w:sectPr>
          <w:headerReference w:type="default" r:id="rId23"/>
          <w:footerReference w:type="default" r:id="rId24"/>
          <w:type w:val="nextPage"/>
          <w:pgSz w:orient="landscape" w:w="16838" w:h="11906"/>
          <w:pgMar w:left="1701" w:right="567" w:header="708" w:top="1701" w:footer="708" w:bottom="850" w:gutter="0"/>
          <w:pgNumType w:fmt="decimal"/>
          <w:formProt w:val="false"/>
          <w:textDirection w:val="lrTb"/>
          <w:docGrid w:type="default" w:linePitch="360" w:charSpace="0"/>
        </w:sectPr>
      </w:pPr>
    </w:p>
    <w:p>
      <w:pPr>
        <w:pStyle w:val="Normal"/>
        <w:keepNext w:val="true"/>
        <w:keepLines/>
        <w:numPr>
          <w:ilvl w:val="0"/>
          <w:numId w:val="0"/>
        </w:numPr>
        <w:ind w:left="0" w:firstLine="709"/>
        <w:jc w:val="both"/>
        <w:outlineLvl w:val="1"/>
        <w:rPr>
          <w:rFonts w:eastAsia="Calibri Light" w:cs="Calibri Light"/>
          <w:b/>
          <w:b/>
          <w:szCs w:val="26"/>
          <w:lang w:eastAsia="en-US"/>
        </w:rPr>
      </w:pPr>
      <w:bookmarkStart w:id="293" w:name="_Toc535417894"/>
      <w:bookmarkStart w:id="294" w:name="_Toc160530718"/>
      <w:bookmarkStart w:id="295" w:name="_Toc23034137"/>
      <w:bookmarkStart w:id="296" w:name="_Toc181366994"/>
      <w:bookmarkStart w:id="297" w:name="_Toc525894730"/>
      <w:bookmarkStart w:id="298" w:name="_Ref33996575"/>
      <w:bookmarkStart w:id="299" w:name="_Hlk50124822"/>
      <w:bookmarkStart w:id="300" w:name="_Hlk160712053"/>
      <w:bookmarkEnd w:id="298"/>
      <w:bookmarkEnd w:id="299"/>
      <w:bookmarkEnd w:id="300"/>
      <w:r>
        <w:rPr>
          <w:rFonts w:eastAsia="Calibri Light" w:cs="Calibri Light"/>
          <w:b/>
          <w:szCs w:val="26"/>
          <w:lang w:eastAsia="en-US"/>
        </w:rPr>
        <w:t>8.2.</w:t>
        <w:tab/>
        <w:t>Потребляемые источником тепловой энергии виды топлива, включая местные виды топлива, а также используемые возобновляемые источники энергии</w:t>
      </w:r>
      <w:bookmarkEnd w:id="293"/>
      <w:bookmarkEnd w:id="294"/>
      <w:bookmarkEnd w:id="295"/>
      <w:bookmarkEnd w:id="296"/>
      <w:bookmarkEnd w:id="297"/>
    </w:p>
    <w:p>
      <w:pPr>
        <w:pStyle w:val="Normal"/>
        <w:ind w:firstLine="709"/>
        <w:jc w:val="both"/>
        <w:rPr>
          <w:rFonts w:eastAsia="Calibri" w:cs="Calibri"/>
          <w:szCs w:val="22"/>
          <w:lang w:eastAsia="ru-RU"/>
        </w:rPr>
      </w:pPr>
      <w:bookmarkStart w:id="301" w:name="_Hlk160712067"/>
      <w:bookmarkStart w:id="302" w:name="_Hlk1607120531"/>
      <w:bookmarkStart w:id="303" w:name="_Ref339965751"/>
      <w:bookmarkStart w:id="304" w:name="_Hlk501248221"/>
      <w:bookmarkEnd w:id="301"/>
      <w:bookmarkEnd w:id="302"/>
      <w:bookmarkEnd w:id="303"/>
      <w:bookmarkEnd w:id="304"/>
      <w:r>
        <w:rPr>
          <w:rFonts w:eastAsia="Calibri" w:cs="Calibri"/>
          <w:szCs w:val="22"/>
          <w:lang w:eastAsia="en-US"/>
        </w:rPr>
        <w:t>На котельных поселения в качестве основного топлива используется природный газ, в</w:t>
      </w:r>
      <w:r>
        <w:rPr>
          <w:rFonts w:eastAsia="Calibri" w:cs="Calibri"/>
          <w:szCs w:val="22"/>
          <w:lang w:eastAsia="ru-RU"/>
        </w:rPr>
        <w:t xml:space="preserve"> качестве резервного топлива – дизельное топливо </w:t>
      </w:r>
      <w:r>
        <w:rPr/>
        <w:t>(где имеется техническая возможность).</w:t>
      </w:r>
      <w:bookmarkStart w:id="305" w:name="_Toc181366995"/>
      <w:bookmarkStart w:id="306" w:name="_Toc160530719"/>
      <w:bookmarkStart w:id="307" w:name="_Toc83718967"/>
      <w:bookmarkEnd w:id="307"/>
    </w:p>
    <w:p>
      <w:pPr>
        <w:pStyle w:val="Normal"/>
        <w:ind w:firstLine="709"/>
        <w:jc w:val="both"/>
        <w:rPr>
          <w:rFonts w:eastAsia="Calibri" w:cs="Calibri"/>
          <w:szCs w:val="22"/>
          <w:lang w:eastAsia="ru-RU"/>
        </w:rPr>
      </w:pPr>
      <w:r>
        <w:rPr>
          <w:rFonts w:eastAsia="Calibri" w:cs="Calibri"/>
          <w:szCs w:val="22"/>
          <w:lang w:eastAsia="ru-RU"/>
        </w:rPr>
      </w:r>
    </w:p>
    <w:p>
      <w:pPr>
        <w:pStyle w:val="Normal"/>
        <w:ind w:firstLine="709"/>
        <w:jc w:val="both"/>
        <w:rPr>
          <w:rFonts w:eastAsia="Calibri" w:cs="Calibri"/>
          <w:szCs w:val="22"/>
          <w:lang w:eastAsia="ru-RU"/>
        </w:rPr>
      </w:pPr>
      <w:r>
        <w:rPr>
          <w:rFonts w:eastAsia="Calibri Light" w:cs="Calibri Light"/>
          <w:b/>
          <w:szCs w:val="26"/>
          <w:lang w:eastAsia="en-US"/>
        </w:rPr>
        <w:t>8.3. Виды топлива (в случае, если топливом является уголь, - вид ископаемого угля в соответствии с Межгосударственным стандартом </w:t>
      </w:r>
      <w:r>
        <w:fldChar w:fldCharType="begin"/>
      </w:r>
      <w:r>
        <w:rPr>
          <w:b/>
          <w:szCs w:val="26"/>
          <w:rFonts w:eastAsia="Calibri Light" w:cs="Calibri Light"/>
          <w:lang w:eastAsia="en-US"/>
        </w:rPr>
        <w:instrText> HYPERLINK "https://docs.cntd.ru/document/1200107843" \l "7D20K3"</w:instrText>
      </w:r>
      <w:r>
        <w:rPr>
          <w:b/>
          <w:szCs w:val="26"/>
          <w:rFonts w:eastAsia="Calibri Light" w:cs="Calibri Light"/>
          <w:lang w:eastAsia="en-US"/>
        </w:rPr>
        <w:fldChar w:fldCharType="separate"/>
      </w:r>
      <w:r>
        <w:rPr>
          <w:rFonts w:eastAsia="Calibri Light" w:cs="Calibri Light"/>
          <w:b/>
          <w:szCs w:val="26"/>
          <w:lang w:eastAsia="en-US"/>
        </w:rPr>
        <w:t>ГОСТ 25543-2013 «Угли бурые, каменные и антрациты. Классификация по генетическим и технологическим параметрам»</w:t>
      </w:r>
      <w:r>
        <w:rPr>
          <w:b/>
          <w:szCs w:val="26"/>
          <w:rFonts w:eastAsia="Calibri Light" w:cs="Calibri Light"/>
          <w:lang w:eastAsia="en-US"/>
        </w:rPr>
        <w:fldChar w:fldCharType="end"/>
      </w:r>
      <w:r>
        <w:rPr>
          <w:rFonts w:eastAsia="Calibri Light" w:cs="Calibri Light"/>
          <w:b/>
          <w:szCs w:val="26"/>
          <w:lang w:eastAsia="en-US"/>
        </w:rPr>
        <w:t>), их доля и значение низшей теплоты сгорания топлива, используемые для производства тепловой энергии по каждой системе теплоснабжения</w:t>
      </w:r>
      <w:bookmarkEnd w:id="305"/>
      <w:bookmarkEnd w:id="306"/>
    </w:p>
    <w:p>
      <w:pPr>
        <w:pStyle w:val="Normal"/>
        <w:ind w:firstLine="709"/>
        <w:jc w:val="both"/>
        <w:rPr>
          <w:rFonts w:eastAsia="Calibri" w:cs="Calibri"/>
          <w:szCs w:val="22"/>
          <w:lang w:eastAsia="ru-RU"/>
        </w:rPr>
      </w:pPr>
      <w:bookmarkStart w:id="308" w:name="_Toc83718968"/>
      <w:bookmarkStart w:id="309" w:name="_Toc837189671"/>
      <w:bookmarkStart w:id="310" w:name="_Hlk1607120671"/>
      <w:bookmarkEnd w:id="308"/>
      <w:bookmarkEnd w:id="309"/>
      <w:bookmarkEnd w:id="310"/>
      <w:r>
        <w:rPr>
          <w:rFonts w:eastAsia="Calibri" w:cs="Calibri"/>
          <w:szCs w:val="22"/>
          <w:lang w:eastAsia="en-US"/>
        </w:rPr>
        <w:t xml:space="preserve">На котельных поселения в качестве основного топлива используется природный газ, в </w:t>
      </w:r>
      <w:r>
        <w:rPr>
          <w:rFonts w:eastAsia="Calibri" w:cs="Calibri"/>
          <w:szCs w:val="22"/>
          <w:lang w:eastAsia="ru-RU"/>
        </w:rPr>
        <w:t xml:space="preserve">качестве резервного топлива – дизельное топливо. </w:t>
      </w:r>
    </w:p>
    <w:p>
      <w:pPr>
        <w:pStyle w:val="Normal"/>
        <w:ind w:firstLine="709"/>
        <w:jc w:val="both"/>
        <w:rPr>
          <w:rFonts w:eastAsia="Calibri" w:cs="Calibri"/>
          <w:szCs w:val="22"/>
          <w:lang w:eastAsia="ru-RU"/>
        </w:rPr>
      </w:pPr>
      <w:r>
        <w:rPr>
          <w:rFonts w:eastAsia="Calibri" w:cs="Calibri"/>
          <w:szCs w:val="22"/>
          <w:lang w:eastAsia="ru-RU"/>
        </w:rPr>
        <w:t>Характеристики топлива:</w:t>
      </w:r>
    </w:p>
    <w:p>
      <w:pPr>
        <w:pStyle w:val="Normal"/>
        <w:ind w:firstLine="709"/>
        <w:jc w:val="both"/>
        <w:rPr>
          <w:rFonts w:eastAsia="Calibri" w:cs="Calibri"/>
          <w:szCs w:val="22"/>
          <w:lang w:eastAsia="ru-RU"/>
        </w:rPr>
      </w:pPr>
      <w:r>
        <w:rPr>
          <w:rFonts w:eastAsia="Calibri" w:cs="Calibri"/>
          <w:szCs w:val="22"/>
          <w:lang w:eastAsia="ru-RU"/>
        </w:rPr>
        <w:t>- природный газ: плотность газа 0,702 кг/м</w:t>
      </w:r>
      <w:r>
        <w:rPr>
          <w:rFonts w:eastAsia="Calibri" w:cs="Calibri"/>
          <w:szCs w:val="22"/>
          <w:vertAlign w:val="superscript"/>
          <w:lang w:eastAsia="ru-RU"/>
        </w:rPr>
        <w:t>3</w:t>
      </w:r>
      <w:r>
        <w:rPr>
          <w:rFonts w:eastAsia="Calibri" w:cs="Calibri"/>
          <w:szCs w:val="22"/>
          <w:lang w:eastAsia="ru-RU"/>
        </w:rPr>
        <w:t xml:space="preserve"> при температуре 0 °С и давлении 0,10132 МПа. Низшая теплота сгорания</w:t>
      </w:r>
      <w:r>
        <w:rPr>
          <w:rFonts w:eastAsia="Calibri" w:cs="Calibri"/>
          <w:szCs w:val="22"/>
          <w:lang w:eastAsia="en-US"/>
        </w:rPr>
        <w:t xml:space="preserve"> 8,216 Гкал/тыс. </w:t>
      </w:r>
      <w:r>
        <w:rPr>
          <w:rFonts w:eastAsia="Calibri" w:cs="Calibri"/>
          <w:szCs w:val="22"/>
          <w:lang w:eastAsia="ru-RU"/>
        </w:rPr>
        <w:t>м</w:t>
      </w:r>
      <w:r>
        <w:rPr>
          <w:rFonts w:eastAsia="Calibri" w:cs="Calibri"/>
          <w:szCs w:val="22"/>
          <w:vertAlign w:val="superscript"/>
          <w:lang w:eastAsia="ru-RU"/>
        </w:rPr>
        <w:t>3</w:t>
      </w:r>
      <w:r>
        <w:rPr>
          <w:rFonts w:eastAsia="Calibri" w:cs="Calibri"/>
          <w:szCs w:val="22"/>
          <w:lang w:eastAsia="ru-RU"/>
        </w:rPr>
        <w:t>;</w:t>
      </w:r>
    </w:p>
    <w:p>
      <w:pPr>
        <w:pStyle w:val="Normal"/>
        <w:ind w:firstLine="709"/>
        <w:jc w:val="both"/>
        <w:rPr>
          <w:rFonts w:eastAsia="Calibri" w:cs="Calibri"/>
          <w:szCs w:val="22"/>
          <w:lang w:eastAsia="ru-RU"/>
        </w:rPr>
      </w:pPr>
      <w:r>
        <w:rPr>
          <w:rFonts w:eastAsia="Calibri" w:cs="Calibri"/>
          <w:szCs w:val="22"/>
          <w:lang w:eastAsia="ru-RU"/>
        </w:rPr>
        <w:t>- дизельное топливо: высшая теплота сгорания, сухое беззольное состояние - 10700 Ккал/кг,  низшая теплота сгорания на рабочее состояние – 10127 Ккал/кг.</w:t>
      </w:r>
      <w:bookmarkStart w:id="311" w:name="_Toc160530720"/>
      <w:bookmarkStart w:id="312" w:name="_Toc181366996"/>
    </w:p>
    <w:p>
      <w:pPr>
        <w:pStyle w:val="Normal"/>
        <w:ind w:firstLine="709"/>
        <w:jc w:val="both"/>
        <w:rPr>
          <w:rFonts w:eastAsia="Calibri" w:cs="Calibri"/>
          <w:szCs w:val="22"/>
          <w:lang w:eastAsia="ru-RU"/>
        </w:rPr>
      </w:pPr>
      <w:r>
        <w:rPr>
          <w:rFonts w:eastAsia="Calibri" w:cs="Calibri"/>
          <w:szCs w:val="22"/>
          <w:lang w:eastAsia="ru-RU"/>
        </w:rPr>
      </w:r>
    </w:p>
    <w:p>
      <w:pPr>
        <w:pStyle w:val="Normal"/>
        <w:ind w:firstLine="709"/>
        <w:jc w:val="both"/>
        <w:rPr>
          <w:rFonts w:eastAsia="Calibri" w:cs="Calibri"/>
          <w:szCs w:val="22"/>
          <w:lang w:eastAsia="ru-RU"/>
        </w:rPr>
      </w:pPr>
      <w:r>
        <w:rPr>
          <w:rFonts w:eastAsia="Calibri Light" w:cs="Calibri Light"/>
          <w:b/>
          <w:szCs w:val="26"/>
          <w:lang w:eastAsia="en-US"/>
        </w:rPr>
        <w:t>8.4. Преобладающий в поселении вид топлива, определяемый по совокупности всех систем теплоснабжения, находящихся в соответствующем поселении</w:t>
      </w:r>
      <w:bookmarkStart w:id="313" w:name="_Toc160530721"/>
      <w:bookmarkStart w:id="314" w:name="_Toc181366997"/>
      <w:bookmarkStart w:id="315" w:name="_Hlk160712077"/>
      <w:bookmarkStart w:id="316" w:name="_Hlk160712081"/>
      <w:bookmarkStart w:id="317" w:name="_Toc837189681"/>
      <w:bookmarkEnd w:id="311"/>
      <w:bookmarkEnd w:id="312"/>
      <w:bookmarkEnd w:id="315"/>
      <w:bookmarkEnd w:id="316"/>
      <w:bookmarkEnd w:id="317"/>
    </w:p>
    <w:p>
      <w:pPr>
        <w:pStyle w:val="Normal"/>
        <w:ind w:firstLine="709"/>
        <w:jc w:val="both"/>
        <w:rPr>
          <w:rFonts w:eastAsia="Calibri" w:cs="Calibri"/>
          <w:szCs w:val="22"/>
          <w:lang w:eastAsia="ru-RU"/>
        </w:rPr>
      </w:pPr>
      <w:r>
        <w:rPr>
          <w:rFonts w:eastAsia="Calibri"/>
          <w:szCs w:val="22"/>
        </w:rPr>
        <w:t>Преобладающим видом топлива в поселении является природный газ.</w:t>
      </w:r>
    </w:p>
    <w:p>
      <w:pPr>
        <w:pStyle w:val="Normal"/>
        <w:ind w:firstLine="709"/>
        <w:jc w:val="both"/>
        <w:rPr>
          <w:rFonts w:eastAsia="Calibri" w:cs="Calibri"/>
          <w:szCs w:val="22"/>
          <w:lang w:eastAsia="ru-RU"/>
        </w:rPr>
      </w:pPr>
      <w:r>
        <w:rPr>
          <w:rFonts w:eastAsia="Calibri" w:cs="Calibri"/>
          <w:szCs w:val="22"/>
          <w:lang w:eastAsia="ru-RU"/>
        </w:rPr>
      </w:r>
    </w:p>
    <w:p>
      <w:pPr>
        <w:pStyle w:val="Normal"/>
        <w:ind w:firstLine="709"/>
        <w:jc w:val="both"/>
        <w:rPr>
          <w:rFonts w:eastAsia="Calibri" w:cs="Calibri"/>
          <w:szCs w:val="22"/>
          <w:lang w:eastAsia="ru-RU"/>
        </w:rPr>
      </w:pPr>
      <w:r>
        <w:rPr>
          <w:rFonts w:eastAsia="Calibri Light" w:cs="Calibri Light"/>
          <w:b/>
          <w:szCs w:val="26"/>
          <w:lang w:eastAsia="en-US"/>
        </w:rPr>
        <w:t>8.5. Приоритетное направление развития топливного баланса поселения</w:t>
      </w:r>
      <w:bookmarkStart w:id="318" w:name="_Hlk1607120811"/>
      <w:bookmarkStart w:id="319" w:name="_Hlk160531856"/>
      <w:bookmarkStart w:id="320" w:name="_Hlk160633100"/>
      <w:bookmarkStart w:id="321" w:name="_Hlk160712089"/>
      <w:bookmarkEnd w:id="313"/>
      <w:bookmarkEnd w:id="314"/>
      <w:bookmarkEnd w:id="318"/>
      <w:bookmarkEnd w:id="319"/>
      <w:bookmarkEnd w:id="320"/>
      <w:bookmarkEnd w:id="321"/>
    </w:p>
    <w:p>
      <w:pPr>
        <w:pStyle w:val="Normal"/>
        <w:ind w:firstLine="709"/>
        <w:jc w:val="both"/>
        <w:rPr>
          <w:rFonts w:eastAsia="Calibri" w:cs="Calibri"/>
          <w:szCs w:val="22"/>
          <w:lang w:eastAsia="ru-RU"/>
        </w:rPr>
      </w:pPr>
      <w:r>
        <w:rPr>
          <w:rFonts w:eastAsia="Calibri"/>
          <w:szCs w:val="22"/>
        </w:rPr>
        <w:t>Преобладающим видом топлива в поселении является природный газ. Перевод котельных на другие виды топлива не планируется.</w:t>
      </w:r>
    </w:p>
    <w:p>
      <w:pPr>
        <w:sectPr>
          <w:headerReference w:type="default" r:id="rId25"/>
          <w:footerReference w:type="default" r:id="rId26"/>
          <w:type w:val="nextPage"/>
          <w:pgSz w:w="11906" w:h="16838"/>
          <w:pgMar w:left="1701" w:right="567" w:header="708" w:top="1134" w:footer="708" w:bottom="1134" w:gutter="0"/>
          <w:pgNumType w:fmt="decimal"/>
          <w:formProt w:val="false"/>
          <w:textDirection w:val="lrTb"/>
          <w:docGrid w:type="default" w:linePitch="360" w:charSpace="0"/>
        </w:sectPr>
        <w:pStyle w:val="Normal"/>
        <w:ind w:firstLine="709"/>
        <w:jc w:val="both"/>
        <w:rPr>
          <w:rFonts w:eastAsia="Calibri" w:cs="Calibri"/>
          <w:szCs w:val="22"/>
          <w:lang w:eastAsia="ru-RU"/>
        </w:rPr>
      </w:pPr>
      <w:r>
        <w:rPr>
          <w:lang w:eastAsia="ru-RU"/>
        </w:rPr>
        <w:t>Основным направлением развития системы теплоснабжения выбрано сохранение существующей системы с проведением работ по модернизации оборудования источника теплоснабжения (замена изношенного оборудования, проведение текущих и плановых ремонтов и т.д.)</w:t>
      </w:r>
      <w:r>
        <w:rPr>
          <w:rFonts w:eastAsia="Calibri"/>
          <w:szCs w:val="22"/>
        </w:rPr>
        <w:t xml:space="preserve">. </w:t>
      </w:r>
      <w:r>
        <w:rPr>
          <w:rFonts w:eastAsia="Calibri"/>
        </w:rPr>
        <w:t>Для обеспечения качественного и надежного теплоснабжения потребителей, данный вариант развития предусматривает также реконструкцию изношенных тепловых сетей.</w:t>
      </w:r>
    </w:p>
    <w:p>
      <w:pPr>
        <w:pStyle w:val="Normal"/>
        <w:keepNext w:val="true"/>
        <w:keepLines/>
        <w:numPr>
          <w:ilvl w:val="0"/>
          <w:numId w:val="0"/>
        </w:numPr>
        <w:ind w:left="0" w:hanging="0"/>
        <w:jc w:val="center"/>
        <w:outlineLvl w:val="0"/>
        <w:rPr>
          <w:rFonts w:eastAsia="Calibri Light" w:cs="Calibri Light"/>
          <w:b/>
          <w:b/>
          <w:lang w:eastAsia="en-US"/>
        </w:rPr>
      </w:pPr>
      <w:bookmarkStart w:id="322" w:name="_Toc117241857"/>
      <w:bookmarkStart w:id="323" w:name="_Toc181366998"/>
      <w:bookmarkStart w:id="324" w:name="_Toc535417899"/>
      <w:bookmarkStart w:id="325" w:name="_Hlk160650592"/>
      <w:bookmarkStart w:id="326" w:name="_Toc23034142"/>
      <w:bookmarkStart w:id="327" w:name="_Toc160530726"/>
      <w:bookmarkStart w:id="328" w:name="_Toc525894735"/>
      <w:bookmarkEnd w:id="324"/>
      <w:bookmarkEnd w:id="325"/>
      <w:bookmarkEnd w:id="326"/>
      <w:bookmarkEnd w:id="327"/>
      <w:bookmarkEnd w:id="328"/>
      <w:r>
        <w:rPr>
          <w:rFonts w:eastAsia="Calibri Light" w:cs="Calibri Light"/>
          <w:b/>
          <w:lang w:eastAsia="en-US"/>
        </w:rPr>
        <w:t>Раздел 9 «Инвестиции в строительство, реконструкцию, техническое перевооружение и (или) модернизацию»</w:t>
      </w:r>
      <w:bookmarkEnd w:id="322"/>
      <w:bookmarkEnd w:id="323"/>
    </w:p>
    <w:p>
      <w:pPr>
        <w:pStyle w:val="Normal"/>
        <w:keepNext w:val="true"/>
        <w:keepLines/>
        <w:numPr>
          <w:ilvl w:val="0"/>
          <w:numId w:val="0"/>
        </w:numPr>
        <w:ind w:left="0" w:hanging="0"/>
        <w:jc w:val="center"/>
        <w:outlineLvl w:val="0"/>
        <w:rPr>
          <w:rFonts w:eastAsia="Calibri Light" w:cs="Calibri Light"/>
          <w:b/>
          <w:b/>
          <w:sz w:val="26"/>
          <w:szCs w:val="26"/>
          <w:lang w:eastAsia="en-US"/>
        </w:rPr>
      </w:pPr>
      <w:r>
        <w:rPr>
          <w:rFonts w:eastAsia="Calibri Light" w:cs="Calibri Light"/>
          <w:b/>
          <w:sz w:val="26"/>
          <w:szCs w:val="26"/>
          <w:lang w:eastAsia="en-US"/>
        </w:rPr>
      </w:r>
    </w:p>
    <w:p>
      <w:pPr>
        <w:pStyle w:val="Normal"/>
        <w:keepNext w:val="true"/>
        <w:keepLines/>
        <w:numPr>
          <w:ilvl w:val="0"/>
          <w:numId w:val="0"/>
        </w:numPr>
        <w:ind w:left="0" w:firstLine="709"/>
        <w:jc w:val="both"/>
        <w:outlineLvl w:val="1"/>
        <w:rPr>
          <w:rFonts w:eastAsia="Calibri Light" w:cs="Calibri Light"/>
          <w:b/>
          <w:b/>
          <w:szCs w:val="26"/>
          <w:lang w:eastAsia="en-US"/>
        </w:rPr>
      </w:pPr>
      <w:bookmarkStart w:id="329" w:name="_Toc181366999"/>
      <w:bookmarkStart w:id="330" w:name="_Toc525894732"/>
      <w:bookmarkStart w:id="331" w:name="_Toc535417896"/>
      <w:bookmarkStart w:id="332" w:name="_Toc23034139"/>
      <w:bookmarkStart w:id="333" w:name="_Toc160516856"/>
      <w:r>
        <w:rPr>
          <w:rFonts w:eastAsia="Calibri Light" w:cs="Calibri Light"/>
          <w:b/>
          <w:szCs w:val="26"/>
          <w:lang w:eastAsia="en-US"/>
        </w:rPr>
        <w:t>9.1.</w:t>
        <w:tab/>
        <w:t>Предложения по величине необходимых инвестиций в строительство, реконструкцию, техническое перевооружение и (или) модернизацию источников тепловой энергии на каждом этапе</w:t>
      </w:r>
      <w:bookmarkEnd w:id="329"/>
      <w:bookmarkEnd w:id="330"/>
      <w:bookmarkEnd w:id="331"/>
      <w:bookmarkEnd w:id="332"/>
      <w:bookmarkEnd w:id="333"/>
    </w:p>
    <w:p>
      <w:pPr>
        <w:pStyle w:val="Normal"/>
        <w:keepNext w:val="true"/>
        <w:keepLines/>
        <w:numPr>
          <w:ilvl w:val="0"/>
          <w:numId w:val="0"/>
        </w:numPr>
        <w:ind w:left="0" w:firstLine="709"/>
        <w:jc w:val="both"/>
        <w:outlineLvl w:val="1"/>
        <w:rPr>
          <w:rFonts w:eastAsia="Calibri Light" w:cs="Calibri Light"/>
          <w:b/>
          <w:b/>
          <w:szCs w:val="26"/>
          <w:lang w:eastAsia="en-US"/>
        </w:rPr>
      </w:pPr>
      <w:r>
        <w:rPr>
          <w:rFonts w:cs="Calibri"/>
          <w:lang w:eastAsia="ru-RU"/>
        </w:rPr>
        <w:t xml:space="preserve">Предложения по величине необходимых инвестиций в </w:t>
      </w:r>
      <w:r>
        <w:rPr>
          <w:rFonts w:eastAsia="Calibri Light" w:cs="Calibri Light"/>
          <w:szCs w:val="26"/>
          <w:lang w:eastAsia="en-US"/>
        </w:rPr>
        <w:t xml:space="preserve">строительство, реконструкцию, техническое перевооружение и (или) модернизацию источников тепловой энергии </w:t>
      </w:r>
      <w:r>
        <w:rPr>
          <w:rFonts w:cs="Calibri"/>
          <w:lang w:eastAsia="ru-RU"/>
        </w:rPr>
        <w:t>представлены в таблице 11.</w:t>
      </w:r>
    </w:p>
    <w:p>
      <w:pPr>
        <w:pStyle w:val="Normal"/>
        <w:jc w:val="right"/>
        <w:rPr>
          <w:rFonts w:eastAsia="Calibri" w:cs="Calibri"/>
          <w:iCs/>
          <w:szCs w:val="18"/>
          <w:lang w:eastAsia="en-US"/>
        </w:rPr>
      </w:pPr>
      <w:bookmarkStart w:id="334" w:name="_Hlk1606505921"/>
      <w:bookmarkEnd w:id="334"/>
      <w:r>
        <w:rPr>
          <w:rFonts w:eastAsia="Calibri" w:cs="Calibri"/>
          <w:iCs/>
          <w:szCs w:val="18"/>
          <w:lang w:eastAsia="en-US"/>
        </w:rPr>
        <w:t>Таблица 11 – Мероприятия по развитию систем теплоснабжения, тыс. руб.</w:t>
      </w:r>
    </w:p>
    <w:tbl>
      <w:tblPr>
        <w:tblW w:w="5000" w:type="pct"/>
        <w:jc w:val="left"/>
        <w:tblInd w:w="0" w:type="dxa"/>
        <w:tblCellMar>
          <w:top w:w="0" w:type="dxa"/>
          <w:left w:w="108" w:type="dxa"/>
          <w:bottom w:w="0" w:type="dxa"/>
          <w:right w:w="108" w:type="dxa"/>
        </w:tblCellMar>
        <w:tblLook w:val="04a0" w:noVBand="1" w:noHBand="0" w:lastColumn="0" w:firstColumn="1" w:lastRow="0" w:firstRow="1"/>
      </w:tblPr>
      <w:tblGrid>
        <w:gridCol w:w="2042"/>
        <w:gridCol w:w="3667"/>
        <w:gridCol w:w="956"/>
        <w:gridCol w:w="956"/>
        <w:gridCol w:w="957"/>
        <w:gridCol w:w="956"/>
        <w:gridCol w:w="954"/>
        <w:gridCol w:w="961"/>
        <w:gridCol w:w="955"/>
        <w:gridCol w:w="956"/>
        <w:gridCol w:w="1208"/>
      </w:tblGrid>
      <w:tr>
        <w:trPr>
          <w:tblHeader w:val="true"/>
          <w:trHeight w:val="20" w:hRule="atLeast"/>
        </w:trPr>
        <w:tc>
          <w:tcPr>
            <w:tcW w:w="20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xml:space="preserve">№ </w:t>
            </w:r>
            <w:r>
              <w:rPr>
                <w:sz w:val="20"/>
                <w:szCs w:val="20"/>
                <w:lang w:eastAsia="ru-RU"/>
              </w:rPr>
              <w:t>проекта</w:t>
            </w:r>
          </w:p>
        </w:tc>
        <w:tc>
          <w:tcPr>
            <w:tcW w:w="36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Наименование</w:t>
            </w:r>
          </w:p>
        </w:tc>
        <w:tc>
          <w:tcPr>
            <w:tcW w:w="9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Итого</w:t>
            </w:r>
          </w:p>
        </w:tc>
        <w:tc>
          <w:tcPr>
            <w:tcW w:w="9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2024</w:t>
            </w:r>
          </w:p>
        </w:tc>
        <w:tc>
          <w:tcPr>
            <w:tcW w:w="9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2025</w:t>
            </w:r>
          </w:p>
        </w:tc>
        <w:tc>
          <w:tcPr>
            <w:tcW w:w="9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2026</w:t>
            </w:r>
          </w:p>
        </w:tc>
        <w:tc>
          <w:tcPr>
            <w:tcW w:w="9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2027</w:t>
            </w:r>
          </w:p>
        </w:tc>
        <w:tc>
          <w:tcPr>
            <w:tcW w:w="9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2028</w:t>
            </w:r>
          </w:p>
        </w:tc>
        <w:tc>
          <w:tcPr>
            <w:tcW w:w="95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2029 - 2032</w:t>
            </w:r>
          </w:p>
        </w:tc>
        <w:tc>
          <w:tcPr>
            <w:tcW w:w="95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t>2033 - 2035</w:t>
            </w:r>
          </w:p>
        </w:tc>
        <w:tc>
          <w:tcPr>
            <w:tcW w:w="120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t>Источники инвестиций</w:t>
            </w:r>
          </w:p>
        </w:tc>
      </w:tr>
      <w:tr>
        <w:trPr>
          <w:tblHeader w:val="true"/>
          <w:trHeight w:val="20" w:hRule="atLeast"/>
        </w:trPr>
        <w:tc>
          <w:tcPr>
            <w:tcW w:w="20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w:t>
            </w:r>
          </w:p>
        </w:tc>
        <w:tc>
          <w:tcPr>
            <w:tcW w:w="36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2</w:t>
            </w:r>
          </w:p>
        </w:tc>
        <w:tc>
          <w:tcPr>
            <w:tcW w:w="9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3</w:t>
            </w:r>
          </w:p>
        </w:tc>
        <w:tc>
          <w:tcPr>
            <w:tcW w:w="9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4</w:t>
            </w:r>
          </w:p>
        </w:tc>
        <w:tc>
          <w:tcPr>
            <w:tcW w:w="9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5</w:t>
            </w:r>
          </w:p>
        </w:tc>
        <w:tc>
          <w:tcPr>
            <w:tcW w:w="9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6</w:t>
            </w:r>
          </w:p>
        </w:tc>
        <w:tc>
          <w:tcPr>
            <w:tcW w:w="9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7</w:t>
            </w:r>
          </w:p>
        </w:tc>
        <w:tc>
          <w:tcPr>
            <w:tcW w:w="9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8</w:t>
            </w:r>
          </w:p>
        </w:tc>
        <w:tc>
          <w:tcPr>
            <w:tcW w:w="95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9</w:t>
            </w:r>
          </w:p>
        </w:tc>
        <w:tc>
          <w:tcPr>
            <w:tcW w:w="956"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lang w:eastAsia="ru-RU"/>
              </w:rPr>
            </w:pPr>
            <w:r>
              <w:rPr>
                <w:sz w:val="20"/>
                <w:szCs w:val="20"/>
                <w:lang w:eastAsia="ru-RU"/>
              </w:rPr>
              <w:t>10</w:t>
            </w:r>
          </w:p>
        </w:tc>
        <w:tc>
          <w:tcPr>
            <w:tcW w:w="120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t>11</w:t>
            </w:r>
          </w:p>
        </w:tc>
      </w:tr>
      <w:tr>
        <w:trPr>
          <w:trHeight w:val="20" w:hRule="atLeast"/>
        </w:trPr>
        <w:tc>
          <w:tcPr>
            <w:tcW w:w="14568" w:type="dxa"/>
            <w:gridSpan w:val="11"/>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t>Группа проектов № 001 ЕТО № 1 - МП МО Октябрьский район «ОКС»</w:t>
            </w:r>
          </w:p>
        </w:tc>
      </w:tr>
      <w:tr>
        <w:trPr>
          <w:trHeight w:val="20" w:hRule="atLeast"/>
        </w:trPr>
        <w:tc>
          <w:tcPr>
            <w:tcW w:w="2042"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001.00.00.000.000.000</w:t>
            </w:r>
          </w:p>
        </w:tc>
        <w:tc>
          <w:tcPr>
            <w:tcW w:w="36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Всего стоимость проектов</w:t>
            </w:r>
          </w:p>
        </w:tc>
        <w:tc>
          <w:tcPr>
            <w:tcW w:w="9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336317,6</w:t>
            </w:r>
          </w:p>
        </w:tc>
        <w:tc>
          <w:tcPr>
            <w:tcW w:w="9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198089,2</w:t>
            </w:r>
          </w:p>
        </w:tc>
        <w:tc>
          <w:tcPr>
            <w:tcW w:w="9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15799,6</w:t>
            </w:r>
          </w:p>
        </w:tc>
        <w:tc>
          <w:tcPr>
            <w:tcW w:w="9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550</w:t>
            </w:r>
          </w:p>
        </w:tc>
        <w:tc>
          <w:tcPr>
            <w:tcW w:w="9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110418,6</w:t>
            </w:r>
          </w:p>
        </w:tc>
        <w:tc>
          <w:tcPr>
            <w:tcW w:w="9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18110,2</w:t>
            </w:r>
          </w:p>
        </w:tc>
        <w:tc>
          <w:tcPr>
            <w:tcW w:w="95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2200</w:t>
            </w:r>
          </w:p>
        </w:tc>
        <w:tc>
          <w:tcPr>
            <w:tcW w:w="95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t>1650</w:t>
            </w:r>
          </w:p>
        </w:tc>
        <w:tc>
          <w:tcPr>
            <w:tcW w:w="120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t>Бюджетные средства</w:t>
            </w:r>
          </w:p>
        </w:tc>
      </w:tr>
      <w:tr>
        <w:trPr>
          <w:trHeight w:val="20" w:hRule="atLeast"/>
        </w:trPr>
        <w:tc>
          <w:tcPr>
            <w:tcW w:w="204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r>
          </w:p>
        </w:tc>
        <w:tc>
          <w:tcPr>
            <w:tcW w:w="36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Всего стоимость проектов нарастающим итогом</w:t>
            </w:r>
          </w:p>
        </w:tc>
        <w:tc>
          <w:tcPr>
            <w:tcW w:w="9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336317,6</w:t>
            </w:r>
          </w:p>
        </w:tc>
        <w:tc>
          <w:tcPr>
            <w:tcW w:w="9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198089,2</w:t>
            </w:r>
          </w:p>
        </w:tc>
        <w:tc>
          <w:tcPr>
            <w:tcW w:w="9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213888,8</w:t>
            </w:r>
          </w:p>
        </w:tc>
        <w:tc>
          <w:tcPr>
            <w:tcW w:w="9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214438,8</w:t>
            </w:r>
          </w:p>
        </w:tc>
        <w:tc>
          <w:tcPr>
            <w:tcW w:w="9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324857,4</w:t>
            </w:r>
          </w:p>
        </w:tc>
        <w:tc>
          <w:tcPr>
            <w:tcW w:w="9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342967,6</w:t>
            </w:r>
          </w:p>
        </w:tc>
        <w:tc>
          <w:tcPr>
            <w:tcW w:w="95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345167,6</w:t>
            </w:r>
          </w:p>
        </w:tc>
        <w:tc>
          <w:tcPr>
            <w:tcW w:w="95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t>346817,6</w:t>
            </w:r>
          </w:p>
        </w:tc>
        <w:tc>
          <w:tcPr>
            <w:tcW w:w="120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t>Бюджетные средства</w:t>
            </w:r>
          </w:p>
        </w:tc>
      </w:tr>
      <w:tr>
        <w:trPr>
          <w:trHeight w:val="20" w:hRule="atLeast"/>
        </w:trPr>
        <w:tc>
          <w:tcPr>
            <w:tcW w:w="14568" w:type="dxa"/>
            <w:gridSpan w:val="11"/>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Группа проектов «Источники теплоснабжения»</w:t>
            </w:r>
          </w:p>
        </w:tc>
      </w:tr>
      <w:tr>
        <w:trPr>
          <w:trHeight w:val="20" w:hRule="atLeast"/>
        </w:trPr>
        <w:tc>
          <w:tcPr>
            <w:tcW w:w="2042"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xml:space="preserve"> </w:t>
            </w:r>
            <w:r>
              <w:rPr>
                <w:sz w:val="20"/>
                <w:szCs w:val="20"/>
                <w:lang w:eastAsia="ru-RU"/>
              </w:rPr>
              <w:t>001.01.00.000</w:t>
            </w:r>
          </w:p>
        </w:tc>
        <w:tc>
          <w:tcPr>
            <w:tcW w:w="36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Всего стоимость группы проектов</w:t>
            </w:r>
          </w:p>
        </w:tc>
        <w:tc>
          <w:tcPr>
            <w:tcW w:w="9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285215,6</w:t>
            </w:r>
          </w:p>
        </w:tc>
        <w:tc>
          <w:tcPr>
            <w:tcW w:w="9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197539,2</w:t>
            </w:r>
          </w:p>
        </w:tc>
        <w:tc>
          <w:tcPr>
            <w:tcW w:w="9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15249,6</w:t>
            </w:r>
          </w:p>
        </w:tc>
        <w:tc>
          <w:tcPr>
            <w:tcW w:w="9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w:t>
            </w:r>
          </w:p>
        </w:tc>
        <w:tc>
          <w:tcPr>
            <w:tcW w:w="9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82926,8</w:t>
            </w:r>
          </w:p>
        </w:tc>
        <w:tc>
          <w:tcPr>
            <w:tcW w:w="9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w:t>
            </w:r>
          </w:p>
        </w:tc>
        <w:tc>
          <w:tcPr>
            <w:tcW w:w="95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w:t>
            </w:r>
          </w:p>
        </w:tc>
        <w:tc>
          <w:tcPr>
            <w:tcW w:w="95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t>0</w:t>
            </w:r>
          </w:p>
        </w:tc>
        <w:tc>
          <w:tcPr>
            <w:tcW w:w="120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t>Бюджетные средства</w:t>
            </w:r>
          </w:p>
        </w:tc>
      </w:tr>
      <w:tr>
        <w:trPr>
          <w:trHeight w:val="20" w:hRule="atLeast"/>
        </w:trPr>
        <w:tc>
          <w:tcPr>
            <w:tcW w:w="204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r>
          </w:p>
        </w:tc>
        <w:tc>
          <w:tcPr>
            <w:tcW w:w="36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Всего стоимость группы проектов накопленным итогом</w:t>
            </w:r>
          </w:p>
        </w:tc>
        <w:tc>
          <w:tcPr>
            <w:tcW w:w="9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285215,6</w:t>
            </w:r>
          </w:p>
        </w:tc>
        <w:tc>
          <w:tcPr>
            <w:tcW w:w="9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197539,2</w:t>
            </w:r>
          </w:p>
        </w:tc>
        <w:tc>
          <w:tcPr>
            <w:tcW w:w="9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212788,8</w:t>
            </w:r>
          </w:p>
        </w:tc>
        <w:tc>
          <w:tcPr>
            <w:tcW w:w="9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212788,8</w:t>
            </w:r>
          </w:p>
        </w:tc>
        <w:tc>
          <w:tcPr>
            <w:tcW w:w="9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295715,6</w:t>
            </w:r>
          </w:p>
        </w:tc>
        <w:tc>
          <w:tcPr>
            <w:tcW w:w="9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295715,6</w:t>
            </w:r>
          </w:p>
        </w:tc>
        <w:tc>
          <w:tcPr>
            <w:tcW w:w="95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295715,6</w:t>
            </w:r>
          </w:p>
        </w:tc>
        <w:tc>
          <w:tcPr>
            <w:tcW w:w="95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t>295715,6</w:t>
            </w:r>
          </w:p>
        </w:tc>
        <w:tc>
          <w:tcPr>
            <w:tcW w:w="120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t>Бюджетные средства</w:t>
            </w:r>
          </w:p>
        </w:tc>
      </w:tr>
      <w:tr>
        <w:trPr>
          <w:trHeight w:val="20" w:hRule="atLeast"/>
        </w:trPr>
        <w:tc>
          <w:tcPr>
            <w:tcW w:w="14568" w:type="dxa"/>
            <w:gridSpan w:val="11"/>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Подгруппа проектов «Строительство источников тепловой энергии»</w:t>
            </w:r>
          </w:p>
        </w:tc>
      </w:tr>
      <w:tr>
        <w:trPr>
          <w:trHeight w:val="20" w:hRule="atLeast"/>
        </w:trPr>
        <w:tc>
          <w:tcPr>
            <w:tcW w:w="2042"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001.01.01.000</w:t>
            </w:r>
          </w:p>
        </w:tc>
        <w:tc>
          <w:tcPr>
            <w:tcW w:w="36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Всего стоимость группы проектов</w:t>
            </w:r>
          </w:p>
        </w:tc>
        <w:tc>
          <w:tcPr>
            <w:tcW w:w="9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138800,1</w:t>
            </w:r>
          </w:p>
        </w:tc>
        <w:tc>
          <w:tcPr>
            <w:tcW w:w="9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134050,5</w:t>
            </w:r>
          </w:p>
        </w:tc>
        <w:tc>
          <w:tcPr>
            <w:tcW w:w="9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15249,6</w:t>
            </w:r>
          </w:p>
        </w:tc>
        <w:tc>
          <w:tcPr>
            <w:tcW w:w="9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w:t>
            </w:r>
          </w:p>
        </w:tc>
        <w:tc>
          <w:tcPr>
            <w:tcW w:w="9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w:t>
            </w:r>
          </w:p>
        </w:tc>
        <w:tc>
          <w:tcPr>
            <w:tcW w:w="9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w:t>
            </w:r>
          </w:p>
        </w:tc>
        <w:tc>
          <w:tcPr>
            <w:tcW w:w="95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w:t>
            </w:r>
          </w:p>
        </w:tc>
        <w:tc>
          <w:tcPr>
            <w:tcW w:w="95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t>0</w:t>
            </w:r>
          </w:p>
        </w:tc>
        <w:tc>
          <w:tcPr>
            <w:tcW w:w="120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t>Бюджетные средства</w:t>
            </w:r>
          </w:p>
        </w:tc>
      </w:tr>
      <w:tr>
        <w:trPr>
          <w:trHeight w:val="20" w:hRule="atLeast"/>
        </w:trPr>
        <w:tc>
          <w:tcPr>
            <w:tcW w:w="204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r>
          </w:p>
        </w:tc>
        <w:tc>
          <w:tcPr>
            <w:tcW w:w="36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Всего стоимость группы проектов накопленным итогом</w:t>
            </w:r>
          </w:p>
        </w:tc>
        <w:tc>
          <w:tcPr>
            <w:tcW w:w="9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138800,1</w:t>
            </w:r>
          </w:p>
        </w:tc>
        <w:tc>
          <w:tcPr>
            <w:tcW w:w="9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134050,5</w:t>
            </w:r>
          </w:p>
        </w:tc>
        <w:tc>
          <w:tcPr>
            <w:tcW w:w="9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149300,1</w:t>
            </w:r>
          </w:p>
        </w:tc>
        <w:tc>
          <w:tcPr>
            <w:tcW w:w="9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149300,1</w:t>
            </w:r>
          </w:p>
        </w:tc>
        <w:tc>
          <w:tcPr>
            <w:tcW w:w="9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149300,1</w:t>
            </w:r>
          </w:p>
        </w:tc>
        <w:tc>
          <w:tcPr>
            <w:tcW w:w="9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149300,1</w:t>
            </w:r>
          </w:p>
        </w:tc>
        <w:tc>
          <w:tcPr>
            <w:tcW w:w="95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149300,1</w:t>
            </w:r>
          </w:p>
        </w:tc>
        <w:tc>
          <w:tcPr>
            <w:tcW w:w="95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t>149300,1</w:t>
            </w:r>
          </w:p>
        </w:tc>
        <w:tc>
          <w:tcPr>
            <w:tcW w:w="120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t>Бюджетные средства</w:t>
            </w:r>
          </w:p>
        </w:tc>
      </w:tr>
      <w:tr>
        <w:trPr>
          <w:trHeight w:val="20" w:hRule="atLeast"/>
        </w:trPr>
        <w:tc>
          <w:tcPr>
            <w:tcW w:w="20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001.01.01.001</w:t>
            </w:r>
          </w:p>
        </w:tc>
        <w:tc>
          <w:tcPr>
            <w:tcW w:w="36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sz w:val="20"/>
                <w:szCs w:val="20"/>
                <w:lang w:eastAsia="ru-RU"/>
              </w:rPr>
            </w:pPr>
            <w:r>
              <w:rPr>
                <w:sz w:val="20"/>
                <w:szCs w:val="20"/>
                <w:lang w:eastAsia="ru-RU"/>
              </w:rPr>
              <w:t>Строительство котельной по ул.Дзержинского, 14 в пгт.Октябрьское. Вывод из эксплуатации котельной № 2 по ул. Пионерская, 17Б и котельной № 6 по ул.Дзержинского, 2Б с переключением нагрузки на новую котельную по ул. Дзержинского, 14</w:t>
            </w:r>
          </w:p>
        </w:tc>
        <w:tc>
          <w:tcPr>
            <w:tcW w:w="9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123550,5</w:t>
            </w:r>
          </w:p>
        </w:tc>
        <w:tc>
          <w:tcPr>
            <w:tcW w:w="9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123550,5</w:t>
            </w:r>
          </w:p>
        </w:tc>
        <w:tc>
          <w:tcPr>
            <w:tcW w:w="9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w:t>
            </w:r>
          </w:p>
        </w:tc>
        <w:tc>
          <w:tcPr>
            <w:tcW w:w="9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w:t>
            </w:r>
          </w:p>
        </w:tc>
        <w:tc>
          <w:tcPr>
            <w:tcW w:w="9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w:t>
            </w:r>
          </w:p>
        </w:tc>
        <w:tc>
          <w:tcPr>
            <w:tcW w:w="9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w:t>
            </w:r>
          </w:p>
        </w:tc>
        <w:tc>
          <w:tcPr>
            <w:tcW w:w="95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w:t>
            </w:r>
          </w:p>
        </w:tc>
        <w:tc>
          <w:tcPr>
            <w:tcW w:w="95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t> </w:t>
            </w:r>
          </w:p>
        </w:tc>
        <w:tc>
          <w:tcPr>
            <w:tcW w:w="120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t>Бюджетные средства</w:t>
            </w:r>
          </w:p>
        </w:tc>
      </w:tr>
      <w:tr>
        <w:trPr>
          <w:trHeight w:val="20" w:hRule="atLeast"/>
        </w:trPr>
        <w:tc>
          <w:tcPr>
            <w:tcW w:w="20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001.01.01.002</w:t>
            </w:r>
          </w:p>
        </w:tc>
        <w:tc>
          <w:tcPr>
            <w:tcW w:w="36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sz w:val="20"/>
                <w:szCs w:val="20"/>
                <w:lang w:eastAsia="ru-RU"/>
              </w:rPr>
            </w:pPr>
            <w:r>
              <w:rPr>
                <w:sz w:val="20"/>
                <w:szCs w:val="20"/>
                <w:lang w:eastAsia="ru-RU"/>
              </w:rPr>
              <w:t>Децентрализация системы теплоснабжения пгт.Октябрьское путем перехода на автономные источники теплоснабжения, отказ от эксплуатации тепловых сетей, вывод котельной № 8 пгт.Октябрьское, ул.50 лет Победы, 38а из эксплуатации</w:t>
            </w:r>
          </w:p>
        </w:tc>
        <w:tc>
          <w:tcPr>
            <w:tcW w:w="9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15249,6</w:t>
            </w:r>
          </w:p>
        </w:tc>
        <w:tc>
          <w:tcPr>
            <w:tcW w:w="9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w:t>
            </w:r>
          </w:p>
        </w:tc>
        <w:tc>
          <w:tcPr>
            <w:tcW w:w="9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15249,6</w:t>
            </w:r>
          </w:p>
        </w:tc>
        <w:tc>
          <w:tcPr>
            <w:tcW w:w="9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w:t>
            </w:r>
          </w:p>
        </w:tc>
        <w:tc>
          <w:tcPr>
            <w:tcW w:w="9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w:t>
            </w:r>
          </w:p>
        </w:tc>
        <w:tc>
          <w:tcPr>
            <w:tcW w:w="9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w:t>
            </w:r>
          </w:p>
        </w:tc>
        <w:tc>
          <w:tcPr>
            <w:tcW w:w="95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w:t>
            </w:r>
          </w:p>
        </w:tc>
        <w:tc>
          <w:tcPr>
            <w:tcW w:w="95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t> </w:t>
            </w:r>
          </w:p>
        </w:tc>
        <w:tc>
          <w:tcPr>
            <w:tcW w:w="120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t>Бюджетные средства</w:t>
            </w:r>
          </w:p>
        </w:tc>
      </w:tr>
      <w:tr>
        <w:trPr>
          <w:trHeight w:val="20" w:hRule="atLeast"/>
        </w:trPr>
        <w:tc>
          <w:tcPr>
            <w:tcW w:w="20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001.01.01.003</w:t>
            </w:r>
          </w:p>
        </w:tc>
        <w:tc>
          <w:tcPr>
            <w:tcW w:w="36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sz w:val="20"/>
                <w:szCs w:val="20"/>
                <w:lang w:eastAsia="ru-RU"/>
              </w:rPr>
            </w:pPr>
            <w:r>
              <w:rPr>
                <w:sz w:val="20"/>
                <w:szCs w:val="20"/>
                <w:lang w:eastAsia="ru-RU"/>
              </w:rPr>
              <w:t>Децентрализация теплоснабжения жилых домов № 1, 5, 6, 7, 9 (кв.2), 11, 12, 18, 24, 30а по ул.Урманной</w:t>
            </w:r>
          </w:p>
        </w:tc>
        <w:tc>
          <w:tcPr>
            <w:tcW w:w="9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w:t>
            </w:r>
          </w:p>
        </w:tc>
        <w:tc>
          <w:tcPr>
            <w:tcW w:w="9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5500</w:t>
            </w:r>
          </w:p>
        </w:tc>
        <w:tc>
          <w:tcPr>
            <w:tcW w:w="9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w:t>
            </w:r>
          </w:p>
        </w:tc>
        <w:tc>
          <w:tcPr>
            <w:tcW w:w="9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w:t>
            </w:r>
          </w:p>
        </w:tc>
        <w:tc>
          <w:tcPr>
            <w:tcW w:w="9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w:t>
            </w:r>
          </w:p>
        </w:tc>
        <w:tc>
          <w:tcPr>
            <w:tcW w:w="9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w:t>
            </w:r>
          </w:p>
        </w:tc>
        <w:tc>
          <w:tcPr>
            <w:tcW w:w="95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w:t>
            </w:r>
          </w:p>
        </w:tc>
        <w:tc>
          <w:tcPr>
            <w:tcW w:w="95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t> </w:t>
            </w:r>
          </w:p>
        </w:tc>
        <w:tc>
          <w:tcPr>
            <w:tcW w:w="120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t>Бюджетные средства</w:t>
            </w:r>
          </w:p>
        </w:tc>
      </w:tr>
      <w:tr>
        <w:trPr>
          <w:trHeight w:val="20" w:hRule="atLeast"/>
        </w:trPr>
        <w:tc>
          <w:tcPr>
            <w:tcW w:w="20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001.01.01.004</w:t>
            </w:r>
          </w:p>
        </w:tc>
        <w:tc>
          <w:tcPr>
            <w:tcW w:w="36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sz w:val="20"/>
                <w:szCs w:val="20"/>
                <w:lang w:eastAsia="ru-RU"/>
              </w:rPr>
            </w:pPr>
            <w:r>
              <w:rPr>
                <w:sz w:val="20"/>
                <w:szCs w:val="20"/>
                <w:lang w:eastAsia="ru-RU"/>
              </w:rPr>
              <w:t>Децентрализация теплоснабжения жилых домов № 12, 14, 19, 77, 80 по ул.Чапаева</w:t>
            </w:r>
          </w:p>
        </w:tc>
        <w:tc>
          <w:tcPr>
            <w:tcW w:w="9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w:t>
            </w:r>
          </w:p>
        </w:tc>
        <w:tc>
          <w:tcPr>
            <w:tcW w:w="9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3500</w:t>
            </w:r>
          </w:p>
        </w:tc>
        <w:tc>
          <w:tcPr>
            <w:tcW w:w="9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w:t>
            </w:r>
          </w:p>
        </w:tc>
        <w:tc>
          <w:tcPr>
            <w:tcW w:w="9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w:t>
            </w:r>
          </w:p>
        </w:tc>
        <w:tc>
          <w:tcPr>
            <w:tcW w:w="9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w:t>
            </w:r>
          </w:p>
        </w:tc>
        <w:tc>
          <w:tcPr>
            <w:tcW w:w="9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w:t>
            </w:r>
          </w:p>
        </w:tc>
        <w:tc>
          <w:tcPr>
            <w:tcW w:w="95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w:t>
            </w:r>
          </w:p>
        </w:tc>
        <w:tc>
          <w:tcPr>
            <w:tcW w:w="95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t> </w:t>
            </w:r>
          </w:p>
        </w:tc>
        <w:tc>
          <w:tcPr>
            <w:tcW w:w="120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t>Бюджетные средства</w:t>
            </w:r>
          </w:p>
        </w:tc>
      </w:tr>
      <w:tr>
        <w:trPr>
          <w:trHeight w:val="20" w:hRule="atLeast"/>
        </w:trPr>
        <w:tc>
          <w:tcPr>
            <w:tcW w:w="20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001.01.01.005</w:t>
            </w:r>
          </w:p>
        </w:tc>
        <w:tc>
          <w:tcPr>
            <w:tcW w:w="36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sz w:val="20"/>
                <w:szCs w:val="20"/>
                <w:lang w:eastAsia="ru-RU"/>
              </w:rPr>
            </w:pPr>
            <w:r>
              <w:rPr>
                <w:sz w:val="20"/>
                <w:szCs w:val="20"/>
                <w:lang w:eastAsia="ru-RU"/>
              </w:rPr>
              <w:t>Децентрализация теплоснабжения жилых домов № 10 (кв. 3), 12 по ул.Победы. Вывод из ксплуатаци тепловой сети протяженностью 191 м, диаметр 76мм.</w:t>
            </w:r>
          </w:p>
        </w:tc>
        <w:tc>
          <w:tcPr>
            <w:tcW w:w="9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w:t>
            </w:r>
          </w:p>
        </w:tc>
        <w:tc>
          <w:tcPr>
            <w:tcW w:w="9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1500</w:t>
            </w:r>
          </w:p>
        </w:tc>
        <w:tc>
          <w:tcPr>
            <w:tcW w:w="9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w:t>
            </w:r>
          </w:p>
        </w:tc>
        <w:tc>
          <w:tcPr>
            <w:tcW w:w="9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w:t>
            </w:r>
          </w:p>
        </w:tc>
        <w:tc>
          <w:tcPr>
            <w:tcW w:w="9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w:t>
            </w:r>
          </w:p>
        </w:tc>
        <w:tc>
          <w:tcPr>
            <w:tcW w:w="9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w:t>
            </w:r>
          </w:p>
        </w:tc>
        <w:tc>
          <w:tcPr>
            <w:tcW w:w="95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w:t>
            </w:r>
          </w:p>
        </w:tc>
        <w:tc>
          <w:tcPr>
            <w:tcW w:w="95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t> </w:t>
            </w:r>
          </w:p>
        </w:tc>
        <w:tc>
          <w:tcPr>
            <w:tcW w:w="120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t>Бюджетные средства</w:t>
            </w:r>
          </w:p>
        </w:tc>
      </w:tr>
      <w:tr>
        <w:trPr>
          <w:trHeight w:val="20" w:hRule="atLeast"/>
        </w:trPr>
        <w:tc>
          <w:tcPr>
            <w:tcW w:w="14568" w:type="dxa"/>
            <w:gridSpan w:val="11"/>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Подгруппа проектов «Техническое перевооружение источников тепловой энергии»</w:t>
            </w:r>
          </w:p>
        </w:tc>
      </w:tr>
      <w:tr>
        <w:trPr>
          <w:trHeight w:val="20" w:hRule="atLeast"/>
        </w:trPr>
        <w:tc>
          <w:tcPr>
            <w:tcW w:w="2042"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001.01.02.000</w:t>
            </w:r>
          </w:p>
        </w:tc>
        <w:tc>
          <w:tcPr>
            <w:tcW w:w="36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Всего стоимость группы проектов</w:t>
            </w:r>
          </w:p>
        </w:tc>
        <w:tc>
          <w:tcPr>
            <w:tcW w:w="9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146415,5</w:t>
            </w:r>
          </w:p>
        </w:tc>
        <w:tc>
          <w:tcPr>
            <w:tcW w:w="9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63488,7</w:t>
            </w:r>
          </w:p>
        </w:tc>
        <w:tc>
          <w:tcPr>
            <w:tcW w:w="9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w:t>
            </w:r>
          </w:p>
        </w:tc>
        <w:tc>
          <w:tcPr>
            <w:tcW w:w="9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w:t>
            </w:r>
          </w:p>
        </w:tc>
        <w:tc>
          <w:tcPr>
            <w:tcW w:w="9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82926,8</w:t>
            </w:r>
          </w:p>
        </w:tc>
        <w:tc>
          <w:tcPr>
            <w:tcW w:w="9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w:t>
            </w:r>
          </w:p>
        </w:tc>
        <w:tc>
          <w:tcPr>
            <w:tcW w:w="95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w:t>
            </w:r>
          </w:p>
        </w:tc>
        <w:tc>
          <w:tcPr>
            <w:tcW w:w="95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t>0</w:t>
            </w:r>
          </w:p>
        </w:tc>
        <w:tc>
          <w:tcPr>
            <w:tcW w:w="120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t>Бюджетные средства</w:t>
            </w:r>
          </w:p>
        </w:tc>
      </w:tr>
      <w:tr>
        <w:trPr>
          <w:trHeight w:val="20" w:hRule="atLeast"/>
        </w:trPr>
        <w:tc>
          <w:tcPr>
            <w:tcW w:w="204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r>
          </w:p>
        </w:tc>
        <w:tc>
          <w:tcPr>
            <w:tcW w:w="36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Всего стоимость группы проектов накопленным итогом</w:t>
            </w:r>
          </w:p>
        </w:tc>
        <w:tc>
          <w:tcPr>
            <w:tcW w:w="9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146415,5</w:t>
            </w:r>
          </w:p>
        </w:tc>
        <w:tc>
          <w:tcPr>
            <w:tcW w:w="9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63488,7</w:t>
            </w:r>
          </w:p>
        </w:tc>
        <w:tc>
          <w:tcPr>
            <w:tcW w:w="9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63488,7</w:t>
            </w:r>
          </w:p>
        </w:tc>
        <w:tc>
          <w:tcPr>
            <w:tcW w:w="9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63488,7</w:t>
            </w:r>
          </w:p>
        </w:tc>
        <w:tc>
          <w:tcPr>
            <w:tcW w:w="9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146415,5</w:t>
            </w:r>
          </w:p>
        </w:tc>
        <w:tc>
          <w:tcPr>
            <w:tcW w:w="9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146415,5</w:t>
            </w:r>
          </w:p>
        </w:tc>
        <w:tc>
          <w:tcPr>
            <w:tcW w:w="95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146415,5</w:t>
            </w:r>
          </w:p>
        </w:tc>
        <w:tc>
          <w:tcPr>
            <w:tcW w:w="95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t>146415,5</w:t>
            </w:r>
          </w:p>
        </w:tc>
        <w:tc>
          <w:tcPr>
            <w:tcW w:w="120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t>Бюджетные средства</w:t>
            </w:r>
          </w:p>
        </w:tc>
      </w:tr>
      <w:tr>
        <w:trPr>
          <w:trHeight w:val="20" w:hRule="atLeast"/>
        </w:trPr>
        <w:tc>
          <w:tcPr>
            <w:tcW w:w="20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001.01.02.001</w:t>
            </w:r>
          </w:p>
        </w:tc>
        <w:tc>
          <w:tcPr>
            <w:tcW w:w="36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sz w:val="20"/>
                <w:szCs w:val="20"/>
                <w:lang w:eastAsia="ru-RU"/>
              </w:rPr>
            </w:pPr>
            <w:r>
              <w:rPr>
                <w:sz w:val="20"/>
                <w:szCs w:val="20"/>
                <w:lang w:eastAsia="ru-RU"/>
              </w:rPr>
              <w:t>Капитальный ремонт (техническое перевооружение) котельной № 12 по ул.Медицинская, 3К в пгт.Октябрьское в части замены двух котлов на новые с увеличением установленной мощности с автоматизацией технологического процесса с переключением нагрузки на котельную № 12 по ул.Медицинская, 3К котельной № 7 по ул.Медицинская, 3Б и выводом ее из эксплуатации.</w:t>
            </w:r>
          </w:p>
        </w:tc>
        <w:tc>
          <w:tcPr>
            <w:tcW w:w="9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63488,7</w:t>
            </w:r>
          </w:p>
        </w:tc>
        <w:tc>
          <w:tcPr>
            <w:tcW w:w="9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63488,7</w:t>
            </w:r>
          </w:p>
        </w:tc>
        <w:tc>
          <w:tcPr>
            <w:tcW w:w="9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w:t>
            </w:r>
          </w:p>
        </w:tc>
        <w:tc>
          <w:tcPr>
            <w:tcW w:w="9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w:t>
            </w:r>
          </w:p>
        </w:tc>
        <w:tc>
          <w:tcPr>
            <w:tcW w:w="9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w:t>
            </w:r>
          </w:p>
        </w:tc>
        <w:tc>
          <w:tcPr>
            <w:tcW w:w="9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w:t>
            </w:r>
          </w:p>
        </w:tc>
        <w:tc>
          <w:tcPr>
            <w:tcW w:w="95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w:t>
            </w:r>
          </w:p>
        </w:tc>
        <w:tc>
          <w:tcPr>
            <w:tcW w:w="95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t> </w:t>
            </w:r>
          </w:p>
        </w:tc>
        <w:tc>
          <w:tcPr>
            <w:tcW w:w="120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t>Бюджетные средства</w:t>
            </w:r>
          </w:p>
        </w:tc>
      </w:tr>
      <w:tr>
        <w:trPr>
          <w:trHeight w:val="20" w:hRule="atLeast"/>
        </w:trPr>
        <w:tc>
          <w:tcPr>
            <w:tcW w:w="20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001.01.02.002</w:t>
            </w:r>
          </w:p>
        </w:tc>
        <w:tc>
          <w:tcPr>
            <w:tcW w:w="36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sz w:val="20"/>
                <w:szCs w:val="20"/>
                <w:lang w:eastAsia="ru-RU"/>
              </w:rPr>
            </w:pPr>
            <w:r>
              <w:rPr>
                <w:sz w:val="20"/>
                <w:szCs w:val="20"/>
                <w:lang w:eastAsia="ru-RU"/>
              </w:rPr>
              <w:t>Капитальный ремонт (техническое перевооружение) котельной № 1 по ул.Сенькина, 46б в пгт.Октябрьское</w:t>
            </w:r>
          </w:p>
        </w:tc>
        <w:tc>
          <w:tcPr>
            <w:tcW w:w="9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82926,8</w:t>
            </w:r>
          </w:p>
        </w:tc>
        <w:tc>
          <w:tcPr>
            <w:tcW w:w="9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w:t>
            </w:r>
          </w:p>
        </w:tc>
        <w:tc>
          <w:tcPr>
            <w:tcW w:w="9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w:t>
            </w:r>
          </w:p>
        </w:tc>
        <w:tc>
          <w:tcPr>
            <w:tcW w:w="9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w:t>
            </w:r>
          </w:p>
        </w:tc>
        <w:tc>
          <w:tcPr>
            <w:tcW w:w="9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82926,8</w:t>
            </w:r>
          </w:p>
        </w:tc>
        <w:tc>
          <w:tcPr>
            <w:tcW w:w="9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w:t>
            </w:r>
          </w:p>
        </w:tc>
        <w:tc>
          <w:tcPr>
            <w:tcW w:w="95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w:t>
            </w:r>
          </w:p>
        </w:tc>
        <w:tc>
          <w:tcPr>
            <w:tcW w:w="95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t> </w:t>
            </w:r>
          </w:p>
        </w:tc>
        <w:tc>
          <w:tcPr>
            <w:tcW w:w="120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t>Бюджетные средства</w:t>
            </w:r>
          </w:p>
        </w:tc>
      </w:tr>
      <w:tr>
        <w:trPr>
          <w:trHeight w:val="20" w:hRule="atLeast"/>
        </w:trPr>
        <w:tc>
          <w:tcPr>
            <w:tcW w:w="14568" w:type="dxa"/>
            <w:gridSpan w:val="11"/>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Группа проектов «Тепловые сети и сооружения на них»</w:t>
            </w:r>
          </w:p>
        </w:tc>
      </w:tr>
      <w:tr>
        <w:trPr>
          <w:trHeight w:val="20" w:hRule="atLeast"/>
        </w:trPr>
        <w:tc>
          <w:tcPr>
            <w:tcW w:w="2042"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xml:space="preserve"> </w:t>
            </w:r>
            <w:r>
              <w:rPr>
                <w:sz w:val="20"/>
                <w:szCs w:val="20"/>
                <w:lang w:eastAsia="ru-RU"/>
              </w:rPr>
              <w:t>001.02.00.000</w:t>
            </w:r>
          </w:p>
        </w:tc>
        <w:tc>
          <w:tcPr>
            <w:tcW w:w="36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Всего стоимость группы проектов</w:t>
            </w:r>
          </w:p>
        </w:tc>
        <w:tc>
          <w:tcPr>
            <w:tcW w:w="9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51102</w:t>
            </w:r>
          </w:p>
        </w:tc>
        <w:tc>
          <w:tcPr>
            <w:tcW w:w="9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550</w:t>
            </w:r>
          </w:p>
        </w:tc>
        <w:tc>
          <w:tcPr>
            <w:tcW w:w="9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550</w:t>
            </w:r>
          </w:p>
        </w:tc>
        <w:tc>
          <w:tcPr>
            <w:tcW w:w="9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550</w:t>
            </w:r>
          </w:p>
        </w:tc>
        <w:tc>
          <w:tcPr>
            <w:tcW w:w="9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27491,8</w:t>
            </w:r>
          </w:p>
        </w:tc>
        <w:tc>
          <w:tcPr>
            <w:tcW w:w="9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18110,2</w:t>
            </w:r>
          </w:p>
        </w:tc>
        <w:tc>
          <w:tcPr>
            <w:tcW w:w="95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2200</w:t>
            </w:r>
          </w:p>
        </w:tc>
        <w:tc>
          <w:tcPr>
            <w:tcW w:w="95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t>1650</w:t>
            </w:r>
          </w:p>
        </w:tc>
        <w:tc>
          <w:tcPr>
            <w:tcW w:w="120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t>Бюджетные средства</w:t>
            </w:r>
          </w:p>
        </w:tc>
      </w:tr>
      <w:tr>
        <w:trPr>
          <w:trHeight w:val="20" w:hRule="atLeast"/>
        </w:trPr>
        <w:tc>
          <w:tcPr>
            <w:tcW w:w="204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r>
          </w:p>
        </w:tc>
        <w:tc>
          <w:tcPr>
            <w:tcW w:w="36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Всего стоимость группы проектов накопленным итогом</w:t>
            </w:r>
          </w:p>
        </w:tc>
        <w:tc>
          <w:tcPr>
            <w:tcW w:w="9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51102</w:t>
            </w:r>
          </w:p>
        </w:tc>
        <w:tc>
          <w:tcPr>
            <w:tcW w:w="9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550</w:t>
            </w:r>
          </w:p>
        </w:tc>
        <w:tc>
          <w:tcPr>
            <w:tcW w:w="9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1100</w:t>
            </w:r>
          </w:p>
        </w:tc>
        <w:tc>
          <w:tcPr>
            <w:tcW w:w="9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1650</w:t>
            </w:r>
          </w:p>
        </w:tc>
        <w:tc>
          <w:tcPr>
            <w:tcW w:w="9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29141,8</w:t>
            </w:r>
          </w:p>
        </w:tc>
        <w:tc>
          <w:tcPr>
            <w:tcW w:w="9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47252</w:t>
            </w:r>
          </w:p>
        </w:tc>
        <w:tc>
          <w:tcPr>
            <w:tcW w:w="95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49452</w:t>
            </w:r>
          </w:p>
        </w:tc>
        <w:tc>
          <w:tcPr>
            <w:tcW w:w="95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t>51102</w:t>
            </w:r>
          </w:p>
        </w:tc>
        <w:tc>
          <w:tcPr>
            <w:tcW w:w="120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t>Бюджетные средства</w:t>
            </w:r>
          </w:p>
        </w:tc>
      </w:tr>
      <w:tr>
        <w:trPr>
          <w:trHeight w:val="20" w:hRule="atLeast"/>
        </w:trPr>
        <w:tc>
          <w:tcPr>
            <w:tcW w:w="14568" w:type="dxa"/>
            <w:gridSpan w:val="11"/>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xml:space="preserve">Подгруппа проектов «Реконструкция тепловых сетей для обеспечения надежности теплоснабжения потребителей, </w:t>
            </w:r>
          </w:p>
          <w:p>
            <w:pPr>
              <w:pStyle w:val="Normal"/>
              <w:jc w:val="center"/>
              <w:rPr>
                <w:sz w:val="20"/>
                <w:szCs w:val="20"/>
                <w:lang w:eastAsia="ru-RU"/>
              </w:rPr>
            </w:pPr>
            <w:r>
              <w:rPr>
                <w:sz w:val="20"/>
                <w:szCs w:val="20"/>
                <w:lang w:eastAsia="ru-RU"/>
              </w:rPr>
              <w:t>в том числе в связи с исчерпанием эксплуатационного ресурса»</w:t>
            </w:r>
          </w:p>
        </w:tc>
      </w:tr>
      <w:tr>
        <w:trPr>
          <w:trHeight w:val="20" w:hRule="atLeast"/>
        </w:trPr>
        <w:tc>
          <w:tcPr>
            <w:tcW w:w="2042"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001.02.02.000</w:t>
            </w:r>
          </w:p>
        </w:tc>
        <w:tc>
          <w:tcPr>
            <w:tcW w:w="36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Всего стоимость группы проектов</w:t>
            </w:r>
          </w:p>
        </w:tc>
        <w:tc>
          <w:tcPr>
            <w:tcW w:w="9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51102</w:t>
            </w:r>
          </w:p>
        </w:tc>
        <w:tc>
          <w:tcPr>
            <w:tcW w:w="9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550</w:t>
            </w:r>
          </w:p>
        </w:tc>
        <w:tc>
          <w:tcPr>
            <w:tcW w:w="9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550</w:t>
            </w:r>
          </w:p>
        </w:tc>
        <w:tc>
          <w:tcPr>
            <w:tcW w:w="9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550</w:t>
            </w:r>
          </w:p>
        </w:tc>
        <w:tc>
          <w:tcPr>
            <w:tcW w:w="9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27491,8</w:t>
            </w:r>
          </w:p>
        </w:tc>
        <w:tc>
          <w:tcPr>
            <w:tcW w:w="9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18110,2</w:t>
            </w:r>
          </w:p>
        </w:tc>
        <w:tc>
          <w:tcPr>
            <w:tcW w:w="95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2200</w:t>
            </w:r>
          </w:p>
        </w:tc>
        <w:tc>
          <w:tcPr>
            <w:tcW w:w="95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t>1650</w:t>
            </w:r>
          </w:p>
        </w:tc>
        <w:tc>
          <w:tcPr>
            <w:tcW w:w="120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t>Бюджетные средства</w:t>
            </w:r>
          </w:p>
        </w:tc>
      </w:tr>
      <w:tr>
        <w:trPr>
          <w:trHeight w:val="20" w:hRule="atLeast"/>
        </w:trPr>
        <w:tc>
          <w:tcPr>
            <w:tcW w:w="204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r>
          </w:p>
        </w:tc>
        <w:tc>
          <w:tcPr>
            <w:tcW w:w="36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Всего стоимость группы проектов накопленным итогом</w:t>
            </w:r>
          </w:p>
        </w:tc>
        <w:tc>
          <w:tcPr>
            <w:tcW w:w="9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51102</w:t>
            </w:r>
          </w:p>
        </w:tc>
        <w:tc>
          <w:tcPr>
            <w:tcW w:w="9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550</w:t>
            </w:r>
          </w:p>
        </w:tc>
        <w:tc>
          <w:tcPr>
            <w:tcW w:w="9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1100</w:t>
            </w:r>
          </w:p>
        </w:tc>
        <w:tc>
          <w:tcPr>
            <w:tcW w:w="9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1650</w:t>
            </w:r>
          </w:p>
        </w:tc>
        <w:tc>
          <w:tcPr>
            <w:tcW w:w="9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29141,8</w:t>
            </w:r>
          </w:p>
        </w:tc>
        <w:tc>
          <w:tcPr>
            <w:tcW w:w="9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47252</w:t>
            </w:r>
          </w:p>
        </w:tc>
        <w:tc>
          <w:tcPr>
            <w:tcW w:w="95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49452</w:t>
            </w:r>
          </w:p>
        </w:tc>
        <w:tc>
          <w:tcPr>
            <w:tcW w:w="95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t>51102</w:t>
            </w:r>
          </w:p>
        </w:tc>
        <w:tc>
          <w:tcPr>
            <w:tcW w:w="120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t>Бюджетные средства</w:t>
            </w:r>
          </w:p>
        </w:tc>
      </w:tr>
      <w:tr>
        <w:trPr>
          <w:trHeight w:val="20" w:hRule="atLeast"/>
        </w:trPr>
        <w:tc>
          <w:tcPr>
            <w:tcW w:w="20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001.02.02.001</w:t>
            </w:r>
          </w:p>
        </w:tc>
        <w:tc>
          <w:tcPr>
            <w:tcW w:w="36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sz w:val="20"/>
                <w:szCs w:val="20"/>
                <w:lang w:eastAsia="ru-RU"/>
              </w:rPr>
            </w:pPr>
            <w:r>
              <w:rPr>
                <w:sz w:val="20"/>
                <w:szCs w:val="20"/>
                <w:lang w:eastAsia="ru-RU"/>
              </w:rPr>
              <w:t>Реконструкция (капитальный ремонт) сетей тепло-, водоснабжения по ул.Калинина, ул.Ленина в пгт.Октябрьское</w:t>
            </w:r>
          </w:p>
        </w:tc>
        <w:tc>
          <w:tcPr>
            <w:tcW w:w="9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26941,8</w:t>
            </w:r>
          </w:p>
        </w:tc>
        <w:tc>
          <w:tcPr>
            <w:tcW w:w="9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w:t>
            </w:r>
          </w:p>
        </w:tc>
        <w:tc>
          <w:tcPr>
            <w:tcW w:w="9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w:t>
            </w:r>
          </w:p>
        </w:tc>
        <w:tc>
          <w:tcPr>
            <w:tcW w:w="9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w:t>
            </w:r>
          </w:p>
        </w:tc>
        <w:tc>
          <w:tcPr>
            <w:tcW w:w="9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26941,8</w:t>
            </w:r>
          </w:p>
        </w:tc>
        <w:tc>
          <w:tcPr>
            <w:tcW w:w="9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w:t>
            </w:r>
          </w:p>
        </w:tc>
        <w:tc>
          <w:tcPr>
            <w:tcW w:w="95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w:t>
            </w:r>
          </w:p>
        </w:tc>
        <w:tc>
          <w:tcPr>
            <w:tcW w:w="95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t> </w:t>
            </w:r>
          </w:p>
        </w:tc>
        <w:tc>
          <w:tcPr>
            <w:tcW w:w="120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t>Бюджетные средства</w:t>
            </w:r>
          </w:p>
        </w:tc>
      </w:tr>
      <w:tr>
        <w:trPr>
          <w:trHeight w:val="20" w:hRule="atLeast"/>
        </w:trPr>
        <w:tc>
          <w:tcPr>
            <w:tcW w:w="20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001.02.02.002</w:t>
            </w:r>
          </w:p>
        </w:tc>
        <w:tc>
          <w:tcPr>
            <w:tcW w:w="36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sz w:val="20"/>
                <w:szCs w:val="20"/>
                <w:lang w:eastAsia="ru-RU"/>
              </w:rPr>
            </w:pPr>
            <w:r>
              <w:rPr>
                <w:sz w:val="20"/>
                <w:szCs w:val="20"/>
                <w:lang w:eastAsia="ru-RU"/>
              </w:rPr>
              <w:t>Реконструкция (капитальный ремонт) сетей тепло-, водоснабжения по ул.Чапаева в пгт.Октябрьское</w:t>
            </w:r>
          </w:p>
        </w:tc>
        <w:tc>
          <w:tcPr>
            <w:tcW w:w="9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17560,2</w:t>
            </w:r>
          </w:p>
        </w:tc>
        <w:tc>
          <w:tcPr>
            <w:tcW w:w="9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w:t>
            </w:r>
          </w:p>
        </w:tc>
        <w:tc>
          <w:tcPr>
            <w:tcW w:w="9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w:t>
            </w:r>
          </w:p>
        </w:tc>
        <w:tc>
          <w:tcPr>
            <w:tcW w:w="9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w:t>
            </w:r>
          </w:p>
        </w:tc>
        <w:tc>
          <w:tcPr>
            <w:tcW w:w="9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w:t>
            </w:r>
          </w:p>
        </w:tc>
        <w:tc>
          <w:tcPr>
            <w:tcW w:w="9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17560,2</w:t>
            </w:r>
          </w:p>
        </w:tc>
        <w:tc>
          <w:tcPr>
            <w:tcW w:w="95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w:t>
            </w:r>
          </w:p>
        </w:tc>
        <w:tc>
          <w:tcPr>
            <w:tcW w:w="95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t> </w:t>
            </w:r>
          </w:p>
        </w:tc>
        <w:tc>
          <w:tcPr>
            <w:tcW w:w="120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t>Бюджетные средства</w:t>
            </w:r>
          </w:p>
        </w:tc>
      </w:tr>
      <w:tr>
        <w:trPr>
          <w:trHeight w:val="20" w:hRule="atLeast"/>
        </w:trPr>
        <w:tc>
          <w:tcPr>
            <w:tcW w:w="20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001.02.02.003</w:t>
            </w:r>
          </w:p>
        </w:tc>
        <w:tc>
          <w:tcPr>
            <w:tcW w:w="36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sz w:val="20"/>
                <w:szCs w:val="20"/>
                <w:lang w:eastAsia="ru-RU"/>
              </w:rPr>
            </w:pPr>
            <w:r>
              <w:rPr>
                <w:sz w:val="20"/>
                <w:szCs w:val="20"/>
                <w:lang w:eastAsia="ru-RU"/>
              </w:rPr>
              <w:t>Поэтапная замена изношенных сетей теплоснабжения, ремонт и замена запорной арматуры</w:t>
            </w:r>
          </w:p>
        </w:tc>
        <w:tc>
          <w:tcPr>
            <w:tcW w:w="9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6600</w:t>
            </w:r>
          </w:p>
        </w:tc>
        <w:tc>
          <w:tcPr>
            <w:tcW w:w="9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550</w:t>
            </w:r>
          </w:p>
        </w:tc>
        <w:tc>
          <w:tcPr>
            <w:tcW w:w="9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550</w:t>
            </w:r>
          </w:p>
        </w:tc>
        <w:tc>
          <w:tcPr>
            <w:tcW w:w="9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550</w:t>
            </w:r>
          </w:p>
        </w:tc>
        <w:tc>
          <w:tcPr>
            <w:tcW w:w="9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550</w:t>
            </w:r>
          </w:p>
        </w:tc>
        <w:tc>
          <w:tcPr>
            <w:tcW w:w="9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550</w:t>
            </w:r>
          </w:p>
        </w:tc>
        <w:tc>
          <w:tcPr>
            <w:tcW w:w="95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2200</w:t>
            </w:r>
          </w:p>
        </w:tc>
        <w:tc>
          <w:tcPr>
            <w:tcW w:w="95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t>1650</w:t>
            </w:r>
          </w:p>
        </w:tc>
        <w:tc>
          <w:tcPr>
            <w:tcW w:w="120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t>Бюджетные средства</w:t>
            </w:r>
          </w:p>
        </w:tc>
      </w:tr>
    </w:tbl>
    <w:p>
      <w:pPr>
        <w:sectPr>
          <w:headerReference w:type="default" r:id="rId27"/>
          <w:footerReference w:type="default" r:id="rId28"/>
          <w:type w:val="nextPage"/>
          <w:pgSz w:orient="landscape" w:w="16838" w:h="11906"/>
          <w:pgMar w:left="1701" w:right="567" w:header="708" w:top="1701" w:footer="708" w:bottom="850" w:gutter="0"/>
          <w:pgNumType w:fmt="decimal"/>
          <w:formProt w:val="false"/>
          <w:textDirection w:val="lrTb"/>
          <w:docGrid w:type="default" w:linePitch="360" w:charSpace="0"/>
        </w:sectPr>
        <w:pStyle w:val="Normal"/>
        <w:tabs>
          <w:tab w:val="clear" w:pos="408"/>
          <w:tab w:val="left" w:pos="0" w:leader="none"/>
        </w:tabs>
        <w:jc w:val="both"/>
        <w:rPr>
          <w:rFonts w:eastAsia="Calibri" w:cs="Calibri"/>
          <w:szCs w:val="22"/>
          <w:lang w:eastAsia="en-US"/>
        </w:rPr>
      </w:pPr>
      <w:r>
        <w:rPr>
          <w:rFonts w:eastAsia="Calibri" w:cs="Calibri"/>
          <w:szCs w:val="22"/>
          <w:lang w:eastAsia="en-US"/>
        </w:rPr>
        <w:t>*- Объемы инвестиций в развитие системы теплоснабжения определены по укрупненным показателям на основании объектов-аналогов и должны быть уточнены на последующих стадиях проектирования.</w:t>
      </w:r>
    </w:p>
    <w:p>
      <w:pPr>
        <w:pStyle w:val="Normal"/>
        <w:keepNext w:val="true"/>
        <w:keepLines/>
        <w:numPr>
          <w:ilvl w:val="0"/>
          <w:numId w:val="0"/>
        </w:numPr>
        <w:ind w:left="0" w:firstLine="709"/>
        <w:jc w:val="both"/>
        <w:outlineLvl w:val="1"/>
        <w:rPr>
          <w:rFonts w:eastAsia="Calibri Light" w:cs="Calibri Light"/>
          <w:b/>
          <w:b/>
          <w:szCs w:val="26"/>
          <w:lang w:eastAsia="en-US"/>
        </w:rPr>
      </w:pPr>
      <w:bookmarkStart w:id="335" w:name="_Toc525894733"/>
      <w:bookmarkStart w:id="336" w:name="_Toc181367000"/>
      <w:bookmarkStart w:id="337" w:name="_Toc535417897"/>
      <w:bookmarkStart w:id="338" w:name="_Toc23034140"/>
      <w:bookmarkStart w:id="339" w:name="_Toc160516857"/>
      <w:r>
        <w:rPr>
          <w:rFonts w:eastAsia="Calibri Light" w:cs="Calibri Light"/>
          <w:b/>
          <w:szCs w:val="26"/>
          <w:lang w:eastAsia="en-US"/>
        </w:rPr>
        <w:t>9.2. Предложения по величине необходимых инвестиций в строительство, реконструкцию, техническое перевооружение и (или) модернизацию тепловых сетей, насосных станций и тепловых пунктов на каждом этапе</w:t>
      </w:r>
      <w:bookmarkEnd w:id="335"/>
      <w:bookmarkEnd w:id="336"/>
      <w:bookmarkEnd w:id="337"/>
      <w:bookmarkEnd w:id="338"/>
      <w:bookmarkEnd w:id="339"/>
    </w:p>
    <w:p>
      <w:pPr>
        <w:pStyle w:val="Normal"/>
        <w:keepNext w:val="true"/>
        <w:keepLines/>
        <w:numPr>
          <w:ilvl w:val="0"/>
          <w:numId w:val="0"/>
        </w:numPr>
        <w:ind w:left="0" w:firstLine="709"/>
        <w:jc w:val="both"/>
        <w:outlineLvl w:val="1"/>
        <w:rPr>
          <w:rFonts w:eastAsia="Calibri Light" w:cs="Calibri Light"/>
          <w:b/>
          <w:b/>
          <w:szCs w:val="26"/>
          <w:lang w:eastAsia="en-US"/>
        </w:rPr>
      </w:pPr>
      <w:r>
        <w:rPr>
          <w:lang w:eastAsia="ru-RU"/>
        </w:rPr>
        <w:t>Перечень мероприятий по строительству, реконструкции, техническому перевооружению и (или) модернизации тепловых сетей и сооружений на них приведен в таблице 11.</w:t>
      </w:r>
      <w:bookmarkStart w:id="340" w:name="_Toc535417898"/>
      <w:bookmarkStart w:id="341" w:name="_Toc23034141"/>
      <w:bookmarkStart w:id="342" w:name="_Toc160516858"/>
      <w:bookmarkStart w:id="343" w:name="_Toc181367001"/>
      <w:bookmarkStart w:id="344" w:name="_Toc525894734"/>
    </w:p>
    <w:p>
      <w:pPr>
        <w:pStyle w:val="Normal"/>
        <w:keepNext w:val="true"/>
        <w:keepLines/>
        <w:numPr>
          <w:ilvl w:val="0"/>
          <w:numId w:val="0"/>
        </w:numPr>
        <w:ind w:left="0" w:firstLine="709"/>
        <w:jc w:val="both"/>
        <w:outlineLvl w:val="1"/>
        <w:rPr>
          <w:rFonts w:eastAsia="Calibri Light" w:cs="Calibri Light"/>
          <w:b/>
          <w:b/>
          <w:szCs w:val="26"/>
          <w:lang w:eastAsia="en-US"/>
        </w:rPr>
      </w:pPr>
      <w:r>
        <w:rPr>
          <w:rFonts w:eastAsia="Calibri Light" w:cs="Calibri Light"/>
          <w:b/>
          <w:szCs w:val="26"/>
          <w:lang w:eastAsia="en-US"/>
        </w:rPr>
      </w:r>
    </w:p>
    <w:p>
      <w:pPr>
        <w:pStyle w:val="Normal"/>
        <w:keepNext w:val="true"/>
        <w:keepLines/>
        <w:numPr>
          <w:ilvl w:val="0"/>
          <w:numId w:val="0"/>
        </w:numPr>
        <w:ind w:left="0" w:firstLine="709"/>
        <w:jc w:val="both"/>
        <w:outlineLvl w:val="1"/>
        <w:rPr>
          <w:rFonts w:eastAsia="Calibri Light" w:cs="Calibri Light"/>
          <w:b/>
          <w:b/>
          <w:szCs w:val="26"/>
          <w:lang w:eastAsia="en-US"/>
        </w:rPr>
      </w:pPr>
      <w:r>
        <w:rPr>
          <w:rFonts w:eastAsia="Calibri Light" w:cs="Calibri Light"/>
          <w:b/>
          <w:szCs w:val="26"/>
          <w:lang w:eastAsia="en-US"/>
        </w:rPr>
        <w:t>9.3.</w:t>
        <w:tab/>
        <w:t>Предложения по величине инвестиций в строительство, реконструкцию, техническое перевооружение и (или) модернизацию в связи с изменениями температурного графика и гидравлического режима работы системы теплоснабжения</w:t>
      </w:r>
      <w:bookmarkEnd w:id="344"/>
      <w:r>
        <w:rPr>
          <w:rFonts w:eastAsia="Calibri Light" w:cs="Calibri Light"/>
          <w:b/>
          <w:szCs w:val="26"/>
          <w:lang w:eastAsia="en-US"/>
        </w:rPr>
        <w:t xml:space="preserve"> на каждом этапе</w:t>
      </w:r>
      <w:bookmarkEnd w:id="340"/>
      <w:bookmarkEnd w:id="341"/>
      <w:bookmarkEnd w:id="342"/>
      <w:bookmarkEnd w:id="343"/>
    </w:p>
    <w:p>
      <w:pPr>
        <w:pStyle w:val="Normal"/>
        <w:ind w:firstLine="709"/>
        <w:jc w:val="both"/>
        <w:rPr>
          <w:rFonts w:eastAsia="Calibri" w:cs="Calibri"/>
          <w:szCs w:val="22"/>
          <w:lang w:eastAsia="ru-RU"/>
        </w:rPr>
      </w:pPr>
      <w:r>
        <w:rPr>
          <w:rFonts w:eastAsia="Calibri" w:cs="Calibri"/>
          <w:szCs w:val="22"/>
          <w:lang w:eastAsia="ru-RU"/>
        </w:rPr>
        <w:t>Изменение температурного графика системы теплоснабжения не предусмотрено.</w:t>
      </w:r>
      <w:bookmarkStart w:id="345" w:name="_Toc181367002"/>
      <w:bookmarkStart w:id="346" w:name="_Toc160516859"/>
      <w:bookmarkStart w:id="347" w:name="_Toc230341421"/>
      <w:bookmarkStart w:id="348" w:name="_Toc23034143"/>
      <w:bookmarkStart w:id="349" w:name="_Toc525894736"/>
      <w:bookmarkStart w:id="350" w:name="_Toc5258947351"/>
      <w:bookmarkStart w:id="351" w:name="_Toc1605307261"/>
      <w:bookmarkStart w:id="352" w:name="_Toc535417900"/>
      <w:bookmarkStart w:id="353" w:name="_Toc5354178991"/>
      <w:bookmarkEnd w:id="347"/>
      <w:bookmarkEnd w:id="348"/>
      <w:bookmarkEnd w:id="349"/>
      <w:bookmarkEnd w:id="350"/>
      <w:bookmarkEnd w:id="351"/>
      <w:bookmarkEnd w:id="352"/>
      <w:bookmarkEnd w:id="353"/>
    </w:p>
    <w:p>
      <w:pPr>
        <w:pStyle w:val="Normal"/>
        <w:ind w:firstLine="709"/>
        <w:jc w:val="both"/>
        <w:rPr>
          <w:rFonts w:eastAsia="Calibri" w:cs="Calibri"/>
          <w:szCs w:val="22"/>
          <w:lang w:eastAsia="ru-RU"/>
        </w:rPr>
      </w:pPr>
      <w:r>
        <w:rPr>
          <w:rFonts w:eastAsia="Calibri" w:cs="Calibri"/>
          <w:szCs w:val="22"/>
          <w:lang w:eastAsia="ru-RU"/>
        </w:rPr>
      </w:r>
    </w:p>
    <w:p>
      <w:pPr>
        <w:pStyle w:val="Normal"/>
        <w:ind w:firstLine="709"/>
        <w:jc w:val="both"/>
        <w:rPr>
          <w:rFonts w:eastAsia="Calibri" w:cs="Calibri"/>
          <w:szCs w:val="22"/>
          <w:lang w:eastAsia="ru-RU"/>
        </w:rPr>
      </w:pPr>
      <w:r>
        <w:rPr>
          <w:rFonts w:eastAsia="Calibri Light" w:cs="Calibri Light"/>
          <w:b/>
          <w:szCs w:val="26"/>
          <w:lang w:eastAsia="en-US"/>
        </w:rPr>
        <w:t>9.4. Предложения по величине необходимых инвестиций для перевода открытой системы теплоснабжения (горячего водоснабжения), отдельных участков таких систем на закрытую систему горячего водоснабжения на каждом этапе</w:t>
      </w:r>
      <w:bookmarkEnd w:id="345"/>
      <w:bookmarkEnd w:id="346"/>
    </w:p>
    <w:p>
      <w:pPr>
        <w:pStyle w:val="Normal"/>
        <w:ind w:firstLine="709"/>
        <w:jc w:val="both"/>
        <w:rPr>
          <w:rFonts w:eastAsia="Calibri" w:cs="Calibri"/>
          <w:szCs w:val="22"/>
          <w:lang w:eastAsia="ru-RU"/>
        </w:rPr>
      </w:pPr>
      <w:r>
        <w:rPr>
          <w:rFonts w:eastAsia="Calibri" w:cs="Calibri"/>
          <w:szCs w:val="22"/>
          <w:lang w:eastAsia="en-US"/>
        </w:rPr>
        <w:t>На территории поселения потребители, подключенные к открытой системе теплоснабжения (горячего водоснабжения), отдельных участков такой системы отсутствуют.</w:t>
      </w:r>
      <w:bookmarkStart w:id="354" w:name="_Toc160516860"/>
      <w:bookmarkStart w:id="355" w:name="_Toc181367003"/>
      <w:bookmarkStart w:id="356" w:name="_Toc5258947361"/>
      <w:bookmarkStart w:id="357" w:name="_Toc5354179001"/>
      <w:bookmarkStart w:id="358" w:name="_Toc230341431"/>
      <w:bookmarkEnd w:id="356"/>
      <w:bookmarkEnd w:id="357"/>
      <w:bookmarkEnd w:id="358"/>
    </w:p>
    <w:p>
      <w:pPr>
        <w:pStyle w:val="Normal"/>
        <w:ind w:firstLine="709"/>
        <w:jc w:val="both"/>
        <w:rPr>
          <w:rFonts w:eastAsia="Calibri" w:cs="Calibri"/>
          <w:szCs w:val="22"/>
          <w:lang w:eastAsia="ru-RU"/>
        </w:rPr>
      </w:pPr>
      <w:r>
        <w:rPr>
          <w:rFonts w:eastAsia="Calibri" w:cs="Calibri"/>
          <w:szCs w:val="22"/>
          <w:lang w:eastAsia="ru-RU"/>
        </w:rPr>
      </w:r>
    </w:p>
    <w:p>
      <w:pPr>
        <w:pStyle w:val="Normal"/>
        <w:ind w:firstLine="709"/>
        <w:jc w:val="both"/>
        <w:rPr>
          <w:rFonts w:eastAsia="Calibri" w:cs="Calibri"/>
          <w:szCs w:val="22"/>
          <w:lang w:eastAsia="ru-RU"/>
        </w:rPr>
      </w:pPr>
      <w:r>
        <w:rPr>
          <w:rFonts w:eastAsia="Calibri Light" w:cs="Calibri Light"/>
          <w:b/>
          <w:szCs w:val="26"/>
          <w:lang w:eastAsia="en-US"/>
        </w:rPr>
        <w:t>9.5.</w:t>
        <w:tab/>
        <w:t>Оценка эффективности инвестиций по отдельным предложениям</w:t>
      </w:r>
      <w:bookmarkEnd w:id="354"/>
      <w:bookmarkEnd w:id="355"/>
    </w:p>
    <w:p>
      <w:pPr>
        <w:pStyle w:val="Normal"/>
        <w:ind w:firstLine="709"/>
        <w:jc w:val="both"/>
        <w:rPr>
          <w:rFonts w:eastAsia="Calibri" w:cs="Calibri"/>
          <w:szCs w:val="22"/>
          <w:lang w:eastAsia="ru-RU"/>
        </w:rPr>
      </w:pPr>
      <w:r>
        <w:rPr>
          <w:rFonts w:eastAsia="Calibri" w:cs="Calibri"/>
          <w:szCs w:val="22"/>
          <w:lang w:eastAsia="ru-RU"/>
        </w:rPr>
        <w:t xml:space="preserve">Эффекты от реализации программы проектов оцениваются на основании сравнения основных показателей деятельности организаций без реализации мероприятий (базовый вариант) и с реализацией мероприятий программы. </w:t>
      </w:r>
    </w:p>
    <w:p>
      <w:pPr>
        <w:pStyle w:val="Normal"/>
        <w:ind w:firstLine="709"/>
        <w:jc w:val="both"/>
        <w:rPr>
          <w:rFonts w:eastAsia="Calibri" w:cs="Calibri"/>
          <w:szCs w:val="22"/>
          <w:lang w:eastAsia="ru-RU"/>
        </w:rPr>
      </w:pPr>
      <w:r>
        <w:rPr>
          <w:rFonts w:eastAsia="Calibri" w:cs="Calibri"/>
          <w:szCs w:val="22"/>
          <w:lang w:eastAsia="ru-RU"/>
        </w:rPr>
        <w:t xml:space="preserve">Базовый вариант предполагает: </w:t>
      </w:r>
    </w:p>
    <w:p>
      <w:pPr>
        <w:pStyle w:val="Normal"/>
        <w:ind w:firstLine="709"/>
        <w:jc w:val="both"/>
        <w:rPr>
          <w:rFonts w:eastAsia="Calibri" w:cs="Calibri"/>
          <w:szCs w:val="22"/>
          <w:lang w:eastAsia="ru-RU"/>
        </w:rPr>
      </w:pPr>
      <w:r>
        <w:rPr>
          <w:rFonts w:eastAsia="Calibri" w:cs="Calibri"/>
          <w:szCs w:val="22"/>
          <w:lang w:eastAsia="ru-RU"/>
        </w:rPr>
        <w:t xml:space="preserve">- новые потребители не подключаются и не отключаются; </w:t>
      </w:r>
    </w:p>
    <w:p>
      <w:pPr>
        <w:pStyle w:val="Normal"/>
        <w:ind w:firstLine="709"/>
        <w:jc w:val="both"/>
        <w:rPr>
          <w:rFonts w:eastAsia="Calibri" w:cs="Calibri"/>
          <w:szCs w:val="22"/>
          <w:lang w:eastAsia="ru-RU"/>
        </w:rPr>
      </w:pPr>
      <w:r>
        <w:rPr>
          <w:rFonts w:eastAsia="Calibri" w:cs="Calibri"/>
          <w:szCs w:val="22"/>
          <w:lang w:eastAsia="ru-RU"/>
        </w:rPr>
        <w:t xml:space="preserve">- оборудование источников не меняется, технические параметры работы оборудования остаются постоянными на уровне базового года; </w:t>
      </w:r>
    </w:p>
    <w:p>
      <w:pPr>
        <w:pStyle w:val="Normal"/>
        <w:ind w:firstLine="709"/>
        <w:jc w:val="both"/>
        <w:rPr>
          <w:rFonts w:eastAsia="Calibri" w:cs="Calibri"/>
          <w:szCs w:val="22"/>
          <w:lang w:eastAsia="ru-RU"/>
        </w:rPr>
      </w:pPr>
      <w:r>
        <w:rPr>
          <w:rFonts w:eastAsia="Calibri" w:cs="Calibri"/>
          <w:szCs w:val="22"/>
          <w:lang w:eastAsia="ru-RU"/>
        </w:rPr>
        <w:t xml:space="preserve">- капитальный ремонт сетей производится в объеме базового года. </w:t>
      </w:r>
    </w:p>
    <w:p>
      <w:pPr>
        <w:pStyle w:val="Normal"/>
        <w:ind w:firstLine="709"/>
        <w:jc w:val="both"/>
        <w:rPr>
          <w:rFonts w:eastAsia="Calibri" w:cs="Calibri"/>
          <w:szCs w:val="22"/>
          <w:lang w:eastAsia="ru-RU"/>
        </w:rPr>
      </w:pPr>
      <w:r>
        <w:rPr>
          <w:rFonts w:eastAsia="Calibri" w:cs="Calibri"/>
          <w:szCs w:val="22"/>
          <w:lang w:eastAsia="ru-RU"/>
        </w:rPr>
        <w:t xml:space="preserve">Таким образом, в базовом варианте объем реализации, себестоимость производства электроэнергии и тепла сохраняются на уровне базового года. </w:t>
      </w:r>
      <w:bookmarkStart w:id="359" w:name="_Hlk25570433"/>
      <w:bookmarkEnd w:id="359"/>
    </w:p>
    <w:p>
      <w:pPr>
        <w:pStyle w:val="Normal"/>
        <w:ind w:firstLine="709"/>
        <w:jc w:val="both"/>
        <w:rPr>
          <w:rFonts w:eastAsia="Calibri" w:cs="Calibri"/>
          <w:szCs w:val="22"/>
          <w:lang w:eastAsia="ru-RU"/>
        </w:rPr>
      </w:pPr>
      <w:r>
        <w:rPr>
          <w:rFonts w:eastAsia="Calibri" w:cs="Calibri"/>
          <w:szCs w:val="22"/>
          <w:lang w:eastAsia="ru-RU"/>
        </w:rPr>
        <w:t>Экономическая эффективность реализации мероприятий по сохранению существующей схемы теплоснабжения с проведением работ по модернизации существующих объектов выражается в сокращении эксплуатационных издержек, уменьшению удельных расходов топлива на производство тепла, а также снижению потерь тепла при транспортировке.</w:t>
      </w:r>
    </w:p>
    <w:p>
      <w:pPr>
        <w:pStyle w:val="Normal"/>
        <w:ind w:firstLine="709"/>
        <w:jc w:val="both"/>
        <w:rPr>
          <w:rFonts w:eastAsia="Calibri" w:cs="Calibri"/>
          <w:szCs w:val="22"/>
          <w:lang w:eastAsia="ru-RU"/>
        </w:rPr>
      </w:pPr>
      <w:r>
        <w:rPr>
          <w:rFonts w:eastAsia="Calibri" w:cs="Calibri"/>
          <w:szCs w:val="22"/>
          <w:lang w:eastAsia="ru-RU"/>
        </w:rPr>
        <w:t>Для обеспечения надежного теплоснабжения необходимо регулярно проводить работы по замене изношенного и устаревшего оборудования, замене тепловых сетей.</w:t>
      </w:r>
      <w:bookmarkStart w:id="360" w:name="_Toc160516861"/>
      <w:bookmarkStart w:id="361" w:name="_Toc181367004"/>
    </w:p>
    <w:p>
      <w:pPr>
        <w:pStyle w:val="Normal"/>
        <w:ind w:firstLine="709"/>
        <w:jc w:val="both"/>
        <w:rPr>
          <w:rFonts w:eastAsia="Calibri" w:cs="Calibri"/>
          <w:szCs w:val="22"/>
          <w:lang w:eastAsia="ru-RU"/>
        </w:rPr>
      </w:pPr>
      <w:r>
        <w:rPr>
          <w:rFonts w:eastAsia="Calibri" w:cs="Calibri"/>
          <w:szCs w:val="22"/>
          <w:lang w:eastAsia="ru-RU"/>
        </w:rPr>
      </w:r>
    </w:p>
    <w:p>
      <w:pPr>
        <w:pStyle w:val="Normal"/>
        <w:ind w:firstLine="709"/>
        <w:jc w:val="both"/>
        <w:rPr>
          <w:rFonts w:eastAsia="Calibri" w:cs="Calibri"/>
          <w:szCs w:val="22"/>
          <w:lang w:eastAsia="ru-RU"/>
        </w:rPr>
      </w:pPr>
      <w:r>
        <w:rPr>
          <w:rFonts w:eastAsia="Calibri Light" w:cs="Calibri Light"/>
          <w:b/>
          <w:szCs w:val="26"/>
          <w:lang w:eastAsia="en-US"/>
        </w:rPr>
        <w:t>9.6. Величина фактически осуществленных инвестиций в строительство, реконструкцию, техническое перевооружение и (или) модернизацию объектов теплоснабжения за базовый период и базовый период актуализации</w:t>
      </w:r>
      <w:bookmarkEnd w:id="360"/>
      <w:bookmarkEnd w:id="361"/>
    </w:p>
    <w:p>
      <w:pPr>
        <w:pStyle w:val="Normal"/>
        <w:ind w:firstLine="709"/>
        <w:jc w:val="both"/>
        <w:rPr>
          <w:rFonts w:eastAsia="Calibri" w:cs="Calibri"/>
          <w:szCs w:val="22"/>
          <w:lang w:eastAsia="ru-RU"/>
        </w:rPr>
      </w:pPr>
      <w:r>
        <w:rPr>
          <w:rFonts w:eastAsia="Calibri" w:cs="Calibri"/>
          <w:szCs w:val="22"/>
          <w:lang w:eastAsia="en-US"/>
        </w:rPr>
        <w:t>Информация о величине фактически осуществленных инвестиций в строительство, реконструкцию, техническое перевооружение и (или) модернизацию объектов теплоснабжения за базовый период и базовый период актуализации отсутствует.</w:t>
      </w:r>
      <w:bookmarkStart w:id="362" w:name="_Hlk160650619"/>
      <w:bookmarkEnd w:id="362"/>
    </w:p>
    <w:p>
      <w:pPr>
        <w:pStyle w:val="Normal"/>
        <w:spacing w:before="240" w:after="240"/>
        <w:ind w:firstLine="709"/>
        <w:jc w:val="both"/>
        <w:rPr>
          <w:rFonts w:eastAsia="Calibri"/>
          <w:lang w:eastAsia="en-US"/>
        </w:rPr>
      </w:pPr>
      <w:r>
        <w:rPr>
          <w:rFonts w:eastAsia="Calibri"/>
          <w:lang w:eastAsia="en-US"/>
        </w:rPr>
      </w:r>
      <w:bookmarkStart w:id="363" w:name="_Hlk160712110"/>
      <w:bookmarkStart w:id="364" w:name="_Hlk160712110"/>
      <w:bookmarkEnd w:id="364"/>
    </w:p>
    <w:p>
      <w:pPr>
        <w:pStyle w:val="Normal"/>
        <w:spacing w:before="240" w:after="240"/>
        <w:ind w:firstLine="709"/>
        <w:jc w:val="both"/>
        <w:rPr>
          <w:lang w:eastAsia="ru-RU"/>
        </w:rPr>
      </w:pPr>
      <w:r>
        <w:rPr>
          <w:lang w:eastAsia="ru-RU"/>
        </w:rPr>
      </w:r>
    </w:p>
    <w:p>
      <w:pPr>
        <w:pStyle w:val="Normal"/>
        <w:keepNext w:val="true"/>
        <w:keepLines/>
        <w:numPr>
          <w:ilvl w:val="0"/>
          <w:numId w:val="0"/>
        </w:numPr>
        <w:ind w:left="0" w:hanging="0"/>
        <w:jc w:val="center"/>
        <w:outlineLvl w:val="0"/>
        <w:rPr>
          <w:rFonts w:eastAsia="Calibri Light"/>
          <w:b/>
          <w:b/>
          <w:lang w:eastAsia="en-US"/>
        </w:rPr>
      </w:pPr>
      <w:bookmarkStart w:id="365" w:name="_Hlk20411020"/>
      <w:bookmarkStart w:id="366" w:name="_Toc535417903"/>
      <w:bookmarkStart w:id="367" w:name="_Toc525894739"/>
      <w:bookmarkStart w:id="368" w:name="_Toc23034146"/>
      <w:bookmarkEnd w:id="365"/>
      <w:bookmarkEnd w:id="366"/>
      <w:bookmarkEnd w:id="367"/>
      <w:bookmarkEnd w:id="368"/>
      <w:r>
        <w:rPr>
          <w:rFonts w:eastAsia="Calibri Light"/>
          <w:b/>
          <w:lang w:eastAsia="en-US"/>
        </w:rPr>
        <w:t xml:space="preserve">Раздел 10 «Решение о присвоении статуса </w:t>
      </w:r>
    </w:p>
    <w:p>
      <w:pPr>
        <w:pStyle w:val="Normal"/>
        <w:keepNext w:val="true"/>
        <w:keepLines/>
        <w:numPr>
          <w:ilvl w:val="0"/>
          <w:numId w:val="0"/>
        </w:numPr>
        <w:ind w:left="0" w:hanging="0"/>
        <w:jc w:val="center"/>
        <w:outlineLvl w:val="0"/>
        <w:rPr>
          <w:rFonts w:eastAsia="Calibri Light"/>
          <w:b/>
          <w:b/>
          <w:lang w:eastAsia="en-US"/>
        </w:rPr>
      </w:pPr>
      <w:bookmarkStart w:id="369" w:name="_Toc23034144"/>
      <w:bookmarkStart w:id="370" w:name="_Toc160530729"/>
      <w:bookmarkStart w:id="371" w:name="_Toc181367005"/>
      <w:r>
        <w:rPr>
          <w:rFonts w:eastAsia="Calibri Light"/>
          <w:b/>
          <w:lang w:eastAsia="en-US"/>
        </w:rPr>
        <w:t>единой теплоснабжающей организации (организациям)»</w:t>
      </w:r>
      <w:bookmarkEnd w:id="369"/>
      <w:bookmarkEnd w:id="370"/>
      <w:bookmarkEnd w:id="371"/>
    </w:p>
    <w:p>
      <w:pPr>
        <w:pStyle w:val="Normal"/>
        <w:keepNext w:val="true"/>
        <w:keepLines/>
        <w:numPr>
          <w:ilvl w:val="0"/>
          <w:numId w:val="0"/>
        </w:numPr>
        <w:ind w:left="0" w:hanging="0"/>
        <w:jc w:val="both"/>
        <w:outlineLvl w:val="1"/>
        <w:rPr>
          <w:rFonts w:eastAsia="Calibri Light" w:cs="Calibri Light"/>
          <w:b/>
          <w:b/>
          <w:color w:val="000000"/>
          <w:lang w:eastAsia="en-US"/>
        </w:rPr>
      </w:pPr>
      <w:r>
        <w:rPr>
          <w:rFonts w:eastAsia="Calibri Light" w:cs="Calibri Light"/>
          <w:b/>
          <w:color w:val="000000"/>
          <w:lang w:eastAsia="en-US"/>
        </w:rPr>
      </w:r>
    </w:p>
    <w:p>
      <w:pPr>
        <w:pStyle w:val="Normal"/>
        <w:keepNext w:val="true"/>
        <w:keepLines/>
        <w:numPr>
          <w:ilvl w:val="0"/>
          <w:numId w:val="0"/>
        </w:numPr>
        <w:ind w:left="0" w:firstLine="709"/>
        <w:jc w:val="both"/>
        <w:outlineLvl w:val="1"/>
        <w:rPr>
          <w:rFonts w:eastAsia="Calibri Light" w:cs="Calibri Light"/>
          <w:b/>
          <w:b/>
          <w:szCs w:val="26"/>
          <w:lang w:eastAsia="en-US"/>
        </w:rPr>
      </w:pPr>
      <w:bookmarkStart w:id="372" w:name="_Toc525894738"/>
      <w:bookmarkStart w:id="373" w:name="_Toc535417902"/>
      <w:bookmarkStart w:id="374" w:name="_Toc23034145"/>
      <w:bookmarkStart w:id="375" w:name="_Toc160530730"/>
      <w:bookmarkStart w:id="376" w:name="_Toc181367006"/>
      <w:r>
        <w:rPr>
          <w:rFonts w:eastAsia="Calibri Light" w:cs="Calibri Light"/>
          <w:b/>
          <w:szCs w:val="26"/>
          <w:lang w:eastAsia="en-US"/>
        </w:rPr>
        <w:t>10.1. Решение о присвоении статуса единой теплоснабжающей организации (организациям)</w:t>
      </w:r>
      <w:bookmarkStart w:id="377" w:name="_Hlk160650629"/>
      <w:bookmarkEnd w:id="372"/>
      <w:bookmarkEnd w:id="373"/>
      <w:bookmarkEnd w:id="374"/>
      <w:bookmarkEnd w:id="375"/>
      <w:bookmarkEnd w:id="376"/>
      <w:bookmarkEnd w:id="377"/>
    </w:p>
    <w:p>
      <w:pPr>
        <w:pStyle w:val="Normal"/>
        <w:keepNext w:val="true"/>
        <w:keepLines/>
        <w:numPr>
          <w:ilvl w:val="0"/>
          <w:numId w:val="0"/>
        </w:numPr>
        <w:ind w:left="0" w:firstLine="709"/>
        <w:jc w:val="both"/>
        <w:outlineLvl w:val="1"/>
        <w:rPr>
          <w:rFonts w:eastAsia="Calibri" w:cs="Calibri"/>
          <w:sz w:val="26"/>
          <w:szCs w:val="26"/>
          <w:lang w:eastAsia="en-US"/>
        </w:rPr>
      </w:pPr>
      <w:r>
        <w:rPr/>
        <w:t xml:space="preserve">На момент актуализации Схемы теплоснабжения </w:t>
      </w:r>
      <w:r>
        <w:rPr>
          <w:rFonts w:eastAsia="Calibri" w:cs="Calibri"/>
          <w:szCs w:val="22"/>
          <w:lang w:eastAsia="ru-RU"/>
        </w:rPr>
        <w:t xml:space="preserve">МП МО Октябрьский район «ОКС» </w:t>
      </w:r>
      <w:r>
        <w:rPr/>
        <w:t xml:space="preserve">отвечает всем требованиям критериев по определению единой теплоснабжающей организации в соответствии с </w:t>
      </w:r>
      <w:r>
        <w:rPr>
          <w:rFonts w:eastAsia="Tahoma"/>
        </w:rPr>
        <w:t>постановлением Правительства Российской Федерации                          от 08.08.2012 № 808</w:t>
      </w:r>
      <w:r>
        <w:rPr/>
        <w:t xml:space="preserve"> «</w:t>
      </w:r>
      <w:r>
        <w:rPr>
          <w:rFonts w:eastAsia="Tahoma"/>
        </w:rPr>
        <w:t>Об организации теплоснабжения в Российской Федерации и о внесении изменений в некоторые акты Правительства Российской Федерации»</w:t>
      </w:r>
      <w:r>
        <w:rPr/>
        <w:t xml:space="preserve"> и имеет статус единой теплоснабжающей организации в соответствии с постановлением администрации Октябрьского района от </w:t>
      </w:r>
      <w:r>
        <w:rPr>
          <w:rFonts w:eastAsia="Tahoma" w:cs="Times New Roman"/>
          <w:sz w:val="24"/>
          <w:lang w:bidi="ar-SA"/>
        </w:rPr>
        <w:t>04</w:t>
      </w:r>
      <w:r>
        <w:rPr>
          <w:rFonts w:eastAsia="Tahoma"/>
        </w:rPr>
        <w:t>.09.2025 № 1264</w:t>
      </w:r>
      <w:r>
        <w:rPr/>
        <w:t xml:space="preserve"> «</w:t>
      </w:r>
      <w:r>
        <w:rPr>
          <w:rFonts w:eastAsia="Tahoma"/>
        </w:rPr>
        <w:t>О присвоении статуса единой теплоснабжающей организации».</w:t>
      </w:r>
      <w:bookmarkStart w:id="378" w:name="_Toc181367007"/>
      <w:bookmarkStart w:id="379" w:name="_Hlk160712150"/>
      <w:bookmarkStart w:id="380" w:name="_Toc5258947391"/>
      <w:bookmarkStart w:id="381" w:name="_Toc5354179031"/>
      <w:bookmarkStart w:id="382" w:name="_Toc230341461"/>
      <w:bookmarkStart w:id="383" w:name="_Hlk1607121501"/>
      <w:bookmarkStart w:id="384" w:name="_Toc23034147"/>
      <w:bookmarkStart w:id="385" w:name="_Hlk50125110"/>
      <w:bookmarkStart w:id="386" w:name="_Toc525894740"/>
      <w:bookmarkStart w:id="387" w:name="_Toc535417904"/>
      <w:bookmarkStart w:id="388" w:name="_Hlk204110201"/>
      <w:bookmarkEnd w:id="379"/>
      <w:bookmarkEnd w:id="380"/>
      <w:bookmarkEnd w:id="381"/>
      <w:bookmarkEnd w:id="382"/>
      <w:bookmarkEnd w:id="383"/>
      <w:bookmarkEnd w:id="384"/>
      <w:bookmarkEnd w:id="385"/>
      <w:bookmarkEnd w:id="386"/>
      <w:bookmarkEnd w:id="387"/>
      <w:bookmarkEnd w:id="388"/>
    </w:p>
    <w:p>
      <w:pPr>
        <w:pStyle w:val="Normal"/>
        <w:keepNext w:val="true"/>
        <w:keepLines/>
        <w:numPr>
          <w:ilvl w:val="0"/>
          <w:numId w:val="0"/>
        </w:numPr>
        <w:ind w:left="0" w:firstLine="709"/>
        <w:jc w:val="both"/>
        <w:outlineLvl w:val="1"/>
        <w:rPr>
          <w:rFonts w:eastAsia="Calibri" w:cs="Calibri"/>
          <w:sz w:val="26"/>
          <w:szCs w:val="26"/>
          <w:lang w:eastAsia="en-US"/>
        </w:rPr>
      </w:pPr>
      <w:r>
        <w:rPr>
          <w:rFonts w:eastAsia="Calibri" w:cs="Calibri"/>
          <w:sz w:val="26"/>
          <w:szCs w:val="26"/>
          <w:lang w:eastAsia="en-US"/>
        </w:rPr>
      </w:r>
    </w:p>
    <w:p>
      <w:pPr>
        <w:pStyle w:val="Normal"/>
        <w:keepNext w:val="true"/>
        <w:keepLines/>
        <w:numPr>
          <w:ilvl w:val="0"/>
          <w:numId w:val="0"/>
        </w:numPr>
        <w:ind w:left="0" w:firstLine="709"/>
        <w:jc w:val="both"/>
        <w:outlineLvl w:val="1"/>
        <w:rPr>
          <w:rFonts w:eastAsia="Calibri Light" w:cs="Calibri Light"/>
          <w:b/>
          <w:b/>
          <w:szCs w:val="26"/>
          <w:lang w:eastAsia="en-US"/>
        </w:rPr>
      </w:pPr>
      <w:r>
        <w:rPr>
          <w:rFonts w:eastAsia="Calibri Light" w:cs="Calibri Light"/>
          <w:b/>
          <w:szCs w:val="26"/>
          <w:lang w:eastAsia="en-US"/>
        </w:rPr>
        <w:t>10.2. Реестр зон деятельности единой теплоснабжающей организации (организаций)</w:t>
      </w:r>
      <w:bookmarkEnd w:id="378"/>
    </w:p>
    <w:p>
      <w:pPr>
        <w:pStyle w:val="Normal"/>
        <w:keepNext w:val="true"/>
        <w:keepLines/>
        <w:numPr>
          <w:ilvl w:val="0"/>
          <w:numId w:val="0"/>
        </w:numPr>
        <w:ind w:left="0" w:firstLine="709"/>
        <w:jc w:val="both"/>
        <w:outlineLvl w:val="1"/>
        <w:rPr>
          <w:rFonts w:eastAsia="Calibri" w:cs="Calibri"/>
          <w:sz w:val="26"/>
          <w:szCs w:val="26"/>
          <w:lang w:eastAsia="en-US"/>
        </w:rPr>
      </w:pPr>
      <w:r>
        <w:rPr/>
        <w:t>Реестр зон деятельности единой теплоснабжающей организации на территории поселения представлен в таблице 12.</w:t>
      </w:r>
    </w:p>
    <w:p>
      <w:pPr>
        <w:pStyle w:val="Caption"/>
        <w:spacing w:before="0" w:after="0"/>
        <w:jc w:val="right"/>
        <w:rPr>
          <w:rFonts w:ascii="Times New Roman" w:hAnsi="Times New Roman" w:cs="Times New Roman"/>
          <w:i w:val="false"/>
          <w:i w:val="false"/>
        </w:rPr>
      </w:pPr>
      <w:r>
        <w:rPr>
          <w:rFonts w:cs="Times New Roman" w:ascii="Times New Roman" w:hAnsi="Times New Roman"/>
          <w:i w:val="false"/>
        </w:rPr>
        <w:t xml:space="preserve">Таблица 12 – Реестр зон деятельности единой теплоснабжающей организации </w:t>
      </w:r>
    </w:p>
    <w:p>
      <w:pPr>
        <w:pStyle w:val="Normal"/>
        <w:jc w:val="right"/>
        <w:rPr>
          <w:rFonts w:eastAsia="Calibri" w:cs="Calibri"/>
          <w:sz w:val="26"/>
          <w:szCs w:val="26"/>
          <w:lang w:eastAsia="en-US"/>
        </w:rPr>
      </w:pPr>
      <w:r>
        <w:rPr/>
        <w:t>на территории поселения</w:t>
      </w:r>
    </w:p>
    <w:tbl>
      <w:tblPr>
        <w:tblW w:w="5000" w:type="pct"/>
        <w:jc w:val="left"/>
        <w:tblInd w:w="0" w:type="dxa"/>
        <w:tblCellMar>
          <w:top w:w="0" w:type="dxa"/>
          <w:left w:w="5" w:type="dxa"/>
          <w:bottom w:w="0" w:type="dxa"/>
          <w:right w:w="5" w:type="dxa"/>
        </w:tblCellMar>
        <w:tblLook w:val="0000" w:noVBand="0" w:noHBand="0" w:lastColumn="0" w:firstColumn="0" w:lastRow="0" w:firstRow="0"/>
      </w:tblPr>
      <w:tblGrid>
        <w:gridCol w:w="509"/>
        <w:gridCol w:w="3207"/>
        <w:gridCol w:w="3817"/>
        <w:gridCol w:w="2104"/>
      </w:tblGrid>
      <w:tr>
        <w:trPr>
          <w:tblHeader w:val="true"/>
          <w:cantSplit w:val="true"/>
        </w:trPr>
        <w:tc>
          <w:tcPr>
            <w:tcW w:w="50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szCs w:val="22"/>
              </w:rPr>
            </w:pPr>
            <w:r>
              <w:rPr>
                <w:sz w:val="22"/>
                <w:szCs w:val="22"/>
              </w:rPr>
              <w:t xml:space="preserve">№ </w:t>
            </w:r>
            <w:r>
              <w:rPr>
                <w:sz w:val="22"/>
                <w:szCs w:val="22"/>
              </w:rPr>
              <w:t>п/п</w:t>
            </w:r>
          </w:p>
        </w:tc>
        <w:tc>
          <w:tcPr>
            <w:tcW w:w="320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szCs w:val="22"/>
              </w:rPr>
            </w:pPr>
            <w:r>
              <w:rPr>
                <w:sz w:val="22"/>
                <w:szCs w:val="22"/>
              </w:rPr>
              <w:t xml:space="preserve">Наименование Единой теплоснабжающей организации </w:t>
            </w:r>
          </w:p>
        </w:tc>
        <w:tc>
          <w:tcPr>
            <w:tcW w:w="381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szCs w:val="22"/>
              </w:rPr>
            </w:pPr>
            <w:r>
              <w:rPr>
                <w:sz w:val="22"/>
                <w:szCs w:val="22"/>
              </w:rPr>
              <w:t>Наименование источника системы централизованного теплоснабжения</w:t>
            </w:r>
          </w:p>
        </w:tc>
        <w:tc>
          <w:tcPr>
            <w:tcW w:w="210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szCs w:val="22"/>
              </w:rPr>
            </w:pPr>
            <w:r>
              <w:rPr>
                <w:sz w:val="22"/>
                <w:szCs w:val="22"/>
              </w:rPr>
              <w:t>Зона деятельности</w:t>
            </w:r>
          </w:p>
        </w:tc>
      </w:tr>
      <w:tr>
        <w:trPr>
          <w:cantSplit w:val="true"/>
        </w:trPr>
        <w:tc>
          <w:tcPr>
            <w:tcW w:w="50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szCs w:val="22"/>
              </w:rPr>
            </w:pPr>
            <w:r>
              <w:rPr>
                <w:sz w:val="22"/>
                <w:szCs w:val="22"/>
              </w:rPr>
              <w:t>1</w:t>
            </w:r>
          </w:p>
        </w:tc>
        <w:tc>
          <w:tcPr>
            <w:tcW w:w="320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szCs w:val="22"/>
              </w:rPr>
            </w:pPr>
            <w:r>
              <w:rPr>
                <w:sz w:val="22"/>
                <w:szCs w:val="22"/>
              </w:rPr>
              <w:t>МП МО Октябрьский район «ОКС»</w:t>
            </w:r>
          </w:p>
        </w:tc>
        <w:tc>
          <w:tcPr>
            <w:tcW w:w="381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szCs w:val="22"/>
              </w:rPr>
            </w:pPr>
            <w:r>
              <w:rPr>
                <w:sz w:val="22"/>
                <w:szCs w:val="22"/>
                <w:lang w:eastAsia="ru-RU"/>
              </w:rPr>
              <w:t>котельная № 1, пгт.Октябрьское,</w:t>
            </w:r>
          </w:p>
          <w:p>
            <w:pPr>
              <w:pStyle w:val="Normal"/>
              <w:jc w:val="center"/>
              <w:rPr>
                <w:sz w:val="22"/>
                <w:szCs w:val="22"/>
              </w:rPr>
            </w:pPr>
            <w:r>
              <w:rPr>
                <w:sz w:val="22"/>
                <w:szCs w:val="22"/>
                <w:lang w:eastAsia="ru-RU"/>
              </w:rPr>
              <w:t>ул.Сенькина, 46б</w:t>
            </w:r>
          </w:p>
        </w:tc>
        <w:tc>
          <w:tcPr>
            <w:tcW w:w="210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szCs w:val="22"/>
              </w:rPr>
            </w:pPr>
            <w:r>
              <w:rPr>
                <w:sz w:val="22"/>
                <w:szCs w:val="22"/>
              </w:rPr>
              <w:t>котельная,</w:t>
            </w:r>
          </w:p>
          <w:p>
            <w:pPr>
              <w:pStyle w:val="Normal"/>
              <w:jc w:val="center"/>
              <w:rPr>
                <w:sz w:val="22"/>
                <w:szCs w:val="22"/>
              </w:rPr>
            </w:pPr>
            <w:r>
              <w:rPr>
                <w:sz w:val="22"/>
                <w:szCs w:val="22"/>
              </w:rPr>
              <w:t>тепловые сети</w:t>
            </w:r>
          </w:p>
        </w:tc>
      </w:tr>
      <w:tr>
        <w:trPr>
          <w:cantSplit w:val="true"/>
        </w:trPr>
        <w:tc>
          <w:tcPr>
            <w:tcW w:w="50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szCs w:val="22"/>
                <w:lang w:val="en-US"/>
              </w:rPr>
            </w:pPr>
            <w:r>
              <w:rPr>
                <w:sz w:val="22"/>
                <w:szCs w:val="22"/>
                <w:lang w:val="en-US"/>
              </w:rPr>
              <w:t>2</w:t>
            </w:r>
          </w:p>
        </w:tc>
        <w:tc>
          <w:tcPr>
            <w:tcW w:w="320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szCs w:val="22"/>
              </w:rPr>
            </w:pPr>
            <w:r>
              <w:rPr>
                <w:sz w:val="22"/>
                <w:szCs w:val="22"/>
              </w:rPr>
              <w:t>МП МО Октябрьский район «ОКС»</w:t>
            </w:r>
          </w:p>
        </w:tc>
        <w:tc>
          <w:tcPr>
            <w:tcW w:w="381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szCs w:val="22"/>
                <w:lang w:eastAsia="ru-RU"/>
              </w:rPr>
            </w:pPr>
            <w:r>
              <w:rPr>
                <w:sz w:val="22"/>
                <w:szCs w:val="22"/>
                <w:lang w:eastAsia="ru-RU"/>
              </w:rPr>
              <w:t>котельная № 2, пгт.Октябрьское,</w:t>
            </w:r>
          </w:p>
          <w:p>
            <w:pPr>
              <w:pStyle w:val="Normal"/>
              <w:jc w:val="center"/>
              <w:rPr>
                <w:sz w:val="22"/>
                <w:szCs w:val="22"/>
                <w:lang w:eastAsia="ru-RU"/>
              </w:rPr>
            </w:pPr>
            <w:r>
              <w:rPr>
                <w:sz w:val="22"/>
                <w:szCs w:val="22"/>
                <w:lang w:eastAsia="ru-RU"/>
              </w:rPr>
              <w:t>ул.Пионерская, 17б</w:t>
            </w:r>
          </w:p>
        </w:tc>
        <w:tc>
          <w:tcPr>
            <w:tcW w:w="210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szCs w:val="22"/>
              </w:rPr>
            </w:pPr>
            <w:r>
              <w:rPr>
                <w:sz w:val="22"/>
                <w:szCs w:val="22"/>
              </w:rPr>
              <w:t>котельная,</w:t>
            </w:r>
          </w:p>
          <w:p>
            <w:pPr>
              <w:pStyle w:val="Normal"/>
              <w:jc w:val="center"/>
              <w:rPr>
                <w:sz w:val="22"/>
                <w:szCs w:val="22"/>
              </w:rPr>
            </w:pPr>
            <w:r>
              <w:rPr>
                <w:sz w:val="22"/>
                <w:szCs w:val="22"/>
              </w:rPr>
              <w:t>тепловые сети</w:t>
            </w:r>
          </w:p>
        </w:tc>
      </w:tr>
      <w:tr>
        <w:trPr>
          <w:cantSplit w:val="true"/>
        </w:trPr>
        <w:tc>
          <w:tcPr>
            <w:tcW w:w="50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szCs w:val="22"/>
                <w:lang w:val="en-US"/>
              </w:rPr>
            </w:pPr>
            <w:r>
              <w:rPr>
                <w:sz w:val="22"/>
                <w:szCs w:val="22"/>
                <w:lang w:val="en-US"/>
              </w:rPr>
              <w:t>3</w:t>
            </w:r>
          </w:p>
        </w:tc>
        <w:tc>
          <w:tcPr>
            <w:tcW w:w="320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szCs w:val="22"/>
              </w:rPr>
            </w:pPr>
            <w:r>
              <w:rPr>
                <w:sz w:val="22"/>
                <w:szCs w:val="22"/>
              </w:rPr>
              <w:t>МП МО Октябрьский район «ОКС»</w:t>
            </w:r>
          </w:p>
        </w:tc>
        <w:tc>
          <w:tcPr>
            <w:tcW w:w="381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szCs w:val="22"/>
                <w:lang w:eastAsia="ru-RU"/>
              </w:rPr>
            </w:pPr>
            <w:r>
              <w:rPr>
                <w:sz w:val="22"/>
                <w:szCs w:val="22"/>
                <w:lang w:eastAsia="ru-RU"/>
              </w:rPr>
              <w:t>котельная № 3, пгт.Октябрьское,</w:t>
            </w:r>
          </w:p>
          <w:p>
            <w:pPr>
              <w:pStyle w:val="Normal"/>
              <w:jc w:val="center"/>
              <w:rPr>
                <w:sz w:val="22"/>
                <w:szCs w:val="22"/>
                <w:lang w:eastAsia="ru-RU"/>
              </w:rPr>
            </w:pPr>
            <w:r>
              <w:rPr>
                <w:sz w:val="22"/>
                <w:szCs w:val="22"/>
                <w:lang w:eastAsia="ru-RU"/>
              </w:rPr>
              <w:t>ул.Чапаева, 6б</w:t>
            </w:r>
          </w:p>
        </w:tc>
        <w:tc>
          <w:tcPr>
            <w:tcW w:w="210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szCs w:val="22"/>
              </w:rPr>
            </w:pPr>
            <w:r>
              <w:rPr>
                <w:sz w:val="22"/>
                <w:szCs w:val="22"/>
              </w:rPr>
              <w:t>котельная,</w:t>
            </w:r>
          </w:p>
          <w:p>
            <w:pPr>
              <w:pStyle w:val="Normal"/>
              <w:jc w:val="center"/>
              <w:rPr>
                <w:sz w:val="22"/>
                <w:szCs w:val="22"/>
              </w:rPr>
            </w:pPr>
            <w:r>
              <w:rPr>
                <w:sz w:val="22"/>
                <w:szCs w:val="22"/>
              </w:rPr>
              <w:t>тепловые сети</w:t>
            </w:r>
          </w:p>
        </w:tc>
      </w:tr>
      <w:tr>
        <w:trPr>
          <w:cantSplit w:val="true"/>
        </w:trPr>
        <w:tc>
          <w:tcPr>
            <w:tcW w:w="50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szCs w:val="22"/>
                <w:lang w:val="en-US"/>
              </w:rPr>
            </w:pPr>
            <w:r>
              <w:rPr>
                <w:sz w:val="22"/>
                <w:szCs w:val="22"/>
                <w:lang w:val="en-US"/>
              </w:rPr>
              <w:t>4</w:t>
            </w:r>
          </w:p>
        </w:tc>
        <w:tc>
          <w:tcPr>
            <w:tcW w:w="320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szCs w:val="22"/>
              </w:rPr>
            </w:pPr>
            <w:r>
              <w:rPr>
                <w:sz w:val="22"/>
                <w:szCs w:val="22"/>
              </w:rPr>
              <w:t>МП МО Октябрьский район «ОКС»</w:t>
            </w:r>
          </w:p>
        </w:tc>
        <w:tc>
          <w:tcPr>
            <w:tcW w:w="381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szCs w:val="22"/>
                <w:lang w:eastAsia="ru-RU"/>
              </w:rPr>
            </w:pPr>
            <w:r>
              <w:rPr>
                <w:sz w:val="22"/>
                <w:szCs w:val="22"/>
                <w:lang w:eastAsia="ru-RU"/>
              </w:rPr>
              <w:t>котельная № 6, пгт.Октябрьское,</w:t>
            </w:r>
          </w:p>
          <w:p>
            <w:pPr>
              <w:pStyle w:val="Normal"/>
              <w:jc w:val="center"/>
              <w:rPr>
                <w:sz w:val="22"/>
                <w:szCs w:val="22"/>
                <w:lang w:eastAsia="ru-RU"/>
              </w:rPr>
            </w:pPr>
            <w:r>
              <w:rPr>
                <w:sz w:val="22"/>
                <w:szCs w:val="22"/>
                <w:lang w:eastAsia="ru-RU"/>
              </w:rPr>
              <w:t>ул.Дзержинского, 2б</w:t>
            </w:r>
          </w:p>
        </w:tc>
        <w:tc>
          <w:tcPr>
            <w:tcW w:w="210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szCs w:val="22"/>
              </w:rPr>
            </w:pPr>
            <w:r>
              <w:rPr>
                <w:sz w:val="22"/>
                <w:szCs w:val="22"/>
              </w:rPr>
              <w:t>котельная,</w:t>
            </w:r>
          </w:p>
          <w:p>
            <w:pPr>
              <w:pStyle w:val="Normal"/>
              <w:jc w:val="center"/>
              <w:rPr>
                <w:sz w:val="22"/>
                <w:szCs w:val="22"/>
              </w:rPr>
            </w:pPr>
            <w:r>
              <w:rPr>
                <w:sz w:val="22"/>
                <w:szCs w:val="22"/>
              </w:rPr>
              <w:t>тепловые сети</w:t>
            </w:r>
          </w:p>
        </w:tc>
      </w:tr>
      <w:tr>
        <w:trPr>
          <w:cantSplit w:val="true"/>
        </w:trPr>
        <w:tc>
          <w:tcPr>
            <w:tcW w:w="50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szCs w:val="22"/>
                <w:lang w:val="en-US"/>
              </w:rPr>
            </w:pPr>
            <w:r>
              <w:rPr>
                <w:sz w:val="22"/>
                <w:szCs w:val="22"/>
                <w:lang w:val="en-US"/>
              </w:rPr>
              <w:t>5</w:t>
            </w:r>
          </w:p>
        </w:tc>
        <w:tc>
          <w:tcPr>
            <w:tcW w:w="320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szCs w:val="22"/>
              </w:rPr>
            </w:pPr>
            <w:r>
              <w:rPr>
                <w:sz w:val="22"/>
                <w:szCs w:val="22"/>
              </w:rPr>
              <w:t>МП МО Октябрьский район «ОКС»</w:t>
            </w:r>
          </w:p>
        </w:tc>
        <w:tc>
          <w:tcPr>
            <w:tcW w:w="381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szCs w:val="22"/>
                <w:lang w:eastAsia="ru-RU"/>
              </w:rPr>
            </w:pPr>
            <w:r>
              <w:rPr>
                <w:sz w:val="22"/>
                <w:szCs w:val="22"/>
                <w:lang w:eastAsia="ru-RU"/>
              </w:rPr>
              <w:t>котельная № 7,пгт.Октябрьское,</w:t>
            </w:r>
          </w:p>
          <w:p>
            <w:pPr>
              <w:pStyle w:val="Normal"/>
              <w:jc w:val="center"/>
              <w:rPr>
                <w:sz w:val="22"/>
                <w:szCs w:val="22"/>
                <w:lang w:eastAsia="ru-RU"/>
              </w:rPr>
            </w:pPr>
            <w:r>
              <w:rPr>
                <w:sz w:val="22"/>
                <w:szCs w:val="22"/>
                <w:lang w:eastAsia="ru-RU"/>
              </w:rPr>
              <w:t>ул.Медицинская, 3Б</w:t>
            </w:r>
          </w:p>
        </w:tc>
        <w:tc>
          <w:tcPr>
            <w:tcW w:w="210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szCs w:val="22"/>
              </w:rPr>
            </w:pPr>
            <w:r>
              <w:rPr>
                <w:sz w:val="22"/>
                <w:szCs w:val="22"/>
              </w:rPr>
              <w:t>котельная,</w:t>
            </w:r>
          </w:p>
          <w:p>
            <w:pPr>
              <w:pStyle w:val="Normal"/>
              <w:jc w:val="center"/>
              <w:rPr>
                <w:sz w:val="22"/>
                <w:szCs w:val="22"/>
              </w:rPr>
            </w:pPr>
            <w:r>
              <w:rPr>
                <w:sz w:val="22"/>
                <w:szCs w:val="22"/>
              </w:rPr>
              <w:t>тепловые сети</w:t>
            </w:r>
          </w:p>
        </w:tc>
      </w:tr>
      <w:tr>
        <w:trPr>
          <w:cantSplit w:val="true"/>
        </w:trPr>
        <w:tc>
          <w:tcPr>
            <w:tcW w:w="50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szCs w:val="22"/>
                <w:lang w:val="en-US"/>
              </w:rPr>
            </w:pPr>
            <w:r>
              <w:rPr>
                <w:sz w:val="22"/>
                <w:szCs w:val="22"/>
                <w:lang w:val="en-US"/>
              </w:rPr>
              <w:t>6</w:t>
            </w:r>
          </w:p>
        </w:tc>
        <w:tc>
          <w:tcPr>
            <w:tcW w:w="320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szCs w:val="22"/>
              </w:rPr>
            </w:pPr>
            <w:r>
              <w:rPr>
                <w:sz w:val="22"/>
                <w:szCs w:val="22"/>
              </w:rPr>
              <w:t>МП МО Октябрьский район «ОКС»</w:t>
            </w:r>
          </w:p>
        </w:tc>
        <w:tc>
          <w:tcPr>
            <w:tcW w:w="381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szCs w:val="22"/>
                <w:lang w:eastAsia="ru-RU"/>
              </w:rPr>
            </w:pPr>
            <w:r>
              <w:rPr>
                <w:sz w:val="22"/>
                <w:szCs w:val="22"/>
                <w:lang w:eastAsia="ru-RU"/>
              </w:rPr>
              <w:t>котельная № 12, пгт.Октябрьское,</w:t>
            </w:r>
          </w:p>
          <w:p>
            <w:pPr>
              <w:pStyle w:val="Normal"/>
              <w:jc w:val="center"/>
              <w:rPr>
                <w:sz w:val="22"/>
                <w:szCs w:val="22"/>
                <w:lang w:eastAsia="ru-RU"/>
              </w:rPr>
            </w:pPr>
            <w:r>
              <w:rPr>
                <w:sz w:val="22"/>
                <w:szCs w:val="22"/>
                <w:lang w:eastAsia="ru-RU"/>
              </w:rPr>
              <w:t>ул.Медицинская, 3к</w:t>
            </w:r>
          </w:p>
        </w:tc>
        <w:tc>
          <w:tcPr>
            <w:tcW w:w="210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szCs w:val="22"/>
              </w:rPr>
            </w:pPr>
            <w:r>
              <w:rPr>
                <w:sz w:val="22"/>
                <w:szCs w:val="22"/>
              </w:rPr>
              <w:t>котельная,</w:t>
            </w:r>
          </w:p>
          <w:p>
            <w:pPr>
              <w:pStyle w:val="Normal"/>
              <w:jc w:val="center"/>
              <w:rPr>
                <w:sz w:val="22"/>
                <w:szCs w:val="22"/>
              </w:rPr>
            </w:pPr>
            <w:r>
              <w:rPr>
                <w:sz w:val="22"/>
                <w:szCs w:val="22"/>
              </w:rPr>
              <w:t>тепловые сети</w:t>
            </w:r>
          </w:p>
        </w:tc>
      </w:tr>
      <w:tr>
        <w:trPr>
          <w:cantSplit w:val="true"/>
        </w:trPr>
        <w:tc>
          <w:tcPr>
            <w:tcW w:w="50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szCs w:val="22"/>
                <w:lang w:val="en-US"/>
              </w:rPr>
            </w:pPr>
            <w:r>
              <w:rPr>
                <w:sz w:val="22"/>
                <w:szCs w:val="22"/>
                <w:lang w:val="en-US"/>
              </w:rPr>
              <w:t>7</w:t>
            </w:r>
          </w:p>
        </w:tc>
        <w:tc>
          <w:tcPr>
            <w:tcW w:w="320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szCs w:val="22"/>
              </w:rPr>
            </w:pPr>
            <w:r>
              <w:rPr>
                <w:sz w:val="22"/>
                <w:szCs w:val="22"/>
              </w:rPr>
              <w:t>МП МО Октябрьский район «ОКС»</w:t>
            </w:r>
          </w:p>
        </w:tc>
        <w:tc>
          <w:tcPr>
            <w:tcW w:w="381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szCs w:val="22"/>
                <w:lang w:eastAsia="ru-RU"/>
              </w:rPr>
            </w:pPr>
            <w:r>
              <w:rPr>
                <w:sz w:val="22"/>
                <w:szCs w:val="22"/>
                <w:lang w:eastAsia="ru-RU"/>
              </w:rPr>
              <w:t>котельная № 8, пгт.Октябрьское,</w:t>
            </w:r>
          </w:p>
          <w:p>
            <w:pPr>
              <w:pStyle w:val="Normal"/>
              <w:jc w:val="center"/>
              <w:rPr>
                <w:sz w:val="22"/>
                <w:szCs w:val="22"/>
                <w:lang w:eastAsia="ru-RU"/>
              </w:rPr>
            </w:pPr>
            <w:r>
              <w:rPr>
                <w:sz w:val="22"/>
                <w:szCs w:val="22"/>
                <w:lang w:eastAsia="ru-RU"/>
              </w:rPr>
              <w:t>ул.50 лет, 38А</w:t>
            </w:r>
          </w:p>
        </w:tc>
        <w:tc>
          <w:tcPr>
            <w:tcW w:w="210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szCs w:val="22"/>
              </w:rPr>
            </w:pPr>
            <w:r>
              <w:rPr>
                <w:sz w:val="22"/>
                <w:szCs w:val="22"/>
              </w:rPr>
              <w:t>котельная,</w:t>
            </w:r>
          </w:p>
          <w:p>
            <w:pPr>
              <w:pStyle w:val="Normal"/>
              <w:jc w:val="center"/>
              <w:rPr>
                <w:sz w:val="22"/>
                <w:szCs w:val="22"/>
              </w:rPr>
            </w:pPr>
            <w:r>
              <w:rPr>
                <w:sz w:val="22"/>
                <w:szCs w:val="22"/>
              </w:rPr>
              <w:t>тепловые сети</w:t>
            </w:r>
          </w:p>
        </w:tc>
      </w:tr>
    </w:tbl>
    <w:p>
      <w:pPr>
        <w:pStyle w:val="Normal"/>
        <w:keepNext w:val="true"/>
        <w:keepLines/>
        <w:numPr>
          <w:ilvl w:val="0"/>
          <w:numId w:val="0"/>
        </w:numPr>
        <w:ind w:left="0" w:firstLine="709"/>
        <w:jc w:val="both"/>
        <w:outlineLvl w:val="1"/>
        <w:rPr>
          <w:rFonts w:eastAsia="Calibri Light" w:cs="Calibri Light"/>
          <w:b/>
          <w:b/>
          <w:szCs w:val="26"/>
          <w:lang w:eastAsia="en-US"/>
        </w:rPr>
      </w:pPr>
      <w:bookmarkStart w:id="389" w:name="_Toc181367008"/>
      <w:bookmarkStart w:id="390" w:name="_Toc525894741"/>
      <w:bookmarkStart w:id="391" w:name="_Toc535417905"/>
      <w:bookmarkStart w:id="392" w:name="_Toc23034148"/>
      <w:bookmarkStart w:id="393" w:name="_Hlk501251101"/>
      <w:bookmarkStart w:id="394" w:name="_Toc5258947401"/>
      <w:bookmarkStart w:id="395" w:name="_Toc5354179041"/>
      <w:bookmarkStart w:id="396" w:name="_Toc230341471"/>
      <w:bookmarkEnd w:id="390"/>
      <w:bookmarkEnd w:id="391"/>
      <w:bookmarkEnd w:id="392"/>
      <w:bookmarkEnd w:id="393"/>
      <w:bookmarkEnd w:id="394"/>
      <w:bookmarkEnd w:id="395"/>
      <w:bookmarkEnd w:id="396"/>
      <w:r>
        <w:rPr>
          <w:rFonts w:eastAsia="Calibri Light" w:cs="Calibri Light"/>
          <w:b/>
          <w:szCs w:val="26"/>
          <w:lang w:eastAsia="en-US"/>
        </w:rPr>
        <w:t>10.3. Основания, в том числе критерии, в соответствии с которыми теплоснабжающей организации присвоен статус единой теплоснабжающей организации</w:t>
      </w:r>
      <w:bookmarkEnd w:id="389"/>
    </w:p>
    <w:p>
      <w:pPr>
        <w:pStyle w:val="Normal"/>
        <w:keepNext w:val="true"/>
        <w:keepLines/>
        <w:numPr>
          <w:ilvl w:val="0"/>
          <w:numId w:val="0"/>
        </w:numPr>
        <w:ind w:left="0" w:firstLine="709"/>
        <w:jc w:val="both"/>
        <w:outlineLvl w:val="1"/>
        <w:rPr>
          <w:rFonts w:eastAsia="Calibri Light" w:cs="Calibri Light"/>
          <w:b/>
          <w:b/>
          <w:szCs w:val="26"/>
          <w:lang w:eastAsia="en-US"/>
        </w:rPr>
      </w:pPr>
      <w:r>
        <w:rPr/>
        <w:t xml:space="preserve">В настоящее время </w:t>
      </w:r>
      <w:r>
        <w:rPr>
          <w:rFonts w:eastAsia="Calibri" w:cs="Calibri"/>
          <w:szCs w:val="22"/>
          <w:lang w:eastAsia="ru-RU"/>
        </w:rPr>
        <w:t>МП МО Октябрьский район «ОКС»</w:t>
      </w:r>
      <w:r>
        <w:rPr/>
        <w:t xml:space="preserve"> отвечает </w:t>
      </w:r>
      <w:r>
        <w:rPr>
          <w:bCs/>
        </w:rPr>
        <w:t>критериям определения</w:t>
      </w:r>
      <w:r>
        <w:rPr/>
        <w:t xml:space="preserve"> единой теплоснабжающей организации,</w:t>
      </w:r>
      <w:r>
        <w:rPr>
          <w:bCs/>
        </w:rPr>
        <w:t xml:space="preserve"> устанавливаемым постановлением Правительства Российской Федерации от 08.08.2012 № 808 «Об организации теплоснабжения в Российской Федерации и о внесении изменений в некоторые акты Правительства Российской Федерации».</w:t>
      </w:r>
      <w:bookmarkStart w:id="397" w:name="_Toc181367009"/>
      <w:bookmarkStart w:id="398" w:name="_Toc160516866"/>
      <w:bookmarkStart w:id="399" w:name="_Hlk160699939"/>
      <w:bookmarkStart w:id="400" w:name="_Hlk160532032"/>
      <w:bookmarkStart w:id="401" w:name="_Toc5258947411"/>
      <w:bookmarkStart w:id="402" w:name="_Toc230341481"/>
      <w:bookmarkStart w:id="403" w:name="_Toc5354179051"/>
      <w:bookmarkEnd w:id="399"/>
      <w:bookmarkEnd w:id="400"/>
      <w:bookmarkEnd w:id="401"/>
      <w:bookmarkEnd w:id="402"/>
      <w:bookmarkEnd w:id="403"/>
    </w:p>
    <w:p>
      <w:pPr>
        <w:pStyle w:val="Normal"/>
        <w:keepNext w:val="true"/>
        <w:keepLines/>
        <w:numPr>
          <w:ilvl w:val="0"/>
          <w:numId w:val="0"/>
        </w:numPr>
        <w:ind w:left="0" w:firstLine="709"/>
        <w:jc w:val="both"/>
        <w:outlineLvl w:val="1"/>
        <w:rPr>
          <w:rFonts w:eastAsia="Calibri" w:cs="Calibri"/>
          <w:sz w:val="26"/>
          <w:szCs w:val="26"/>
          <w:lang w:eastAsia="en-US"/>
        </w:rPr>
      </w:pPr>
      <w:r>
        <w:rPr>
          <w:rFonts w:eastAsia="Calibri" w:cs="Calibri"/>
          <w:sz w:val="26"/>
          <w:szCs w:val="26"/>
          <w:lang w:eastAsia="en-US"/>
        </w:rPr>
      </w:r>
    </w:p>
    <w:p>
      <w:pPr>
        <w:pStyle w:val="Normal"/>
        <w:keepNext w:val="true"/>
        <w:keepLines/>
        <w:numPr>
          <w:ilvl w:val="0"/>
          <w:numId w:val="0"/>
        </w:numPr>
        <w:ind w:left="0" w:firstLine="709"/>
        <w:jc w:val="both"/>
        <w:outlineLvl w:val="1"/>
        <w:rPr>
          <w:rFonts w:eastAsia="Calibri Light" w:cs="Calibri Light"/>
          <w:b/>
          <w:b/>
          <w:szCs w:val="26"/>
          <w:lang w:eastAsia="en-US"/>
        </w:rPr>
      </w:pPr>
      <w:r>
        <w:rPr>
          <w:rFonts w:eastAsia="Calibri Light" w:cs="Calibri Light"/>
          <w:b/>
          <w:szCs w:val="26"/>
          <w:lang w:eastAsia="en-US"/>
        </w:rPr>
        <w:t>10.4. Информация о поданных теплоснабжающими организациями заявках на присвоение статуса единой теплоснабжающей организации</w:t>
      </w:r>
      <w:bookmarkEnd w:id="397"/>
      <w:bookmarkEnd w:id="398"/>
    </w:p>
    <w:p>
      <w:pPr>
        <w:pStyle w:val="Normal"/>
        <w:keepNext w:val="true"/>
        <w:keepLines/>
        <w:numPr>
          <w:ilvl w:val="0"/>
          <w:numId w:val="0"/>
        </w:numPr>
        <w:ind w:left="0" w:firstLine="709"/>
        <w:jc w:val="both"/>
        <w:outlineLvl w:val="1"/>
        <w:rPr>
          <w:rFonts w:eastAsia="Calibri Light" w:cs="Calibri Light"/>
          <w:b/>
          <w:b/>
          <w:szCs w:val="26"/>
          <w:lang w:eastAsia="en-US"/>
        </w:rPr>
      </w:pPr>
      <w:r>
        <w:rPr>
          <w:bCs/>
        </w:rPr>
        <w:t>На момент актуализации Схемы теплоснабжения поселения заявки                                        от теплоснабжающих организаций на присвоение статуса единой теплоснабжающей организации не поступали.</w:t>
      </w:r>
      <w:bookmarkStart w:id="404" w:name="_Toc181367010"/>
      <w:bookmarkStart w:id="405" w:name="_Toc525894742"/>
      <w:bookmarkStart w:id="406" w:name="_Toc535417906"/>
      <w:bookmarkStart w:id="407" w:name="_Toc23034149"/>
      <w:bookmarkStart w:id="408" w:name="_Toc160530734"/>
    </w:p>
    <w:p>
      <w:pPr>
        <w:pStyle w:val="Normal"/>
        <w:keepNext w:val="true"/>
        <w:keepLines/>
        <w:numPr>
          <w:ilvl w:val="0"/>
          <w:numId w:val="0"/>
        </w:numPr>
        <w:ind w:left="0" w:firstLine="709"/>
        <w:jc w:val="both"/>
        <w:outlineLvl w:val="1"/>
        <w:rPr>
          <w:rFonts w:eastAsia="Calibri" w:cs="Calibri"/>
          <w:sz w:val="26"/>
          <w:szCs w:val="26"/>
          <w:lang w:eastAsia="en-US"/>
        </w:rPr>
      </w:pPr>
      <w:r>
        <w:rPr>
          <w:rFonts w:eastAsia="Calibri" w:cs="Calibri"/>
          <w:sz w:val="26"/>
          <w:szCs w:val="26"/>
          <w:lang w:eastAsia="en-US"/>
        </w:rPr>
      </w:r>
    </w:p>
    <w:p>
      <w:pPr>
        <w:pStyle w:val="Normal"/>
        <w:keepNext w:val="true"/>
        <w:keepLines/>
        <w:numPr>
          <w:ilvl w:val="0"/>
          <w:numId w:val="0"/>
        </w:numPr>
        <w:ind w:left="0" w:firstLine="709"/>
        <w:jc w:val="both"/>
        <w:outlineLvl w:val="1"/>
        <w:rPr>
          <w:rFonts w:eastAsia="Calibri Light" w:cs="Calibri Light"/>
          <w:b/>
          <w:b/>
          <w:szCs w:val="26"/>
          <w:lang w:eastAsia="en-US"/>
        </w:rPr>
      </w:pPr>
      <w:r>
        <w:rPr>
          <w:rFonts w:eastAsia="Calibri Light" w:cs="Calibri Light"/>
          <w:b/>
          <w:szCs w:val="26"/>
          <w:lang w:eastAsia="en-US"/>
        </w:rPr>
        <w:t>10.5. Реестр систем теплоснабжения, содержащий перечень теплоснабжающих организаций, действующих в каждой системе теплоснабжения, расположенных в границах поселения</w:t>
      </w:r>
      <w:bookmarkStart w:id="409" w:name="_Hlk160650726"/>
      <w:bookmarkEnd w:id="404"/>
      <w:bookmarkEnd w:id="405"/>
      <w:bookmarkEnd w:id="406"/>
      <w:bookmarkEnd w:id="407"/>
      <w:bookmarkEnd w:id="408"/>
      <w:bookmarkEnd w:id="409"/>
    </w:p>
    <w:p>
      <w:pPr>
        <w:pStyle w:val="Normal"/>
        <w:keepNext w:val="true"/>
        <w:keepLines/>
        <w:numPr>
          <w:ilvl w:val="0"/>
          <w:numId w:val="0"/>
        </w:numPr>
        <w:ind w:left="0" w:firstLine="709"/>
        <w:jc w:val="both"/>
        <w:outlineLvl w:val="1"/>
        <w:rPr>
          <w:rFonts w:eastAsia="Calibri"/>
          <w:sz w:val="26"/>
          <w:szCs w:val="26"/>
          <w:lang w:eastAsia="en-US"/>
        </w:rPr>
      </w:pPr>
      <w:r>
        <w:rPr>
          <w:lang w:eastAsia="ru-RU"/>
        </w:rPr>
        <w:t xml:space="preserve">На момент актуализации Схемы теплоснабжения на территории поселения постановлением администрации Октябрьского района от </w:t>
      </w:r>
      <w:r>
        <w:rPr>
          <w:rFonts w:eastAsia="Tahoma" w:cs="Times New Roman"/>
          <w:sz w:val="24"/>
          <w:lang w:bidi="ar-SA"/>
        </w:rPr>
        <w:t>04</w:t>
      </w:r>
      <w:r>
        <w:rPr>
          <w:rFonts w:eastAsia="Tahoma"/>
        </w:rPr>
        <w:t xml:space="preserve">.09.2025 № </w:t>
      </w:r>
      <w:r>
        <w:rPr>
          <w:rFonts w:eastAsia="Tahoma" w:cs="Times New Roman"/>
          <w:sz w:val="24"/>
          <w:lang w:bidi="ar-SA"/>
        </w:rPr>
        <w:t>1264</w:t>
      </w:r>
      <w:r>
        <w:rPr/>
        <w:t xml:space="preserve"> «</w:t>
      </w:r>
      <w:r>
        <w:rPr>
          <w:rFonts w:eastAsia="Tahoma"/>
        </w:rPr>
        <w:t xml:space="preserve">О присвоении статуса единой теплоснабжающей организации» </w:t>
      </w:r>
      <w:r>
        <w:rPr>
          <w:lang w:eastAsia="ru-RU"/>
        </w:rPr>
        <w:t>определена единая теплоснабжающая организация –</w:t>
      </w:r>
      <w:bookmarkStart w:id="410" w:name="_Hlk160699951"/>
      <w:bookmarkEnd w:id="410"/>
      <w:r>
        <w:rPr>
          <w:rFonts w:eastAsia="Calibri" w:cs="Calibri"/>
          <w:szCs w:val="22"/>
          <w:lang w:eastAsia="ru-RU"/>
        </w:rPr>
        <w:t xml:space="preserve"> МП МО Октябрьский район «ОКС»</w:t>
      </w:r>
      <w:r>
        <w:rPr/>
        <w:t>.</w:t>
      </w:r>
    </w:p>
    <w:p>
      <w:pPr>
        <w:pStyle w:val="Normal"/>
        <w:keepNext w:val="true"/>
        <w:keepLines/>
        <w:numPr>
          <w:ilvl w:val="0"/>
          <w:numId w:val="0"/>
        </w:numPr>
        <w:ind w:left="0" w:hanging="0"/>
        <w:jc w:val="center"/>
        <w:outlineLvl w:val="0"/>
        <w:rPr>
          <w:rFonts w:eastAsia="Calibri Light"/>
          <w:b/>
          <w:b/>
          <w:lang w:eastAsia="en-US"/>
        </w:rPr>
      </w:pPr>
      <w:r>
        <w:rPr>
          <w:rFonts w:eastAsia="Calibri Light"/>
          <w:b/>
          <w:lang w:eastAsia="en-US"/>
        </w:rPr>
      </w:r>
      <w:bookmarkStart w:id="411" w:name="_Toc23034151"/>
      <w:bookmarkStart w:id="412" w:name="_Toc23034151"/>
      <w:bookmarkEnd w:id="412"/>
    </w:p>
    <w:p>
      <w:pPr>
        <w:pStyle w:val="Normal"/>
        <w:keepNext w:val="true"/>
        <w:keepLines/>
        <w:numPr>
          <w:ilvl w:val="0"/>
          <w:numId w:val="0"/>
        </w:numPr>
        <w:ind w:left="0" w:hanging="0"/>
        <w:jc w:val="center"/>
        <w:outlineLvl w:val="0"/>
        <w:rPr>
          <w:rFonts w:eastAsia="Calibri Light"/>
          <w:b/>
          <w:b/>
          <w:lang w:eastAsia="en-US"/>
        </w:rPr>
      </w:pPr>
      <w:r>
        <w:rPr>
          <w:rFonts w:eastAsia="Calibri Light"/>
          <w:b/>
          <w:lang w:eastAsia="en-US"/>
        </w:rPr>
        <w:t xml:space="preserve">Раздел 11 «Решения о распределении тепловой нагрузки </w:t>
      </w:r>
    </w:p>
    <w:p>
      <w:pPr>
        <w:pStyle w:val="Normal"/>
        <w:keepNext w:val="true"/>
        <w:keepLines/>
        <w:numPr>
          <w:ilvl w:val="0"/>
          <w:numId w:val="0"/>
        </w:numPr>
        <w:ind w:left="0" w:hanging="0"/>
        <w:jc w:val="center"/>
        <w:outlineLvl w:val="0"/>
        <w:rPr>
          <w:rFonts w:eastAsia="Calibri Light"/>
          <w:b/>
          <w:b/>
          <w:lang w:eastAsia="en-US"/>
        </w:rPr>
      </w:pPr>
      <w:bookmarkStart w:id="413" w:name="_Toc23034150"/>
      <w:bookmarkStart w:id="414" w:name="_Toc160530735"/>
      <w:bookmarkStart w:id="415" w:name="_Toc181367011"/>
      <w:r>
        <w:rPr>
          <w:rFonts w:eastAsia="Calibri Light"/>
          <w:b/>
          <w:lang w:eastAsia="en-US"/>
        </w:rPr>
        <w:t>между источниками тепловой энергии»</w:t>
      </w:r>
      <w:bookmarkEnd w:id="413"/>
      <w:bookmarkEnd w:id="414"/>
      <w:bookmarkEnd w:id="415"/>
    </w:p>
    <w:p>
      <w:pPr>
        <w:pStyle w:val="Normal"/>
        <w:keepNext w:val="true"/>
        <w:keepLines/>
        <w:numPr>
          <w:ilvl w:val="0"/>
          <w:numId w:val="0"/>
        </w:numPr>
        <w:ind w:left="0" w:hanging="0"/>
        <w:jc w:val="center"/>
        <w:outlineLvl w:val="0"/>
        <w:rPr>
          <w:rFonts w:eastAsia="Calibri Light" w:cs="Calibri Light"/>
          <w:b/>
          <w:b/>
          <w:lang w:eastAsia="en-US"/>
        </w:rPr>
      </w:pPr>
      <w:r>
        <w:rPr>
          <w:rFonts w:eastAsia="Calibri Light" w:cs="Calibri Light"/>
          <w:b/>
          <w:lang w:eastAsia="en-US"/>
        </w:rPr>
      </w:r>
    </w:p>
    <w:p>
      <w:pPr>
        <w:pStyle w:val="Normal"/>
        <w:keepNext w:val="true"/>
        <w:keepLines/>
        <w:numPr>
          <w:ilvl w:val="0"/>
          <w:numId w:val="0"/>
        </w:numPr>
        <w:ind w:left="0" w:firstLine="709"/>
        <w:jc w:val="both"/>
        <w:outlineLvl w:val="1"/>
        <w:rPr>
          <w:rFonts w:eastAsia="Calibri Light" w:cs="Calibri Light"/>
          <w:b/>
          <w:b/>
          <w:szCs w:val="26"/>
          <w:lang w:eastAsia="en-US"/>
        </w:rPr>
      </w:pPr>
      <w:bookmarkStart w:id="416" w:name="_Toc83725944"/>
      <w:bookmarkStart w:id="417" w:name="_Toc160516869"/>
      <w:bookmarkStart w:id="418" w:name="_Toc181367012"/>
      <w:r>
        <w:rPr>
          <w:rFonts w:eastAsia="Calibri Light" w:cs="Calibri Light"/>
          <w:b/>
          <w:szCs w:val="26"/>
          <w:lang w:eastAsia="en-US"/>
        </w:rPr>
        <w:t>11.1. Сведения о величине тепловой нагрузки, распределяемой (перераспределяемой) между источниками тепловой энергии в соответствии с указанными в схеме теплоснабжения решениями об определении границ зон действия источников тепловой энергии</w:t>
      </w:r>
      <w:bookmarkStart w:id="419" w:name="_Toc160516870"/>
      <w:bookmarkStart w:id="420" w:name="_Toc181367013"/>
      <w:bookmarkStart w:id="421" w:name="_Hlk160650741"/>
      <w:bookmarkStart w:id="422" w:name="_Hlk160650745"/>
      <w:bookmarkStart w:id="423" w:name="_Hlk1606507451"/>
      <w:bookmarkEnd w:id="416"/>
      <w:bookmarkEnd w:id="417"/>
      <w:bookmarkEnd w:id="418"/>
      <w:bookmarkEnd w:id="421"/>
      <w:bookmarkEnd w:id="422"/>
      <w:bookmarkEnd w:id="423"/>
    </w:p>
    <w:p>
      <w:pPr>
        <w:pStyle w:val="Normal"/>
        <w:keepNext w:val="true"/>
        <w:keepLines/>
        <w:numPr>
          <w:ilvl w:val="0"/>
          <w:numId w:val="0"/>
        </w:numPr>
        <w:ind w:left="0" w:firstLine="709"/>
        <w:jc w:val="both"/>
        <w:outlineLvl w:val="1"/>
        <w:rPr>
          <w:rFonts w:eastAsia="Calibri Light" w:cs="Calibri Light"/>
          <w:b/>
          <w:b/>
          <w:szCs w:val="26"/>
          <w:lang w:eastAsia="en-US"/>
        </w:rPr>
      </w:pPr>
      <w:r>
        <w:rPr/>
        <w:t>Планами развития системы теплоснабжения поселения предусматривается:</w:t>
      </w:r>
    </w:p>
    <w:p>
      <w:pPr>
        <w:pStyle w:val="Normal"/>
        <w:keepNext w:val="true"/>
        <w:keepLines/>
        <w:numPr>
          <w:ilvl w:val="0"/>
          <w:numId w:val="0"/>
        </w:numPr>
        <w:ind w:left="0" w:firstLine="709"/>
        <w:jc w:val="both"/>
        <w:outlineLvl w:val="1"/>
        <w:rPr>
          <w:rFonts w:eastAsia="Calibri" w:cs="Calibri"/>
          <w:sz w:val="26"/>
          <w:szCs w:val="26"/>
          <w:lang w:eastAsia="en-US"/>
        </w:rPr>
      </w:pPr>
      <w:r>
        <w:rPr>
          <w:rFonts w:eastAsia="Calibri Light" w:cs="Calibri Light"/>
          <w:szCs w:val="26"/>
          <w:lang w:eastAsia="en-US"/>
        </w:rPr>
        <w:t>- к</w:t>
      </w:r>
      <w:r>
        <w:rPr/>
        <w:t>апитальный ремонт (техническое перевооружение) котельной № 12 по ул.Медицинская, 3К в пгт.Октябрьское в части замены двух котлов на новые с увеличением установленной мощности с автоматизацией технологического процесса с переключением нагрузки на котельную № 12 по ул.Медицинская, 3К котельной № 7 по ул.Медицинская, 3Б и выводом ее из эксплуатации;</w:t>
      </w:r>
    </w:p>
    <w:p>
      <w:pPr>
        <w:pStyle w:val="Normal"/>
        <w:keepNext w:val="true"/>
        <w:keepLines/>
        <w:numPr>
          <w:ilvl w:val="0"/>
          <w:numId w:val="0"/>
        </w:numPr>
        <w:ind w:left="0" w:firstLine="709"/>
        <w:jc w:val="both"/>
        <w:outlineLvl w:val="1"/>
        <w:rPr>
          <w:rFonts w:eastAsia="Calibri" w:cs="Calibri"/>
          <w:sz w:val="26"/>
          <w:szCs w:val="26"/>
          <w:lang w:eastAsia="en-US"/>
        </w:rPr>
      </w:pPr>
      <w:r>
        <w:rPr/>
        <w:t>- строительство котельной по ул.Дзержинского, 14 в пгт.Октябрьское. Вывод из эксплуатации котельной № 2 по ул.Пионерская, 17Б и котельной № 6 по ул.Дзержинского, 2Б с переключением нагрузки на новую котельную по ул.Дзержинского, 14;</w:t>
      </w:r>
    </w:p>
    <w:p>
      <w:pPr>
        <w:pStyle w:val="Normal"/>
        <w:keepNext w:val="true"/>
        <w:keepLines/>
        <w:numPr>
          <w:ilvl w:val="0"/>
          <w:numId w:val="0"/>
        </w:numPr>
        <w:ind w:left="0" w:firstLine="709"/>
        <w:jc w:val="both"/>
        <w:outlineLvl w:val="1"/>
        <w:rPr>
          <w:rFonts w:eastAsia="Calibri" w:cs="Calibri"/>
          <w:sz w:val="26"/>
          <w:szCs w:val="26"/>
          <w:lang w:eastAsia="en-US"/>
        </w:rPr>
      </w:pPr>
      <w:r>
        <w:rPr/>
        <w:t>-</w:t>
      </w:r>
      <w:r>
        <w:rPr>
          <w:rFonts w:eastAsia="Calibri Light" w:cs="Calibri Light"/>
          <w:szCs w:val="26"/>
          <w:lang w:eastAsia="en-US"/>
        </w:rPr>
        <w:t xml:space="preserve"> д</w:t>
      </w:r>
      <w:r>
        <w:rPr/>
        <w:t>ецентрализация системы теплоснабжения пгт.Октябрьское путем перехода на автономные источники теплоснабжения, отказ от эксплуатации тепловых сетей, вывод котельной № 8 пгт.Октябрьское, ул.50 лет Победы, 38а из эксплуатации;</w:t>
      </w:r>
    </w:p>
    <w:p>
      <w:pPr>
        <w:pStyle w:val="Normal"/>
        <w:keepNext w:val="true"/>
        <w:keepLines/>
        <w:numPr>
          <w:ilvl w:val="0"/>
          <w:numId w:val="0"/>
        </w:numPr>
        <w:ind w:left="0" w:firstLine="709"/>
        <w:jc w:val="both"/>
        <w:outlineLvl w:val="1"/>
        <w:rPr>
          <w:rFonts w:eastAsia="Calibri Light" w:cs="Calibri Light"/>
          <w:b/>
          <w:b/>
          <w:szCs w:val="26"/>
          <w:lang w:eastAsia="en-US"/>
        </w:rPr>
      </w:pPr>
      <w:r>
        <w:rPr/>
        <w:t>-</w:t>
      </w:r>
      <w:r>
        <w:rPr>
          <w:rFonts w:eastAsia="Calibri Light" w:cs="Calibri Light"/>
          <w:szCs w:val="26"/>
          <w:lang w:eastAsia="en-US"/>
        </w:rPr>
        <w:t xml:space="preserve"> к</w:t>
      </w:r>
      <w:r>
        <w:rPr/>
        <w:t>апитальный ремонт (техническое перевооружение) котельной № 1 по ул.Сенькина, 46б в пгт.Октябрьское. Вывод из эксплуатации котельной № 3 по ул.Чапаева, 6Б с переключением нагрузки на котельную № 1 по ул.Сенькина, 46б.</w:t>
      </w:r>
    </w:p>
    <w:p>
      <w:pPr>
        <w:pStyle w:val="Normal"/>
        <w:keepNext w:val="true"/>
        <w:keepLines/>
        <w:numPr>
          <w:ilvl w:val="0"/>
          <w:numId w:val="0"/>
        </w:numPr>
        <w:ind w:left="0" w:firstLine="709"/>
        <w:jc w:val="both"/>
        <w:outlineLvl w:val="1"/>
        <w:rPr>
          <w:rFonts w:eastAsia="Calibri Light" w:cs="Calibri Light"/>
          <w:b/>
          <w:b/>
          <w:szCs w:val="26"/>
          <w:lang w:eastAsia="en-US"/>
        </w:rPr>
      </w:pPr>
      <w:r>
        <w:rPr/>
        <w:t>Существующие и перспективные балансы источника теплоснабжения приведены в Разделе 2 настоящей Схемы.</w:t>
      </w:r>
    </w:p>
    <w:p>
      <w:pPr>
        <w:pStyle w:val="Normal"/>
        <w:keepNext w:val="true"/>
        <w:keepLines/>
        <w:numPr>
          <w:ilvl w:val="0"/>
          <w:numId w:val="0"/>
        </w:numPr>
        <w:ind w:left="0" w:firstLine="709"/>
        <w:jc w:val="both"/>
        <w:outlineLvl w:val="1"/>
        <w:rPr>
          <w:rFonts w:eastAsia="Calibri Light" w:cs="Calibri Light"/>
          <w:b/>
          <w:b/>
          <w:szCs w:val="26"/>
          <w:lang w:eastAsia="en-US"/>
        </w:rPr>
      </w:pPr>
      <w:r>
        <w:rPr>
          <w:rFonts w:eastAsia="Calibri Light" w:cs="Calibri Light"/>
          <w:b/>
          <w:szCs w:val="26"/>
          <w:lang w:eastAsia="en-US"/>
        </w:rPr>
      </w:r>
    </w:p>
    <w:p>
      <w:pPr>
        <w:pStyle w:val="Normal"/>
        <w:keepNext w:val="true"/>
        <w:keepLines/>
        <w:numPr>
          <w:ilvl w:val="0"/>
          <w:numId w:val="0"/>
        </w:numPr>
        <w:ind w:left="0" w:firstLine="709"/>
        <w:jc w:val="both"/>
        <w:outlineLvl w:val="1"/>
        <w:rPr>
          <w:rFonts w:eastAsia="Calibri Light" w:cs="Calibri Light"/>
          <w:b/>
          <w:b/>
          <w:szCs w:val="26"/>
          <w:lang w:eastAsia="en-US"/>
        </w:rPr>
      </w:pPr>
      <w:r>
        <w:rPr>
          <w:rFonts w:eastAsia="Calibri Light" w:cs="Calibri Light"/>
          <w:b/>
          <w:szCs w:val="26"/>
          <w:lang w:eastAsia="en-US"/>
        </w:rPr>
        <w:t>11.2. Сроки выполнения перераспределения для каждого этапа</w:t>
      </w:r>
      <w:bookmarkEnd w:id="419"/>
      <w:bookmarkEnd w:id="420"/>
    </w:p>
    <w:p>
      <w:pPr>
        <w:pStyle w:val="Normal"/>
        <w:keepNext w:val="true"/>
        <w:keepLines/>
        <w:numPr>
          <w:ilvl w:val="0"/>
          <w:numId w:val="0"/>
        </w:numPr>
        <w:ind w:left="0" w:firstLine="709"/>
        <w:jc w:val="both"/>
        <w:outlineLvl w:val="1"/>
        <w:rPr>
          <w:rFonts w:eastAsia="Calibri Light" w:cs="Calibri Light"/>
          <w:b/>
          <w:b/>
          <w:szCs w:val="26"/>
          <w:lang w:eastAsia="en-US"/>
        </w:rPr>
      </w:pPr>
      <w:r>
        <w:rPr/>
        <w:t>Сроки выполнения перераспределения для каждого этапа приведены в Разделе 2 настоящей Схемы.</w:t>
      </w:r>
    </w:p>
    <w:p>
      <w:pPr>
        <w:pStyle w:val="Normal"/>
        <w:rPr>
          <w:rFonts w:eastAsia="Calibri" w:cs="Calibri"/>
          <w:szCs w:val="22"/>
          <w:lang w:eastAsia="ru-RU"/>
        </w:rPr>
      </w:pPr>
      <w:r>
        <w:rPr>
          <w:rFonts w:eastAsia="Calibri" w:cs="Calibri"/>
          <w:szCs w:val="22"/>
          <w:lang w:eastAsia="ru-RU"/>
        </w:rPr>
      </w:r>
      <w:bookmarkStart w:id="424" w:name="_Toc160530738"/>
      <w:bookmarkStart w:id="425" w:name="_Toc181367014"/>
      <w:bookmarkStart w:id="426" w:name="_Toc160530738"/>
      <w:bookmarkStart w:id="427" w:name="_Toc181367014"/>
      <w:bookmarkEnd w:id="426"/>
      <w:bookmarkEnd w:id="427"/>
    </w:p>
    <w:p>
      <w:pPr>
        <w:pStyle w:val="Normal"/>
        <w:jc w:val="center"/>
        <w:rPr>
          <w:rFonts w:eastAsia="Calibri"/>
          <w:b/>
          <w:b/>
          <w:bCs/>
          <w:lang w:eastAsia="en-US"/>
        </w:rPr>
      </w:pPr>
      <w:r>
        <w:rPr>
          <w:rFonts w:eastAsia="Calibri"/>
          <w:b/>
          <w:bCs/>
          <w:lang w:eastAsia="en-US"/>
        </w:rPr>
        <w:t>Раздел 12 «Решения по бесхозяйным тепловым сетям»</w:t>
      </w:r>
    </w:p>
    <w:p>
      <w:pPr>
        <w:pStyle w:val="Normal"/>
        <w:ind w:firstLine="709"/>
        <w:jc w:val="center"/>
        <w:rPr>
          <w:rFonts w:eastAsia="Calibri" w:cs="Calibri"/>
          <w:b/>
          <w:b/>
          <w:bCs/>
          <w:szCs w:val="22"/>
          <w:lang w:eastAsia="en-US"/>
        </w:rPr>
      </w:pPr>
      <w:r>
        <w:rPr>
          <w:rFonts w:eastAsia="Calibri" w:cs="Calibri"/>
          <w:b/>
          <w:bCs/>
          <w:szCs w:val="22"/>
          <w:lang w:eastAsia="en-US"/>
        </w:rPr>
      </w:r>
    </w:p>
    <w:p>
      <w:pPr>
        <w:pStyle w:val="2111"/>
        <w:spacing w:before="0" w:after="0"/>
        <w:ind w:firstLine="709"/>
        <w:jc w:val="both"/>
        <w:rPr>
          <w:rFonts w:ascii="Times New Roman" w:hAnsi="Times New Roman" w:cs="Times New Roman"/>
          <w:b/>
          <w:b/>
          <w:color w:val="auto"/>
          <w:sz w:val="24"/>
          <w:szCs w:val="24"/>
        </w:rPr>
      </w:pPr>
      <w:bookmarkStart w:id="428" w:name="_Toc181260672"/>
      <w:r>
        <w:rPr>
          <w:rFonts w:cs="Times New Roman"/>
          <w:b/>
          <w:color w:val="auto"/>
          <w:sz w:val="24"/>
          <w:szCs w:val="24"/>
        </w:rPr>
        <w:t>12.1. Перечень выявленных бесхозяйных тепловых сетей</w:t>
      </w:r>
      <w:bookmarkEnd w:id="428"/>
    </w:p>
    <w:p>
      <w:pPr>
        <w:pStyle w:val="2111"/>
        <w:spacing w:before="0" w:after="0"/>
        <w:ind w:firstLine="709"/>
        <w:jc w:val="both"/>
        <w:rPr>
          <w:rFonts w:ascii="Times New Roman" w:hAnsi="Times New Roman" w:cs="Times New Roman"/>
          <w:b/>
          <w:b/>
          <w:color w:val="auto"/>
          <w:sz w:val="24"/>
          <w:szCs w:val="24"/>
        </w:rPr>
      </w:pPr>
      <w:r>
        <w:rPr>
          <w:rFonts w:cs="Times New Roman"/>
          <w:color w:val="auto"/>
          <w:sz w:val="24"/>
          <w:szCs w:val="24"/>
          <w:lang w:eastAsia="ru-RU"/>
        </w:rPr>
        <w:t xml:space="preserve">На территории поселения не выявлено бесхозяйных тепловых сетей. </w:t>
      </w:r>
      <w:bookmarkStart w:id="429" w:name="_Toc181260673"/>
      <w:bookmarkStart w:id="430" w:name="_Hlk160699991"/>
      <w:bookmarkEnd w:id="430"/>
    </w:p>
    <w:p>
      <w:pPr>
        <w:pStyle w:val="2111"/>
        <w:spacing w:before="0" w:after="0"/>
        <w:ind w:firstLine="709"/>
        <w:jc w:val="both"/>
        <w:rPr>
          <w:rFonts w:ascii="Times New Roman" w:hAnsi="Times New Roman" w:cs="Times New Roman"/>
          <w:b/>
          <w:b/>
          <w:color w:val="auto"/>
          <w:sz w:val="24"/>
          <w:szCs w:val="24"/>
        </w:rPr>
      </w:pPr>
      <w:r>
        <w:rPr>
          <w:rFonts w:cs="Times New Roman"/>
          <w:b/>
          <w:color w:val="auto"/>
          <w:sz w:val="24"/>
          <w:szCs w:val="24"/>
        </w:rPr>
      </w:r>
    </w:p>
    <w:p>
      <w:pPr>
        <w:pStyle w:val="2111"/>
        <w:spacing w:before="0" w:after="0"/>
        <w:ind w:firstLine="709"/>
        <w:jc w:val="both"/>
        <w:rPr>
          <w:rFonts w:ascii="Times New Roman" w:hAnsi="Times New Roman" w:cs="Times New Roman"/>
          <w:b/>
          <w:b/>
          <w:color w:val="auto"/>
          <w:sz w:val="24"/>
          <w:szCs w:val="24"/>
        </w:rPr>
      </w:pPr>
      <w:r>
        <w:rPr>
          <w:rFonts w:cs="Times New Roman"/>
          <w:b/>
          <w:color w:val="auto"/>
          <w:sz w:val="24"/>
          <w:szCs w:val="24"/>
        </w:rPr>
        <w:t>12.2. Перечень организаций, уполномоченных на их эксплуатацию в порядке, установленном </w:t>
      </w:r>
      <w:r>
        <w:fldChar w:fldCharType="begin"/>
      </w:r>
      <w:r>
        <w:rPr>
          <w:sz w:val="24"/>
          <w:b/>
          <w:szCs w:val="24"/>
          <w:rFonts w:cs="Times New Roman"/>
          <w:color w:val="auto"/>
        </w:rPr>
        <w:instrText> HYPERLINK "https://docs.cntd.ru/document/902227764" \l "64U0IK"</w:instrText>
      </w:r>
      <w:r>
        <w:rPr>
          <w:sz w:val="24"/>
          <w:b/>
          <w:szCs w:val="24"/>
          <w:rFonts w:cs="Times New Roman"/>
          <w:color w:val="auto"/>
        </w:rPr>
        <w:fldChar w:fldCharType="separate"/>
      </w:r>
      <w:r>
        <w:rPr>
          <w:rFonts w:cs="Times New Roman"/>
          <w:b/>
          <w:color w:val="auto"/>
          <w:sz w:val="24"/>
          <w:szCs w:val="24"/>
        </w:rPr>
        <w:t>Федеральным законом «О теплоснабжении»</w:t>
      </w:r>
      <w:r>
        <w:rPr>
          <w:sz w:val="24"/>
          <w:b/>
          <w:szCs w:val="24"/>
          <w:rFonts w:cs="Times New Roman"/>
          <w:color w:val="auto"/>
        </w:rPr>
        <w:fldChar w:fldCharType="end"/>
      </w:r>
      <w:bookmarkEnd w:id="429"/>
    </w:p>
    <w:p>
      <w:pPr>
        <w:pStyle w:val="2111"/>
        <w:spacing w:before="0" w:after="0"/>
        <w:ind w:firstLine="709"/>
        <w:jc w:val="both"/>
        <w:rPr>
          <w:rFonts w:ascii="Times New Roman" w:hAnsi="Times New Roman" w:cs="Times New Roman"/>
          <w:b/>
          <w:b/>
          <w:color w:val="auto"/>
          <w:sz w:val="24"/>
          <w:szCs w:val="24"/>
        </w:rPr>
      </w:pPr>
      <w:r>
        <w:rPr>
          <w:rFonts w:cs="Times New Roman"/>
          <w:color w:val="auto"/>
          <w:sz w:val="24"/>
          <w:szCs w:val="24"/>
          <w:lang w:eastAsia="ru-RU"/>
        </w:rPr>
        <w:t xml:space="preserve">На территории поселения не выявлено бесхозяйных тепловых сетей. </w:t>
      </w:r>
      <w:bookmarkStart w:id="431" w:name="_Hlk160700001"/>
      <w:bookmarkStart w:id="432" w:name="_Hlk160707299"/>
      <w:bookmarkEnd w:id="431"/>
      <w:bookmarkEnd w:id="432"/>
    </w:p>
    <w:p>
      <w:pPr>
        <w:pStyle w:val="Normal"/>
        <w:rPr>
          <w:rFonts w:eastAsia="Calibri Light" w:cs="Calibri Light"/>
          <w:b/>
          <w:b/>
          <w:szCs w:val="26"/>
          <w:lang w:eastAsia="en-US"/>
        </w:rPr>
      </w:pPr>
      <w:r>
        <w:rPr>
          <w:rFonts w:eastAsia="Calibri Light" w:cs="Calibri Light"/>
          <w:b/>
          <w:szCs w:val="26"/>
          <w:lang w:eastAsia="en-US"/>
        </w:rPr>
      </w:r>
      <w:bookmarkStart w:id="433" w:name="_Hlk160650828"/>
      <w:bookmarkStart w:id="434" w:name="_Toc535417912"/>
      <w:bookmarkStart w:id="435" w:name="_Toc525894748"/>
      <w:bookmarkStart w:id="436" w:name="_Toc23034155"/>
      <w:bookmarkStart w:id="437" w:name="_Toc1605307381"/>
      <w:bookmarkStart w:id="438" w:name="_Toc1813670141"/>
      <w:bookmarkStart w:id="439" w:name="_Hlk160650828"/>
      <w:bookmarkStart w:id="440" w:name="_Toc535417912"/>
      <w:bookmarkStart w:id="441" w:name="_Toc525894748"/>
      <w:bookmarkStart w:id="442" w:name="_Toc23034155"/>
      <w:bookmarkStart w:id="443" w:name="_Toc1605307381"/>
      <w:bookmarkStart w:id="444" w:name="_Toc1813670141"/>
      <w:bookmarkEnd w:id="439"/>
      <w:bookmarkEnd w:id="440"/>
      <w:bookmarkEnd w:id="441"/>
      <w:bookmarkEnd w:id="442"/>
      <w:bookmarkEnd w:id="443"/>
      <w:bookmarkEnd w:id="444"/>
    </w:p>
    <w:p>
      <w:pPr>
        <w:pStyle w:val="Normal"/>
        <w:jc w:val="center"/>
        <w:rPr>
          <w:rFonts w:eastAsia="Calibri"/>
          <w:b/>
          <w:b/>
          <w:bCs/>
          <w:lang w:eastAsia="en-US"/>
        </w:rPr>
      </w:pPr>
      <w:r>
        <w:rPr>
          <w:rFonts w:eastAsia="Calibri"/>
          <w:b/>
          <w:bCs/>
          <w:lang w:eastAsia="en-US"/>
        </w:rPr>
        <w:t xml:space="preserve">Раздел 13 «Синхронизация схемы теплоснабжения со схемой газоснабжения </w:t>
      </w:r>
    </w:p>
    <w:p>
      <w:pPr>
        <w:pStyle w:val="Normal"/>
        <w:jc w:val="center"/>
        <w:rPr>
          <w:rFonts w:eastAsia="Calibri"/>
          <w:b/>
          <w:b/>
          <w:bCs/>
          <w:lang w:eastAsia="en-US"/>
        </w:rPr>
      </w:pPr>
      <w:r>
        <w:rPr>
          <w:rFonts w:eastAsia="Calibri"/>
          <w:b/>
          <w:bCs/>
          <w:lang w:eastAsia="en-US"/>
        </w:rPr>
        <w:t xml:space="preserve">и газификации субъекта Российской Федерации и (или) поселения, </w:t>
      </w:r>
    </w:p>
    <w:p>
      <w:pPr>
        <w:pStyle w:val="Normal"/>
        <w:jc w:val="center"/>
        <w:rPr>
          <w:rFonts w:eastAsia="Calibri"/>
          <w:b/>
          <w:b/>
          <w:bCs/>
          <w:lang w:eastAsia="en-US"/>
        </w:rPr>
      </w:pPr>
      <w:r>
        <w:rPr>
          <w:rFonts w:eastAsia="Calibri"/>
          <w:b/>
          <w:bCs/>
          <w:lang w:eastAsia="en-US"/>
        </w:rPr>
        <w:t xml:space="preserve">схемой и программой развития электроэнергетических систем России, </w:t>
      </w:r>
    </w:p>
    <w:p>
      <w:pPr>
        <w:pStyle w:val="Normal"/>
        <w:jc w:val="center"/>
        <w:rPr>
          <w:rFonts w:eastAsia="Calibri" w:cs="Calibri"/>
          <w:b/>
          <w:b/>
          <w:bCs/>
          <w:lang w:eastAsia="en-US"/>
        </w:rPr>
      </w:pPr>
      <w:bookmarkStart w:id="445" w:name="_Toc23034152"/>
      <w:bookmarkStart w:id="446" w:name="_Toc160530741"/>
      <w:bookmarkStart w:id="447" w:name="_Toc181367017"/>
      <w:r>
        <w:rPr>
          <w:rFonts w:eastAsia="Calibri"/>
          <w:b/>
          <w:bCs/>
          <w:lang w:eastAsia="en-US"/>
        </w:rPr>
        <w:t>а также со схемой водоснабжения и водоотведения поселения»</w:t>
      </w:r>
      <w:bookmarkEnd w:id="445"/>
      <w:bookmarkEnd w:id="446"/>
      <w:bookmarkEnd w:id="447"/>
    </w:p>
    <w:p>
      <w:pPr>
        <w:pStyle w:val="Normal"/>
        <w:ind w:firstLine="709"/>
        <w:jc w:val="center"/>
        <w:rPr>
          <w:rFonts w:eastAsia="Calibri"/>
          <w:sz w:val="26"/>
          <w:szCs w:val="26"/>
          <w:lang w:eastAsia="en-US"/>
        </w:rPr>
      </w:pPr>
      <w:r>
        <w:rPr>
          <w:rFonts w:eastAsia="Calibri"/>
          <w:sz w:val="26"/>
          <w:szCs w:val="26"/>
          <w:lang w:eastAsia="en-US"/>
        </w:rPr>
      </w:r>
    </w:p>
    <w:p>
      <w:pPr>
        <w:pStyle w:val="Normal"/>
        <w:keepNext w:val="true"/>
        <w:keepLines/>
        <w:numPr>
          <w:ilvl w:val="0"/>
          <w:numId w:val="0"/>
        </w:numPr>
        <w:ind w:left="0" w:firstLine="709"/>
        <w:jc w:val="both"/>
        <w:outlineLvl w:val="1"/>
        <w:rPr>
          <w:rFonts w:eastAsia="Calibri Light" w:cs="Calibri Light"/>
          <w:b/>
          <w:b/>
          <w:szCs w:val="26"/>
          <w:lang w:eastAsia="en-US"/>
        </w:rPr>
      </w:pPr>
      <w:bookmarkStart w:id="448" w:name="_Toc525894746"/>
      <w:bookmarkStart w:id="449" w:name="_Toc535417910"/>
      <w:bookmarkStart w:id="450" w:name="_Toc23034153"/>
      <w:bookmarkStart w:id="451" w:name="_Toc160516875"/>
      <w:bookmarkStart w:id="452" w:name="_Toc181367018"/>
      <w:r>
        <w:rPr>
          <w:rFonts w:eastAsia="Calibri Light" w:cs="Calibri Light"/>
          <w:b/>
          <w:szCs w:val="26"/>
          <w:lang w:eastAsia="en-US"/>
        </w:rPr>
        <w:t>13.1. Описание решений (на основе утвержденной региональной (межрегиональной) программы газификации жилищно-коммунального хозяйства, промышленных и иных организаций) о развитии соответствующей системы газоснабжения в части обеспечения топливом источников тепловой энергии</w:t>
      </w:r>
      <w:bookmarkEnd w:id="448"/>
      <w:bookmarkEnd w:id="449"/>
      <w:bookmarkEnd w:id="450"/>
      <w:bookmarkEnd w:id="451"/>
      <w:bookmarkEnd w:id="452"/>
    </w:p>
    <w:p>
      <w:pPr>
        <w:pStyle w:val="Normal"/>
        <w:ind w:firstLine="709"/>
        <w:jc w:val="both"/>
        <w:rPr>
          <w:rFonts w:eastAsia="Calibri" w:cs="Calibri"/>
          <w:szCs w:val="22"/>
          <w:lang w:eastAsia="en-US"/>
        </w:rPr>
      </w:pPr>
      <w:r>
        <w:rPr>
          <w:rFonts w:eastAsia="Calibri" w:cs="Calibri"/>
          <w:szCs w:val="22"/>
          <w:lang w:eastAsia="en-US"/>
        </w:rPr>
        <w:t>Согласно Концепции участия ПАО «Газпром», в газификации регионов Российской Федерации с целью обеспечения эффективности инвестиций разрабатываются Планы-графики синхронизации выполнения Программ газификации регионов Российской Федерации. В рамках их реализации строительство внутрипоселковых газопроводов и подготовка к приему газа потребителей (население, объекты коммунально-бытовой и социальной сферы и др.) газифицируемых по программе газификации, осуществляется за счет бюджетов различного уровня, иных источников, а также средств потребителей. Финансирование работ по строительству и реконструкции объектов газоснабжения осуществляется за счет средств ООО «Газпром межрегионгаз» и ПАО «Газпром». Финансирование программ газификации региона также осуществляется газораспределительными организациями за счет специальных надбавок к тарифам на услуги по транспортировке газа по газораспределительным сетям.</w:t>
      </w:r>
    </w:p>
    <w:p>
      <w:pPr>
        <w:pStyle w:val="Normal"/>
        <w:ind w:firstLine="709"/>
        <w:jc w:val="both"/>
        <w:rPr>
          <w:rFonts w:eastAsia="Calibri" w:cs="Calibri"/>
          <w:szCs w:val="22"/>
          <w:lang w:eastAsia="en-US"/>
        </w:rPr>
      </w:pPr>
      <w:r>
        <w:rPr/>
        <w:t>В соответствии с Региональной программой газификации жилищно-коммунального хозяйства, промышленных и иных организаций Ханты-Мансийского автономного округа – Югры до 2030 года, утвержденной распоряжением Правительства Ханты-Мансийского автономного округа – Югры от 24.12.2021 № 726-рп строительство новых котельных в поселении не предусмотрено.</w:t>
      </w:r>
      <w:bookmarkStart w:id="453" w:name="_Toc181367019"/>
      <w:bookmarkStart w:id="454" w:name="_Toc525894747"/>
      <w:bookmarkStart w:id="455" w:name="_Toc535417911"/>
      <w:bookmarkStart w:id="456" w:name="_Toc23034154"/>
      <w:bookmarkStart w:id="457" w:name="_Toc160530743"/>
      <w:bookmarkStart w:id="458" w:name="_Hlk1605321571"/>
      <w:bookmarkStart w:id="459" w:name="_Hlk1606508281"/>
      <w:bookmarkEnd w:id="458"/>
      <w:bookmarkEnd w:id="459"/>
    </w:p>
    <w:p>
      <w:pPr>
        <w:pStyle w:val="Normal"/>
        <w:ind w:firstLine="709"/>
        <w:jc w:val="both"/>
        <w:rPr>
          <w:rFonts w:eastAsia="Calibri" w:cs="Calibri"/>
          <w:szCs w:val="22"/>
          <w:lang w:eastAsia="en-US"/>
        </w:rPr>
      </w:pPr>
      <w:r>
        <w:rPr>
          <w:rFonts w:eastAsia="Calibri" w:cs="Calibri"/>
          <w:szCs w:val="22"/>
          <w:lang w:eastAsia="en-US"/>
        </w:rPr>
      </w:r>
    </w:p>
    <w:p>
      <w:pPr>
        <w:pStyle w:val="Normal"/>
        <w:ind w:firstLine="709"/>
        <w:jc w:val="both"/>
        <w:rPr>
          <w:rFonts w:eastAsia="Calibri" w:cs="Calibri"/>
          <w:szCs w:val="22"/>
          <w:lang w:eastAsia="en-US"/>
        </w:rPr>
      </w:pPr>
      <w:r>
        <w:rPr>
          <w:rFonts w:eastAsia="Calibri Light" w:cs="Calibri Light"/>
          <w:b/>
          <w:szCs w:val="26"/>
          <w:lang w:eastAsia="en-US"/>
        </w:rPr>
        <w:t>13.2. Описание проблем организации газоснабжения источников тепловой энергии</w:t>
      </w:r>
      <w:bookmarkStart w:id="460" w:name="_Hlk160712290"/>
      <w:bookmarkStart w:id="461" w:name="_Hlk160650854"/>
      <w:bookmarkEnd w:id="453"/>
      <w:bookmarkEnd w:id="454"/>
      <w:bookmarkEnd w:id="455"/>
      <w:bookmarkEnd w:id="456"/>
      <w:bookmarkEnd w:id="457"/>
      <w:bookmarkEnd w:id="460"/>
      <w:bookmarkEnd w:id="461"/>
    </w:p>
    <w:p>
      <w:pPr>
        <w:pStyle w:val="Normal"/>
        <w:ind w:firstLine="709"/>
        <w:jc w:val="both"/>
        <w:rPr>
          <w:rFonts w:eastAsia="Calibri" w:cs="Calibri"/>
          <w:szCs w:val="22"/>
          <w:lang w:eastAsia="en-US"/>
        </w:rPr>
      </w:pPr>
      <w:r>
        <w:rPr>
          <w:szCs w:val="28"/>
          <w:lang w:eastAsia="ru-RU"/>
        </w:rPr>
        <w:t>Проблемы в организации газоснабжения существующего источника тепловой энергии, работающих на природном газе, не выявлены.</w:t>
      </w:r>
      <w:bookmarkStart w:id="462" w:name="_Toc160516877"/>
      <w:bookmarkStart w:id="463" w:name="_Toc181367020"/>
      <w:bookmarkStart w:id="464" w:name="_Toc5258947481"/>
      <w:bookmarkStart w:id="465" w:name="_Toc5354179121"/>
      <w:bookmarkStart w:id="466" w:name="_Hlk160712298"/>
      <w:bookmarkStart w:id="467" w:name="_Toc230341551"/>
      <w:bookmarkStart w:id="468" w:name="_Hlk160650866"/>
      <w:bookmarkEnd w:id="464"/>
      <w:bookmarkEnd w:id="465"/>
      <w:bookmarkEnd w:id="466"/>
      <w:bookmarkEnd w:id="467"/>
      <w:bookmarkEnd w:id="468"/>
    </w:p>
    <w:p>
      <w:pPr>
        <w:pStyle w:val="Normal"/>
        <w:ind w:firstLine="709"/>
        <w:jc w:val="both"/>
        <w:rPr>
          <w:rFonts w:eastAsia="Calibri" w:cs="Calibri"/>
          <w:szCs w:val="22"/>
          <w:lang w:eastAsia="en-US"/>
        </w:rPr>
      </w:pPr>
      <w:r>
        <w:rPr>
          <w:rFonts w:eastAsia="Calibri" w:cs="Calibri"/>
          <w:szCs w:val="22"/>
          <w:lang w:eastAsia="en-US"/>
        </w:rPr>
      </w:r>
    </w:p>
    <w:p>
      <w:pPr>
        <w:pStyle w:val="Normal"/>
        <w:ind w:firstLine="709"/>
        <w:jc w:val="both"/>
        <w:rPr>
          <w:rFonts w:eastAsia="Calibri" w:cs="Calibri"/>
          <w:szCs w:val="22"/>
          <w:lang w:eastAsia="en-US"/>
        </w:rPr>
      </w:pPr>
      <w:r>
        <w:rPr>
          <w:rFonts w:eastAsia="Calibri Light" w:cs="Calibri Light"/>
          <w:b/>
          <w:szCs w:val="26"/>
          <w:lang w:eastAsia="en-US"/>
        </w:rPr>
        <w:t>13.3. Предложения по корректировке утвержденной (разработке) региональной (межрегиональной) программы газификации жилищно-коммунального хозяйства, промышленных и иных организаций для обеспечения согласованности такой программы с указанными в схеме теплоснабжения решениями о развитии источников тепловой энергии и систем теплоснабжения</w:t>
      </w:r>
      <w:bookmarkEnd w:id="462"/>
      <w:bookmarkEnd w:id="463"/>
    </w:p>
    <w:p>
      <w:pPr>
        <w:pStyle w:val="Normal"/>
        <w:ind w:firstLine="709"/>
        <w:jc w:val="both"/>
        <w:rPr>
          <w:rFonts w:eastAsia="Calibri" w:cs="Calibri"/>
          <w:szCs w:val="22"/>
          <w:lang w:eastAsia="en-US"/>
        </w:rPr>
      </w:pPr>
      <w:r>
        <w:rPr>
          <w:rFonts w:eastAsia="Calibri" w:cs="Calibri"/>
          <w:szCs w:val="22"/>
          <w:lang w:eastAsia="en-US"/>
        </w:rPr>
        <w:t>Предложения по корректировке, утвержденной (разработке) региональной (межрегиональной) программы газификации жилищно-коммунального хозяйства, промышленных и иных организаций для обеспечения согласованности такой программы с указанными в схеме теплоснабжения решениями о развитии источников тепловой энергии и систем теплоснабжения, отсутствуют.</w:t>
      </w:r>
      <w:bookmarkStart w:id="469" w:name="_Toc181367021"/>
      <w:bookmarkStart w:id="470" w:name="_Toc525894749"/>
      <w:bookmarkStart w:id="471" w:name="_Toc535417913"/>
      <w:bookmarkStart w:id="472" w:name="_Toc23034156"/>
      <w:bookmarkStart w:id="473" w:name="_Toc160516878"/>
    </w:p>
    <w:p>
      <w:pPr>
        <w:pStyle w:val="Normal"/>
        <w:ind w:firstLine="709"/>
        <w:jc w:val="both"/>
        <w:rPr>
          <w:rFonts w:eastAsia="Calibri"/>
          <w:sz w:val="26"/>
          <w:szCs w:val="26"/>
          <w:lang w:eastAsia="en-US"/>
        </w:rPr>
      </w:pPr>
      <w:r>
        <w:rPr>
          <w:rFonts w:eastAsia="Calibri"/>
          <w:sz w:val="26"/>
          <w:szCs w:val="26"/>
          <w:lang w:eastAsia="en-US"/>
        </w:rPr>
      </w:r>
    </w:p>
    <w:p>
      <w:pPr>
        <w:pStyle w:val="Normal"/>
        <w:ind w:firstLine="709"/>
        <w:jc w:val="both"/>
        <w:rPr>
          <w:rFonts w:eastAsia="Calibri"/>
          <w:sz w:val="26"/>
          <w:szCs w:val="26"/>
          <w:lang w:eastAsia="en-US"/>
        </w:rPr>
      </w:pPr>
      <w:r>
        <w:rPr>
          <w:rFonts w:eastAsia="Calibri Light" w:cs="Calibri Light"/>
          <w:b/>
          <w:szCs w:val="26"/>
          <w:lang w:eastAsia="en-US"/>
        </w:rPr>
        <w:t>13.4.</w:t>
      </w:r>
      <w:bookmarkEnd w:id="470"/>
      <w:bookmarkEnd w:id="471"/>
      <w:bookmarkEnd w:id="472"/>
      <w:bookmarkEnd w:id="473"/>
      <w:r>
        <w:rPr>
          <w:rFonts w:eastAsia="Calibri Light" w:cs="Calibri Light"/>
          <w:b/>
          <w:szCs w:val="26"/>
          <w:lang w:eastAsia="en-US"/>
        </w:rPr>
        <w:t xml:space="preserve"> Описание решений (вырабатываемых с учетом положений утвержденных схемы и программы развития электроэнергетических систем России, а в период до утверждения таких схемы и программы в 2023 году (в отношении технологически изолированных территориальных электроэнергетических систем в 2024 году) - также утвержденных схемы и программы развития Единой энергетической системы России, схемы и программы перспективного развития электроэнергетики субъекта Российской Федерации, на территории которого расположена соответствующая технологически изолированная территориальная электроэнергетическая система) по строительству, реконструкции, техническому перевооружению и (или) модернизации, выводу из эксплуатации источников тепловой энергии и решений по реконструкции, техническому перевооружению, модернизации, не связанных с увеличением установленной генерирующей мощности, и выводу из эксплуатации генерирующих объектов, включая входящее в их состав оборудование, функционирующее в режиме комбинированной выработки электрической и тепловой энергии, в части перспективных балансов тепловой мощности в схемах теплоснабжения</w:t>
      </w:r>
      <w:bookmarkEnd w:id="469"/>
    </w:p>
    <w:p>
      <w:pPr>
        <w:pStyle w:val="Normal"/>
        <w:ind w:firstLine="709"/>
        <w:jc w:val="both"/>
        <w:rPr>
          <w:rFonts w:eastAsia="Calibri"/>
          <w:sz w:val="26"/>
          <w:szCs w:val="26"/>
          <w:lang w:eastAsia="en-US"/>
        </w:rPr>
      </w:pPr>
      <w:r>
        <w:rPr>
          <w:rFonts w:eastAsia="Calibri" w:cs="Calibri"/>
          <w:szCs w:val="22"/>
          <w:lang w:eastAsia="ru-RU"/>
        </w:rPr>
        <w:t>На территории поселения отсутствуют источники тепловой энергии и генерирующие объекты, включая входящее в их состав оборудование, функционирующие в режиме комбинированной выработки электрической и тепловой энергии.</w:t>
      </w:r>
      <w:bookmarkStart w:id="474" w:name="_Toc181367022"/>
      <w:bookmarkStart w:id="475" w:name="_Toc535417914"/>
      <w:bookmarkStart w:id="476" w:name="_Toc160516879"/>
      <w:bookmarkStart w:id="477" w:name="_Toc525894750"/>
      <w:bookmarkStart w:id="478" w:name="_Toc23034157"/>
    </w:p>
    <w:p>
      <w:pPr>
        <w:pStyle w:val="Normal"/>
        <w:ind w:firstLine="709"/>
        <w:jc w:val="both"/>
        <w:rPr>
          <w:rFonts w:eastAsia="Calibri"/>
          <w:sz w:val="26"/>
          <w:szCs w:val="26"/>
          <w:lang w:eastAsia="en-US"/>
        </w:rPr>
      </w:pPr>
      <w:r>
        <w:rPr>
          <w:rFonts w:eastAsia="Calibri"/>
          <w:sz w:val="26"/>
          <w:szCs w:val="26"/>
          <w:lang w:eastAsia="en-US"/>
        </w:rPr>
      </w:r>
    </w:p>
    <w:p>
      <w:pPr>
        <w:pStyle w:val="Normal"/>
        <w:ind w:firstLine="709"/>
        <w:jc w:val="both"/>
        <w:rPr>
          <w:rFonts w:eastAsia="Calibri"/>
          <w:sz w:val="26"/>
          <w:szCs w:val="26"/>
          <w:lang w:eastAsia="en-US"/>
        </w:rPr>
      </w:pPr>
      <w:r>
        <w:rPr>
          <w:rFonts w:eastAsia="Calibri Light" w:cs="Calibri Light"/>
          <w:b/>
          <w:szCs w:val="26"/>
          <w:lang w:eastAsia="en-US"/>
        </w:rPr>
        <w:t>13.5.</w:t>
      </w:r>
      <w:bookmarkEnd w:id="475"/>
      <w:bookmarkEnd w:id="476"/>
      <w:bookmarkEnd w:id="477"/>
      <w:bookmarkEnd w:id="478"/>
      <w:r>
        <w:rPr>
          <w:rFonts w:eastAsia="Calibri Light" w:cs="Calibri Light"/>
          <w:b/>
          <w:szCs w:val="26"/>
          <w:lang w:eastAsia="en-US"/>
        </w:rPr>
        <w:t xml:space="preserve"> Обоснованные предложения по строительству (реконструкции, связанной с увеличением установленной генерирующей мощности) генерирующих объектов, функционирующих в режиме комбинированной выработки электрической и тепловой энергии, для обеспечения покрытия перспективных тепловых нагрузок для их рассмотрения при разработке схемы и программы развития электроэнергетических систем России, а также при разработке (актуализации) генеральной схемы размещения объектов электроэнергетики - при наличии таких предложений по результатам технико-экономического сравнения вариантов покрытия перспективных тепловых нагрузок</w:t>
      </w:r>
      <w:bookmarkEnd w:id="474"/>
    </w:p>
    <w:p>
      <w:pPr>
        <w:pStyle w:val="Normal"/>
        <w:ind w:firstLine="709"/>
        <w:jc w:val="both"/>
        <w:rPr>
          <w:rFonts w:eastAsia="Calibri" w:cs="Calibri"/>
          <w:szCs w:val="22"/>
          <w:lang w:eastAsia="ru-RU"/>
        </w:rPr>
      </w:pPr>
      <w:r>
        <w:rPr>
          <w:rFonts w:eastAsia="Calibri" w:cs="Calibri"/>
          <w:szCs w:val="22"/>
          <w:lang w:eastAsia="ru-RU"/>
        </w:rPr>
        <w:t>Размещение источников, функционирующих в режиме комбинированной выработки электрической и тепловой энергии на территории поселения не намечается.</w:t>
      </w:r>
    </w:p>
    <w:p>
      <w:pPr>
        <w:pStyle w:val="Normal"/>
        <w:ind w:firstLine="709"/>
        <w:jc w:val="both"/>
        <w:rPr>
          <w:rFonts w:eastAsia="Calibri" w:cs="Calibri"/>
          <w:szCs w:val="22"/>
          <w:lang w:eastAsia="ru-RU"/>
        </w:rPr>
      </w:pPr>
      <w:r>
        <w:rPr>
          <w:rFonts w:eastAsia="Calibri" w:cs="Calibri"/>
          <w:szCs w:val="22"/>
          <w:lang w:eastAsia="ru-RU"/>
        </w:rPr>
      </w:r>
    </w:p>
    <w:p>
      <w:pPr>
        <w:pStyle w:val="Normal"/>
        <w:keepNext w:val="true"/>
        <w:keepLines/>
        <w:numPr>
          <w:ilvl w:val="0"/>
          <w:numId w:val="0"/>
        </w:numPr>
        <w:ind w:left="0" w:firstLine="709"/>
        <w:jc w:val="both"/>
        <w:outlineLvl w:val="1"/>
        <w:rPr>
          <w:rFonts w:eastAsia="Calibri Light" w:cs="Calibri Light"/>
          <w:b/>
          <w:b/>
          <w:szCs w:val="26"/>
          <w:lang w:eastAsia="en-US"/>
        </w:rPr>
      </w:pPr>
      <w:bookmarkStart w:id="479" w:name="_Toc525894751"/>
      <w:bookmarkStart w:id="480" w:name="_Toc535417915"/>
      <w:bookmarkStart w:id="481" w:name="_Toc23034158"/>
      <w:bookmarkStart w:id="482" w:name="_Toc160516880"/>
      <w:bookmarkStart w:id="483" w:name="_Toc181367023"/>
      <w:r>
        <w:rPr>
          <w:rFonts w:eastAsia="Calibri Light" w:cs="Calibri Light"/>
          <w:b/>
          <w:szCs w:val="26"/>
          <w:lang w:eastAsia="en-US"/>
        </w:rPr>
        <w:t>13.6. Описание решений (вырабатываемых с учетом положений утвержденной схемы водоснабжения поселения) о развитии соответствующей системы водоснабжения в части, относящейся к системам теплоснабжения</w:t>
      </w:r>
      <w:bookmarkEnd w:id="479"/>
      <w:bookmarkEnd w:id="480"/>
      <w:bookmarkEnd w:id="481"/>
      <w:bookmarkEnd w:id="482"/>
      <w:bookmarkEnd w:id="483"/>
    </w:p>
    <w:p>
      <w:pPr>
        <w:pStyle w:val="Normal"/>
        <w:ind w:firstLine="709"/>
        <w:jc w:val="both"/>
        <w:rPr>
          <w:rFonts w:eastAsia="Calibri"/>
          <w:sz w:val="26"/>
          <w:szCs w:val="26"/>
          <w:lang w:eastAsia="en-US"/>
        </w:rPr>
      </w:pPr>
      <w:r>
        <w:rPr>
          <w:rFonts w:eastAsia="Calibri" w:cs="Calibri"/>
          <w:szCs w:val="22"/>
          <w:lang w:eastAsia="en-US"/>
        </w:rPr>
        <w:t>Описание системы и структуры водоснабжения, а также решения о развитии системы водоснабжения поселения, относящейся к системам теплоснабжения содержатся в Схеме водоснабжения поселения.</w:t>
      </w:r>
    </w:p>
    <w:p>
      <w:pPr>
        <w:pStyle w:val="Normal"/>
        <w:ind w:firstLine="709"/>
        <w:jc w:val="both"/>
        <w:rPr>
          <w:rFonts w:eastAsia="Calibri"/>
          <w:lang w:eastAsia="en-US"/>
        </w:rPr>
      </w:pPr>
      <w:r>
        <w:rPr>
          <w:rFonts w:eastAsia="Calibri"/>
          <w:lang w:eastAsia="en-US"/>
        </w:rPr>
      </w:r>
    </w:p>
    <w:p>
      <w:pPr>
        <w:pStyle w:val="Normal"/>
        <w:keepNext w:val="true"/>
        <w:keepLines/>
        <w:numPr>
          <w:ilvl w:val="0"/>
          <w:numId w:val="0"/>
        </w:numPr>
        <w:ind w:left="0" w:firstLine="709"/>
        <w:jc w:val="both"/>
        <w:outlineLvl w:val="1"/>
        <w:rPr>
          <w:rFonts w:eastAsia="Calibri Light" w:cs="Calibri Light"/>
          <w:b/>
          <w:b/>
          <w:szCs w:val="26"/>
          <w:lang w:eastAsia="en-US"/>
        </w:rPr>
      </w:pPr>
      <w:bookmarkStart w:id="484" w:name="_Toc535417916"/>
      <w:bookmarkStart w:id="485" w:name="_Toc525894752"/>
      <w:bookmarkStart w:id="486" w:name="_Toc160516881"/>
      <w:bookmarkStart w:id="487" w:name="_Toc23034159"/>
      <w:bookmarkStart w:id="488" w:name="_Toc181367024"/>
      <w:r>
        <w:rPr>
          <w:rFonts w:eastAsia="Calibri Light" w:cs="Calibri Light"/>
          <w:b/>
          <w:szCs w:val="26"/>
          <w:lang w:eastAsia="en-US"/>
        </w:rPr>
        <w:t>13.7. Предложения по корректировке утвержденной (разработке) схемы водоснабжения поселения для обеспечения согласованности такой схемы и указанных в схеме теплоснабжения решений о развитии источников тепловой энергии и систем теплоснабжения</w:t>
      </w:r>
      <w:bookmarkEnd w:id="484"/>
      <w:bookmarkEnd w:id="485"/>
      <w:bookmarkEnd w:id="486"/>
      <w:bookmarkEnd w:id="487"/>
      <w:bookmarkEnd w:id="488"/>
    </w:p>
    <w:p>
      <w:pPr>
        <w:sectPr>
          <w:headerReference w:type="default" r:id="rId29"/>
          <w:footerReference w:type="default" r:id="rId30"/>
          <w:type w:val="nextPage"/>
          <w:pgSz w:w="11906" w:h="16838"/>
          <w:pgMar w:left="1701" w:right="567" w:header="708" w:top="1134" w:footer="708" w:bottom="1134" w:gutter="0"/>
          <w:pgNumType w:fmt="decimal"/>
          <w:formProt w:val="false"/>
          <w:textDirection w:val="lrTb"/>
          <w:docGrid w:type="default" w:linePitch="360" w:charSpace="0"/>
        </w:sectPr>
        <w:pStyle w:val="Normal"/>
        <w:ind w:firstLine="709"/>
        <w:jc w:val="both"/>
        <w:rPr>
          <w:rFonts w:eastAsia="Calibri" w:cs="Calibri"/>
          <w:szCs w:val="22"/>
          <w:lang w:eastAsia="ru-RU"/>
        </w:rPr>
      </w:pPr>
      <w:r>
        <w:rPr>
          <w:rFonts w:eastAsia="Calibri" w:cs="Calibri"/>
          <w:szCs w:val="22"/>
          <w:lang w:eastAsia="ru-RU"/>
        </w:rPr>
        <w:t>При актуализации схемы водоснабжении и водоотведения поселения необходимо дополнительно запланировать комплекс мероприятий по снабжению водой и водоотведению новых источников тепловой энергии.</w:t>
      </w:r>
    </w:p>
    <w:p>
      <w:pPr>
        <w:pStyle w:val="Normal"/>
        <w:keepNext w:val="true"/>
        <w:keepLines/>
        <w:numPr>
          <w:ilvl w:val="0"/>
          <w:numId w:val="0"/>
        </w:numPr>
        <w:spacing w:before="0" w:after="240"/>
        <w:ind w:left="0" w:hanging="0"/>
        <w:jc w:val="center"/>
        <w:outlineLvl w:val="0"/>
        <w:rPr>
          <w:rFonts w:eastAsia="Calibri Light"/>
          <w:b/>
          <w:b/>
          <w:lang w:eastAsia="en-US"/>
        </w:rPr>
      </w:pPr>
      <w:bookmarkStart w:id="489" w:name="_Toc181367025"/>
      <w:bookmarkStart w:id="490" w:name="_Toc23034160"/>
      <w:bookmarkStart w:id="491" w:name="_Toc160530749"/>
      <w:bookmarkStart w:id="492" w:name="_Hlk1607122981"/>
      <w:bookmarkStart w:id="493" w:name="_Toc5354094751"/>
      <w:bookmarkStart w:id="494" w:name="_Hlk1606508661"/>
      <w:bookmarkEnd w:id="492"/>
      <w:bookmarkEnd w:id="493"/>
      <w:bookmarkEnd w:id="494"/>
      <w:r>
        <w:rPr>
          <w:rFonts w:eastAsia="Calibri Light"/>
          <w:b/>
          <w:lang w:eastAsia="en-US"/>
        </w:rPr>
        <w:t>Раздел 14 «Индикаторы развития систем теплоснабжения поселения»</w:t>
      </w:r>
      <w:bookmarkEnd w:id="489"/>
      <w:bookmarkEnd w:id="490"/>
      <w:bookmarkEnd w:id="491"/>
    </w:p>
    <w:p>
      <w:pPr>
        <w:pStyle w:val="Normal"/>
        <w:keepNext w:val="true"/>
        <w:keepLines/>
        <w:numPr>
          <w:ilvl w:val="0"/>
          <w:numId w:val="0"/>
        </w:numPr>
        <w:spacing w:before="0" w:after="240"/>
        <w:ind w:left="0" w:hanging="0"/>
        <w:outlineLvl w:val="0"/>
        <w:rPr>
          <w:rFonts w:eastAsia="Calibri" w:cs="Calibri"/>
          <w:szCs w:val="22"/>
          <w:lang w:eastAsia="en-US"/>
        </w:rPr>
      </w:pPr>
      <w:r>
        <w:rPr>
          <w:rFonts w:eastAsia="Calibri" w:cs="Calibri"/>
          <w:szCs w:val="22"/>
          <w:lang w:eastAsia="en-US"/>
        </w:rPr>
        <w:t>Индикаторы развития систем теплоснабжения представлены в таблице 13.</w:t>
      </w:r>
    </w:p>
    <w:p>
      <w:pPr>
        <w:pStyle w:val="Normal"/>
        <w:jc w:val="right"/>
        <w:rPr>
          <w:rFonts w:eastAsia="Calibri" w:cs="Calibri"/>
          <w:iCs/>
          <w:szCs w:val="18"/>
          <w:lang w:eastAsia="en-US"/>
        </w:rPr>
      </w:pPr>
      <w:r>
        <w:rPr>
          <w:rFonts w:eastAsia="Calibri" w:cs="Calibri"/>
          <w:iCs/>
          <w:szCs w:val="18"/>
          <w:lang w:eastAsia="en-US"/>
        </w:rPr>
        <w:t xml:space="preserve">Таблица 13 – </w:t>
      </w:r>
      <w:bookmarkStart w:id="495" w:name="_Hlk25241434"/>
      <w:r>
        <w:rPr>
          <w:rFonts w:eastAsia="Calibri" w:cs="Calibri"/>
          <w:iCs/>
          <w:szCs w:val="18"/>
          <w:lang w:eastAsia="en-US"/>
        </w:rPr>
        <w:t>Индикаторы развития систем теплоснабжения</w:t>
      </w:r>
      <w:bookmarkEnd w:id="495"/>
      <w:r>
        <w:rPr>
          <w:rFonts w:eastAsia="Calibri" w:cs="Calibri"/>
          <w:iCs/>
          <w:szCs w:val="18"/>
          <w:lang w:eastAsia="en-US"/>
        </w:rPr>
        <w:t xml:space="preserve"> поселения</w:t>
      </w:r>
    </w:p>
    <w:tbl>
      <w:tblPr>
        <w:tblW w:w="5000" w:type="pct"/>
        <w:jc w:val="left"/>
        <w:tblInd w:w="0" w:type="dxa"/>
        <w:tblCellMar>
          <w:top w:w="0" w:type="dxa"/>
          <w:left w:w="108" w:type="dxa"/>
          <w:bottom w:w="0" w:type="dxa"/>
          <w:right w:w="108" w:type="dxa"/>
        </w:tblCellMar>
        <w:tblLook w:val="04a0" w:noVBand="1" w:noHBand="0" w:lastColumn="0" w:firstColumn="1" w:lastRow="0" w:firstRow="1"/>
      </w:tblPr>
      <w:tblGrid>
        <w:gridCol w:w="795"/>
        <w:gridCol w:w="4042"/>
        <w:gridCol w:w="1419"/>
        <w:gridCol w:w="970"/>
        <w:gridCol w:w="941"/>
        <w:gridCol w:w="998"/>
        <w:gridCol w:w="966"/>
        <w:gridCol w:w="966"/>
        <w:gridCol w:w="1014"/>
        <w:gridCol w:w="1246"/>
        <w:gridCol w:w="1211"/>
      </w:tblGrid>
      <w:tr>
        <w:trPr>
          <w:tblHeader w:val="true"/>
          <w:cantSplit w:val="true"/>
        </w:trPr>
        <w:tc>
          <w:tcPr>
            <w:tcW w:w="7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bCs/>
                <w:sz w:val="20"/>
                <w:szCs w:val="20"/>
              </w:rPr>
            </w:pPr>
            <w:r>
              <w:rPr>
                <w:bCs/>
                <w:sz w:val="20"/>
                <w:szCs w:val="20"/>
              </w:rPr>
              <w:t xml:space="preserve">№ </w:t>
            </w:r>
            <w:r>
              <w:rPr>
                <w:bCs/>
                <w:sz w:val="20"/>
                <w:szCs w:val="20"/>
              </w:rPr>
              <w:t>п/п</w:t>
            </w:r>
          </w:p>
        </w:tc>
        <w:tc>
          <w:tcPr>
            <w:tcW w:w="40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bCs/>
                <w:sz w:val="20"/>
                <w:szCs w:val="20"/>
              </w:rPr>
            </w:pPr>
            <w:r>
              <w:rPr>
                <w:bCs/>
                <w:sz w:val="20"/>
                <w:szCs w:val="20"/>
              </w:rPr>
              <w:t>Наименование</w:t>
            </w:r>
          </w:p>
        </w:tc>
        <w:tc>
          <w:tcPr>
            <w:tcW w:w="14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bCs/>
                <w:sz w:val="20"/>
                <w:szCs w:val="20"/>
              </w:rPr>
            </w:pPr>
            <w:r>
              <w:rPr>
                <w:bCs/>
                <w:sz w:val="20"/>
                <w:szCs w:val="20"/>
              </w:rPr>
              <w:t>Ед. изм</w:t>
            </w:r>
          </w:p>
        </w:tc>
        <w:tc>
          <w:tcPr>
            <w:tcW w:w="97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iCs/>
                <w:sz w:val="20"/>
                <w:szCs w:val="20"/>
              </w:rPr>
            </w:pPr>
            <w:r>
              <w:rPr>
                <w:iCs/>
                <w:sz w:val="20"/>
                <w:szCs w:val="20"/>
              </w:rPr>
              <w:t>2023 год</w:t>
            </w:r>
          </w:p>
        </w:tc>
        <w:tc>
          <w:tcPr>
            <w:tcW w:w="94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iCs/>
                <w:sz w:val="20"/>
                <w:szCs w:val="20"/>
              </w:rPr>
            </w:pPr>
            <w:r>
              <w:rPr>
                <w:iCs/>
                <w:sz w:val="20"/>
                <w:szCs w:val="20"/>
              </w:rPr>
              <w:t>2024 год</w:t>
            </w:r>
          </w:p>
        </w:tc>
        <w:tc>
          <w:tcPr>
            <w:tcW w:w="9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iCs/>
                <w:sz w:val="20"/>
                <w:szCs w:val="20"/>
              </w:rPr>
            </w:pPr>
            <w:r>
              <w:rPr>
                <w:iCs/>
                <w:sz w:val="20"/>
                <w:szCs w:val="20"/>
              </w:rPr>
              <w:t>2025 год</w:t>
            </w:r>
          </w:p>
        </w:tc>
        <w:tc>
          <w:tcPr>
            <w:tcW w:w="9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iCs/>
                <w:sz w:val="20"/>
                <w:szCs w:val="20"/>
              </w:rPr>
            </w:pPr>
            <w:r>
              <w:rPr>
                <w:iCs/>
                <w:sz w:val="20"/>
                <w:szCs w:val="20"/>
              </w:rPr>
              <w:t>2026 год</w:t>
            </w:r>
          </w:p>
        </w:tc>
        <w:tc>
          <w:tcPr>
            <w:tcW w:w="9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iCs/>
                <w:sz w:val="20"/>
                <w:szCs w:val="20"/>
              </w:rPr>
            </w:pPr>
            <w:r>
              <w:rPr>
                <w:iCs/>
                <w:sz w:val="20"/>
                <w:szCs w:val="20"/>
              </w:rPr>
              <w:t>2027 год</w:t>
            </w:r>
          </w:p>
        </w:tc>
        <w:tc>
          <w:tcPr>
            <w:tcW w:w="10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iCs/>
                <w:sz w:val="20"/>
                <w:szCs w:val="20"/>
              </w:rPr>
            </w:pPr>
            <w:r>
              <w:rPr>
                <w:iCs/>
                <w:sz w:val="20"/>
                <w:szCs w:val="20"/>
              </w:rPr>
              <w:t>2028 год</w:t>
            </w:r>
          </w:p>
        </w:tc>
        <w:tc>
          <w:tcPr>
            <w:tcW w:w="12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rPr>
              <w:t>2029-2034 год</w:t>
            </w:r>
          </w:p>
        </w:tc>
        <w:tc>
          <w:tcPr>
            <w:tcW w:w="121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rPr>
              <w:t xml:space="preserve">2035 – 2040 </w:t>
            </w:r>
            <w:r>
              <w:rPr>
                <w:iCs/>
                <w:sz w:val="20"/>
                <w:szCs w:val="20"/>
              </w:rPr>
              <w:t>годы</w:t>
            </w:r>
          </w:p>
        </w:tc>
      </w:tr>
      <w:tr>
        <w:trPr>
          <w:cantSplit w:val="true"/>
        </w:trPr>
        <w:tc>
          <w:tcPr>
            <w:tcW w:w="7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rPr>
              <w:t>1</w:t>
            </w:r>
          </w:p>
        </w:tc>
        <w:tc>
          <w:tcPr>
            <w:tcW w:w="40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sz w:val="20"/>
                <w:szCs w:val="20"/>
              </w:rPr>
            </w:pPr>
            <w:r>
              <w:rPr>
                <w:sz w:val="20"/>
                <w:szCs w:val="20"/>
                <w:lang w:eastAsia="ru-RU"/>
              </w:rPr>
              <w:t>Количество прекращений подачи тепловой энергии, теплоносителя в результате технологических нарушений на тепловых сетях</w:t>
            </w:r>
          </w:p>
        </w:tc>
        <w:tc>
          <w:tcPr>
            <w:tcW w:w="14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lang w:eastAsia="ru-RU"/>
              </w:rPr>
              <w:t>ед. год</w:t>
            </w:r>
          </w:p>
        </w:tc>
        <w:tc>
          <w:tcPr>
            <w:tcW w:w="97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lang w:eastAsia="ru-RU"/>
              </w:rPr>
              <w:t>0</w:t>
            </w:r>
          </w:p>
        </w:tc>
        <w:tc>
          <w:tcPr>
            <w:tcW w:w="94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lang w:eastAsia="ru-RU"/>
              </w:rPr>
              <w:t>0</w:t>
            </w:r>
          </w:p>
        </w:tc>
        <w:tc>
          <w:tcPr>
            <w:tcW w:w="9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lang w:eastAsia="ru-RU"/>
              </w:rPr>
              <w:t>0</w:t>
            </w:r>
          </w:p>
        </w:tc>
        <w:tc>
          <w:tcPr>
            <w:tcW w:w="9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lang w:eastAsia="ru-RU"/>
              </w:rPr>
              <w:t>0</w:t>
            </w:r>
          </w:p>
        </w:tc>
        <w:tc>
          <w:tcPr>
            <w:tcW w:w="9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lang w:eastAsia="ru-RU"/>
              </w:rPr>
              <w:t>0</w:t>
            </w:r>
          </w:p>
        </w:tc>
        <w:tc>
          <w:tcPr>
            <w:tcW w:w="10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lang w:eastAsia="ru-RU"/>
              </w:rPr>
              <w:t>0</w:t>
            </w:r>
          </w:p>
        </w:tc>
        <w:tc>
          <w:tcPr>
            <w:tcW w:w="12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lang w:eastAsia="ru-RU"/>
              </w:rPr>
              <w:t>0</w:t>
            </w:r>
          </w:p>
        </w:tc>
        <w:tc>
          <w:tcPr>
            <w:tcW w:w="121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lang w:eastAsia="ru-RU"/>
              </w:rPr>
              <w:t>0</w:t>
            </w:r>
          </w:p>
        </w:tc>
      </w:tr>
      <w:tr>
        <w:trPr>
          <w:cantSplit w:val="true"/>
        </w:trPr>
        <w:tc>
          <w:tcPr>
            <w:tcW w:w="7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rPr>
              <w:t>2</w:t>
            </w:r>
          </w:p>
        </w:tc>
        <w:tc>
          <w:tcPr>
            <w:tcW w:w="40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sz w:val="20"/>
                <w:szCs w:val="20"/>
                <w:lang w:eastAsia="ru-RU"/>
              </w:rPr>
            </w:pPr>
            <w:r>
              <w:rPr>
                <w:sz w:val="20"/>
                <w:szCs w:val="20"/>
                <w:lang w:eastAsia="ru-RU"/>
              </w:rPr>
              <w:t>Количество прекращений подачи тепловой энергии, теплоносителя в результате технологических нарушений на источниках тепловой энергии</w:t>
            </w:r>
          </w:p>
        </w:tc>
        <w:tc>
          <w:tcPr>
            <w:tcW w:w="14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ед. год</w:t>
            </w:r>
          </w:p>
        </w:tc>
        <w:tc>
          <w:tcPr>
            <w:tcW w:w="97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w:t>
            </w:r>
          </w:p>
        </w:tc>
        <w:tc>
          <w:tcPr>
            <w:tcW w:w="94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w:t>
            </w:r>
          </w:p>
        </w:tc>
        <w:tc>
          <w:tcPr>
            <w:tcW w:w="9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w:t>
            </w:r>
          </w:p>
        </w:tc>
        <w:tc>
          <w:tcPr>
            <w:tcW w:w="9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w:t>
            </w:r>
          </w:p>
        </w:tc>
        <w:tc>
          <w:tcPr>
            <w:tcW w:w="9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w:t>
            </w:r>
          </w:p>
        </w:tc>
        <w:tc>
          <w:tcPr>
            <w:tcW w:w="10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w:t>
            </w:r>
          </w:p>
        </w:tc>
        <w:tc>
          <w:tcPr>
            <w:tcW w:w="12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w:t>
            </w:r>
          </w:p>
        </w:tc>
        <w:tc>
          <w:tcPr>
            <w:tcW w:w="121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w:t>
            </w:r>
          </w:p>
        </w:tc>
      </w:tr>
      <w:tr>
        <w:trPr>
          <w:cantSplit w:val="true"/>
        </w:trPr>
        <w:tc>
          <w:tcPr>
            <w:tcW w:w="7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rPr>
              <w:t>3</w:t>
            </w:r>
          </w:p>
        </w:tc>
        <w:tc>
          <w:tcPr>
            <w:tcW w:w="40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sz w:val="20"/>
                <w:szCs w:val="20"/>
                <w:lang w:eastAsia="ru-RU"/>
              </w:rPr>
            </w:pPr>
            <w:r>
              <w:rPr>
                <w:sz w:val="20"/>
                <w:szCs w:val="20"/>
                <w:lang w:eastAsia="ru-RU"/>
              </w:rPr>
              <w:t xml:space="preserve">Удельный расход условного топлива на единицу отпускаемой тепловой энергии </w:t>
            </w:r>
          </w:p>
        </w:tc>
        <w:tc>
          <w:tcPr>
            <w:tcW w:w="14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w:t>
            </w:r>
          </w:p>
        </w:tc>
        <w:tc>
          <w:tcPr>
            <w:tcW w:w="97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w:t>
            </w:r>
          </w:p>
        </w:tc>
        <w:tc>
          <w:tcPr>
            <w:tcW w:w="94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w:t>
            </w:r>
          </w:p>
        </w:tc>
        <w:tc>
          <w:tcPr>
            <w:tcW w:w="9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w:t>
            </w:r>
          </w:p>
        </w:tc>
        <w:tc>
          <w:tcPr>
            <w:tcW w:w="9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w:t>
            </w:r>
          </w:p>
        </w:tc>
        <w:tc>
          <w:tcPr>
            <w:tcW w:w="9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w:t>
            </w:r>
          </w:p>
        </w:tc>
        <w:tc>
          <w:tcPr>
            <w:tcW w:w="10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w:t>
            </w:r>
          </w:p>
        </w:tc>
        <w:tc>
          <w:tcPr>
            <w:tcW w:w="12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w:t>
            </w:r>
          </w:p>
        </w:tc>
        <w:tc>
          <w:tcPr>
            <w:tcW w:w="121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w:t>
            </w:r>
          </w:p>
        </w:tc>
      </w:tr>
      <w:tr>
        <w:trPr>
          <w:cantSplit w:val="true"/>
        </w:trPr>
        <w:tc>
          <w:tcPr>
            <w:tcW w:w="7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rPr>
              <w:t>3.1.</w:t>
            </w:r>
          </w:p>
        </w:tc>
        <w:tc>
          <w:tcPr>
            <w:tcW w:w="40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sz w:val="20"/>
                <w:szCs w:val="20"/>
                <w:lang w:eastAsia="ru-RU"/>
              </w:rPr>
            </w:pPr>
            <w:r>
              <w:rPr>
                <w:sz w:val="20"/>
                <w:szCs w:val="20"/>
                <w:lang w:eastAsia="ru-RU"/>
              </w:rPr>
              <w:t>Котельная № 1, пгт.Октябрьское, ул.Сенькина, 46б</w:t>
            </w:r>
          </w:p>
        </w:tc>
        <w:tc>
          <w:tcPr>
            <w:tcW w:w="14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кг у.т./Гкал</w:t>
            </w:r>
          </w:p>
        </w:tc>
        <w:tc>
          <w:tcPr>
            <w:tcW w:w="97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176,5</w:t>
            </w:r>
          </w:p>
        </w:tc>
        <w:tc>
          <w:tcPr>
            <w:tcW w:w="94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176,5</w:t>
            </w:r>
          </w:p>
        </w:tc>
        <w:tc>
          <w:tcPr>
            <w:tcW w:w="9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176,5</w:t>
            </w:r>
          </w:p>
        </w:tc>
        <w:tc>
          <w:tcPr>
            <w:tcW w:w="9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176,5</w:t>
            </w:r>
          </w:p>
        </w:tc>
        <w:tc>
          <w:tcPr>
            <w:tcW w:w="9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155,6</w:t>
            </w:r>
          </w:p>
        </w:tc>
        <w:tc>
          <w:tcPr>
            <w:tcW w:w="10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155,6</w:t>
            </w:r>
          </w:p>
        </w:tc>
        <w:tc>
          <w:tcPr>
            <w:tcW w:w="12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155,6</w:t>
            </w:r>
          </w:p>
        </w:tc>
        <w:tc>
          <w:tcPr>
            <w:tcW w:w="121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155,6</w:t>
            </w:r>
          </w:p>
        </w:tc>
      </w:tr>
      <w:tr>
        <w:trPr>
          <w:cantSplit w:val="true"/>
        </w:trPr>
        <w:tc>
          <w:tcPr>
            <w:tcW w:w="7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rPr>
              <w:t>3.2.</w:t>
            </w:r>
          </w:p>
        </w:tc>
        <w:tc>
          <w:tcPr>
            <w:tcW w:w="40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sz w:val="20"/>
                <w:szCs w:val="20"/>
                <w:lang w:eastAsia="ru-RU"/>
              </w:rPr>
            </w:pPr>
            <w:r>
              <w:rPr>
                <w:sz w:val="20"/>
                <w:szCs w:val="20"/>
                <w:lang w:eastAsia="ru-RU"/>
              </w:rPr>
              <w:t>Котельная № 2, пгт.Октябрьское, ул.Пионерская, 17б</w:t>
            </w:r>
          </w:p>
        </w:tc>
        <w:tc>
          <w:tcPr>
            <w:tcW w:w="14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кг у.т./Гкал</w:t>
            </w:r>
          </w:p>
        </w:tc>
        <w:tc>
          <w:tcPr>
            <w:tcW w:w="97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176,5</w:t>
            </w:r>
          </w:p>
        </w:tc>
        <w:tc>
          <w:tcPr>
            <w:tcW w:w="94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c>
          <w:tcPr>
            <w:tcW w:w="9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c>
          <w:tcPr>
            <w:tcW w:w="9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c>
          <w:tcPr>
            <w:tcW w:w="9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c>
          <w:tcPr>
            <w:tcW w:w="10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c>
          <w:tcPr>
            <w:tcW w:w="12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c>
          <w:tcPr>
            <w:tcW w:w="121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r>
      <w:tr>
        <w:trPr>
          <w:cantSplit w:val="true"/>
        </w:trPr>
        <w:tc>
          <w:tcPr>
            <w:tcW w:w="7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rPr>
              <w:t>3.3.</w:t>
            </w:r>
          </w:p>
        </w:tc>
        <w:tc>
          <w:tcPr>
            <w:tcW w:w="40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sz w:val="20"/>
                <w:szCs w:val="20"/>
                <w:lang w:eastAsia="ru-RU"/>
              </w:rPr>
            </w:pPr>
            <w:r>
              <w:rPr>
                <w:sz w:val="20"/>
                <w:szCs w:val="20"/>
                <w:lang w:eastAsia="ru-RU"/>
              </w:rPr>
              <w:t>Котельная № 3, пгт.Октябрьское, ул.Чапаева, 6б</w:t>
            </w:r>
          </w:p>
        </w:tc>
        <w:tc>
          <w:tcPr>
            <w:tcW w:w="14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кг у.т./Гкал</w:t>
            </w:r>
          </w:p>
        </w:tc>
        <w:tc>
          <w:tcPr>
            <w:tcW w:w="97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176,5</w:t>
            </w:r>
          </w:p>
        </w:tc>
        <w:tc>
          <w:tcPr>
            <w:tcW w:w="94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176,5</w:t>
            </w:r>
          </w:p>
        </w:tc>
        <w:tc>
          <w:tcPr>
            <w:tcW w:w="9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176,5</w:t>
            </w:r>
          </w:p>
        </w:tc>
        <w:tc>
          <w:tcPr>
            <w:tcW w:w="9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176,5</w:t>
            </w:r>
          </w:p>
        </w:tc>
        <w:tc>
          <w:tcPr>
            <w:tcW w:w="9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c>
          <w:tcPr>
            <w:tcW w:w="10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c>
          <w:tcPr>
            <w:tcW w:w="12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c>
          <w:tcPr>
            <w:tcW w:w="121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r>
      <w:tr>
        <w:trPr>
          <w:cantSplit w:val="true"/>
        </w:trPr>
        <w:tc>
          <w:tcPr>
            <w:tcW w:w="7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rPr>
              <w:t>3.4.</w:t>
            </w:r>
          </w:p>
        </w:tc>
        <w:tc>
          <w:tcPr>
            <w:tcW w:w="40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sz w:val="20"/>
                <w:szCs w:val="20"/>
                <w:lang w:eastAsia="ru-RU"/>
              </w:rPr>
            </w:pPr>
            <w:r>
              <w:rPr>
                <w:sz w:val="20"/>
                <w:szCs w:val="20"/>
                <w:lang w:eastAsia="ru-RU"/>
              </w:rPr>
              <w:t>Котельная № 6, пгт.Октябрьское, ул.Дзержинского, 2б</w:t>
            </w:r>
          </w:p>
        </w:tc>
        <w:tc>
          <w:tcPr>
            <w:tcW w:w="14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кг у.т./Гкал</w:t>
            </w:r>
          </w:p>
        </w:tc>
        <w:tc>
          <w:tcPr>
            <w:tcW w:w="97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176,5</w:t>
            </w:r>
          </w:p>
        </w:tc>
        <w:tc>
          <w:tcPr>
            <w:tcW w:w="94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c>
          <w:tcPr>
            <w:tcW w:w="9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c>
          <w:tcPr>
            <w:tcW w:w="9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c>
          <w:tcPr>
            <w:tcW w:w="9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c>
          <w:tcPr>
            <w:tcW w:w="10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c>
          <w:tcPr>
            <w:tcW w:w="12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c>
          <w:tcPr>
            <w:tcW w:w="121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r>
      <w:tr>
        <w:trPr>
          <w:cantSplit w:val="true"/>
        </w:trPr>
        <w:tc>
          <w:tcPr>
            <w:tcW w:w="7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rPr>
              <w:t>3.5.</w:t>
            </w:r>
          </w:p>
        </w:tc>
        <w:tc>
          <w:tcPr>
            <w:tcW w:w="40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sz w:val="20"/>
                <w:szCs w:val="20"/>
                <w:lang w:eastAsia="ru-RU"/>
              </w:rPr>
            </w:pPr>
            <w:r>
              <w:rPr>
                <w:sz w:val="20"/>
                <w:szCs w:val="20"/>
                <w:lang w:eastAsia="ru-RU"/>
              </w:rPr>
              <w:t>Котельная № 7, пгт.Октябрьское, ул.Медицинская, 3Б</w:t>
            </w:r>
          </w:p>
        </w:tc>
        <w:tc>
          <w:tcPr>
            <w:tcW w:w="14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кг у.т./Гкал</w:t>
            </w:r>
          </w:p>
        </w:tc>
        <w:tc>
          <w:tcPr>
            <w:tcW w:w="97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176,5</w:t>
            </w:r>
          </w:p>
        </w:tc>
        <w:tc>
          <w:tcPr>
            <w:tcW w:w="94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c>
          <w:tcPr>
            <w:tcW w:w="9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c>
          <w:tcPr>
            <w:tcW w:w="9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c>
          <w:tcPr>
            <w:tcW w:w="9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c>
          <w:tcPr>
            <w:tcW w:w="10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c>
          <w:tcPr>
            <w:tcW w:w="12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c>
          <w:tcPr>
            <w:tcW w:w="121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r>
      <w:tr>
        <w:trPr>
          <w:cantSplit w:val="true"/>
        </w:trPr>
        <w:tc>
          <w:tcPr>
            <w:tcW w:w="7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rPr>
              <w:t>3.6.</w:t>
            </w:r>
          </w:p>
        </w:tc>
        <w:tc>
          <w:tcPr>
            <w:tcW w:w="40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sz w:val="20"/>
                <w:szCs w:val="20"/>
                <w:lang w:eastAsia="ru-RU"/>
              </w:rPr>
            </w:pPr>
            <w:r>
              <w:rPr>
                <w:sz w:val="20"/>
                <w:szCs w:val="20"/>
                <w:lang w:eastAsia="ru-RU"/>
              </w:rPr>
              <w:t>Котельная № 12, пгт.Октябрьское, ул.Медицинская, 3к</w:t>
            </w:r>
          </w:p>
        </w:tc>
        <w:tc>
          <w:tcPr>
            <w:tcW w:w="14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кг у.т./Гкал</w:t>
            </w:r>
          </w:p>
        </w:tc>
        <w:tc>
          <w:tcPr>
            <w:tcW w:w="97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176,5</w:t>
            </w:r>
          </w:p>
        </w:tc>
        <w:tc>
          <w:tcPr>
            <w:tcW w:w="94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155,6</w:t>
            </w:r>
          </w:p>
        </w:tc>
        <w:tc>
          <w:tcPr>
            <w:tcW w:w="9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155,6</w:t>
            </w:r>
          </w:p>
        </w:tc>
        <w:tc>
          <w:tcPr>
            <w:tcW w:w="9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155,6</w:t>
            </w:r>
          </w:p>
        </w:tc>
        <w:tc>
          <w:tcPr>
            <w:tcW w:w="9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155,6</w:t>
            </w:r>
          </w:p>
        </w:tc>
        <w:tc>
          <w:tcPr>
            <w:tcW w:w="10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155,6</w:t>
            </w:r>
          </w:p>
        </w:tc>
        <w:tc>
          <w:tcPr>
            <w:tcW w:w="12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155,6</w:t>
            </w:r>
          </w:p>
        </w:tc>
        <w:tc>
          <w:tcPr>
            <w:tcW w:w="121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155,6</w:t>
            </w:r>
          </w:p>
        </w:tc>
      </w:tr>
      <w:tr>
        <w:trPr>
          <w:cantSplit w:val="true"/>
        </w:trPr>
        <w:tc>
          <w:tcPr>
            <w:tcW w:w="7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rPr>
              <w:t>3.7.</w:t>
            </w:r>
          </w:p>
        </w:tc>
        <w:tc>
          <w:tcPr>
            <w:tcW w:w="40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sz w:val="20"/>
                <w:szCs w:val="20"/>
                <w:lang w:eastAsia="ru-RU"/>
              </w:rPr>
            </w:pPr>
            <w:r>
              <w:rPr>
                <w:sz w:val="20"/>
                <w:szCs w:val="20"/>
                <w:lang w:eastAsia="ru-RU"/>
              </w:rPr>
              <w:t>Котельная № 8, пгт.Октябрьское, ул.50 лет, 38А</w:t>
            </w:r>
          </w:p>
        </w:tc>
        <w:tc>
          <w:tcPr>
            <w:tcW w:w="14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кг у.т./Гкал</w:t>
            </w:r>
          </w:p>
        </w:tc>
        <w:tc>
          <w:tcPr>
            <w:tcW w:w="97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176,5</w:t>
            </w:r>
          </w:p>
        </w:tc>
        <w:tc>
          <w:tcPr>
            <w:tcW w:w="94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176,5</w:t>
            </w:r>
          </w:p>
        </w:tc>
        <w:tc>
          <w:tcPr>
            <w:tcW w:w="9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c>
          <w:tcPr>
            <w:tcW w:w="9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c>
          <w:tcPr>
            <w:tcW w:w="9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c>
          <w:tcPr>
            <w:tcW w:w="10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c>
          <w:tcPr>
            <w:tcW w:w="12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c>
          <w:tcPr>
            <w:tcW w:w="121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r>
      <w:tr>
        <w:trPr>
          <w:cantSplit w:val="true"/>
        </w:trPr>
        <w:tc>
          <w:tcPr>
            <w:tcW w:w="7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rPr>
              <w:t>3.8.</w:t>
            </w:r>
          </w:p>
        </w:tc>
        <w:tc>
          <w:tcPr>
            <w:tcW w:w="40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sz w:val="20"/>
                <w:szCs w:val="20"/>
                <w:lang w:eastAsia="ru-RU"/>
              </w:rPr>
            </w:pPr>
            <w:r>
              <w:rPr>
                <w:sz w:val="20"/>
                <w:szCs w:val="20"/>
                <w:lang w:eastAsia="ru-RU"/>
              </w:rPr>
              <w:t>Перспективная котельная, пгт.Октябрьское, ул.Дзержинского, 14</w:t>
            </w:r>
          </w:p>
        </w:tc>
        <w:tc>
          <w:tcPr>
            <w:tcW w:w="14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кг у.т./Гкал</w:t>
            </w:r>
          </w:p>
        </w:tc>
        <w:tc>
          <w:tcPr>
            <w:tcW w:w="97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c>
          <w:tcPr>
            <w:tcW w:w="94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155,6</w:t>
            </w:r>
          </w:p>
        </w:tc>
        <w:tc>
          <w:tcPr>
            <w:tcW w:w="9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155,6</w:t>
            </w:r>
          </w:p>
        </w:tc>
        <w:tc>
          <w:tcPr>
            <w:tcW w:w="9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155,6</w:t>
            </w:r>
          </w:p>
        </w:tc>
        <w:tc>
          <w:tcPr>
            <w:tcW w:w="9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155,6</w:t>
            </w:r>
          </w:p>
        </w:tc>
        <w:tc>
          <w:tcPr>
            <w:tcW w:w="10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155,6</w:t>
            </w:r>
          </w:p>
        </w:tc>
        <w:tc>
          <w:tcPr>
            <w:tcW w:w="12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155,6</w:t>
            </w:r>
          </w:p>
        </w:tc>
        <w:tc>
          <w:tcPr>
            <w:tcW w:w="121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155,6</w:t>
            </w:r>
          </w:p>
        </w:tc>
      </w:tr>
      <w:tr>
        <w:trPr>
          <w:cantSplit w:val="true"/>
        </w:trPr>
        <w:tc>
          <w:tcPr>
            <w:tcW w:w="7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rPr>
              <w:t>4</w:t>
            </w:r>
          </w:p>
        </w:tc>
        <w:tc>
          <w:tcPr>
            <w:tcW w:w="40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sz w:val="20"/>
                <w:szCs w:val="20"/>
                <w:lang w:eastAsia="ru-RU"/>
              </w:rPr>
            </w:pPr>
            <w:r>
              <w:rPr>
                <w:sz w:val="20"/>
                <w:szCs w:val="20"/>
                <w:lang w:eastAsia="ru-RU"/>
              </w:rPr>
              <w:t>Отношение величины технологических потерь тепловой энергии к материальной характеристике тепловой сети</w:t>
            </w:r>
          </w:p>
        </w:tc>
        <w:tc>
          <w:tcPr>
            <w:tcW w:w="14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w:t>
            </w:r>
          </w:p>
        </w:tc>
        <w:tc>
          <w:tcPr>
            <w:tcW w:w="97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w:t>
            </w:r>
          </w:p>
        </w:tc>
        <w:tc>
          <w:tcPr>
            <w:tcW w:w="94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w:t>
            </w:r>
          </w:p>
        </w:tc>
        <w:tc>
          <w:tcPr>
            <w:tcW w:w="9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w:t>
            </w:r>
          </w:p>
        </w:tc>
        <w:tc>
          <w:tcPr>
            <w:tcW w:w="9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w:t>
            </w:r>
          </w:p>
        </w:tc>
        <w:tc>
          <w:tcPr>
            <w:tcW w:w="9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w:t>
            </w:r>
          </w:p>
        </w:tc>
        <w:tc>
          <w:tcPr>
            <w:tcW w:w="10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w:t>
            </w:r>
          </w:p>
        </w:tc>
        <w:tc>
          <w:tcPr>
            <w:tcW w:w="12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w:t>
            </w:r>
          </w:p>
        </w:tc>
        <w:tc>
          <w:tcPr>
            <w:tcW w:w="121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w:t>
            </w:r>
          </w:p>
        </w:tc>
      </w:tr>
      <w:tr>
        <w:trPr>
          <w:cantSplit w:val="true"/>
        </w:trPr>
        <w:tc>
          <w:tcPr>
            <w:tcW w:w="7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rPr>
              <w:t>4.1.</w:t>
            </w:r>
          </w:p>
        </w:tc>
        <w:tc>
          <w:tcPr>
            <w:tcW w:w="40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sz w:val="20"/>
                <w:szCs w:val="20"/>
                <w:lang w:eastAsia="ru-RU"/>
              </w:rPr>
            </w:pPr>
            <w:r>
              <w:rPr>
                <w:sz w:val="20"/>
                <w:szCs w:val="20"/>
                <w:lang w:eastAsia="ru-RU"/>
              </w:rPr>
              <w:t>Котельная № 1, пгт.Октябрьское, ул.Сенькина, 46б</w:t>
            </w:r>
          </w:p>
        </w:tc>
        <w:tc>
          <w:tcPr>
            <w:tcW w:w="14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Гкал/м.кв</w:t>
            </w:r>
          </w:p>
        </w:tc>
        <w:tc>
          <w:tcPr>
            <w:tcW w:w="97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0,128</w:t>
            </w:r>
          </w:p>
        </w:tc>
        <w:tc>
          <w:tcPr>
            <w:tcW w:w="94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0,128</w:t>
            </w:r>
          </w:p>
        </w:tc>
        <w:tc>
          <w:tcPr>
            <w:tcW w:w="9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0,128</w:t>
            </w:r>
          </w:p>
        </w:tc>
        <w:tc>
          <w:tcPr>
            <w:tcW w:w="9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0,128</w:t>
            </w:r>
          </w:p>
        </w:tc>
        <w:tc>
          <w:tcPr>
            <w:tcW w:w="9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0,124</w:t>
            </w:r>
          </w:p>
        </w:tc>
        <w:tc>
          <w:tcPr>
            <w:tcW w:w="10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0,124</w:t>
            </w:r>
          </w:p>
        </w:tc>
        <w:tc>
          <w:tcPr>
            <w:tcW w:w="12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0,124</w:t>
            </w:r>
          </w:p>
        </w:tc>
        <w:tc>
          <w:tcPr>
            <w:tcW w:w="121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0,124</w:t>
            </w:r>
          </w:p>
        </w:tc>
      </w:tr>
      <w:tr>
        <w:trPr>
          <w:cantSplit w:val="true"/>
        </w:trPr>
        <w:tc>
          <w:tcPr>
            <w:tcW w:w="7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rPr>
              <w:t>4.2.</w:t>
            </w:r>
          </w:p>
        </w:tc>
        <w:tc>
          <w:tcPr>
            <w:tcW w:w="40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sz w:val="20"/>
                <w:szCs w:val="20"/>
                <w:lang w:eastAsia="ru-RU"/>
              </w:rPr>
            </w:pPr>
            <w:r>
              <w:rPr>
                <w:sz w:val="20"/>
                <w:szCs w:val="20"/>
                <w:lang w:eastAsia="ru-RU"/>
              </w:rPr>
              <w:t>Котельная № 2, пгт.Октябрьское, ул.Пионерская, 17б</w:t>
            </w:r>
          </w:p>
        </w:tc>
        <w:tc>
          <w:tcPr>
            <w:tcW w:w="14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Гкал/м.кв</w:t>
            </w:r>
          </w:p>
        </w:tc>
        <w:tc>
          <w:tcPr>
            <w:tcW w:w="97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0,206</w:t>
            </w:r>
          </w:p>
        </w:tc>
        <w:tc>
          <w:tcPr>
            <w:tcW w:w="94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c>
          <w:tcPr>
            <w:tcW w:w="9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c>
          <w:tcPr>
            <w:tcW w:w="9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c>
          <w:tcPr>
            <w:tcW w:w="9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c>
          <w:tcPr>
            <w:tcW w:w="10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c>
          <w:tcPr>
            <w:tcW w:w="12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c>
          <w:tcPr>
            <w:tcW w:w="121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r>
      <w:tr>
        <w:trPr>
          <w:cantSplit w:val="true"/>
        </w:trPr>
        <w:tc>
          <w:tcPr>
            <w:tcW w:w="7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rPr>
              <w:t>4.3.</w:t>
            </w:r>
          </w:p>
        </w:tc>
        <w:tc>
          <w:tcPr>
            <w:tcW w:w="40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sz w:val="20"/>
                <w:szCs w:val="20"/>
                <w:lang w:eastAsia="ru-RU"/>
              </w:rPr>
            </w:pPr>
            <w:r>
              <w:rPr>
                <w:sz w:val="20"/>
                <w:szCs w:val="20"/>
                <w:lang w:eastAsia="ru-RU"/>
              </w:rPr>
              <w:t>Котельная № 3, пгт.Октябрьское, ул.Чапаева, 6б</w:t>
            </w:r>
          </w:p>
        </w:tc>
        <w:tc>
          <w:tcPr>
            <w:tcW w:w="14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Гкал/м.кв</w:t>
            </w:r>
          </w:p>
        </w:tc>
        <w:tc>
          <w:tcPr>
            <w:tcW w:w="97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0,117</w:t>
            </w:r>
          </w:p>
        </w:tc>
        <w:tc>
          <w:tcPr>
            <w:tcW w:w="94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0,117</w:t>
            </w:r>
          </w:p>
        </w:tc>
        <w:tc>
          <w:tcPr>
            <w:tcW w:w="9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0,117</w:t>
            </w:r>
          </w:p>
        </w:tc>
        <w:tc>
          <w:tcPr>
            <w:tcW w:w="9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0,117</w:t>
            </w:r>
          </w:p>
        </w:tc>
        <w:tc>
          <w:tcPr>
            <w:tcW w:w="9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c>
          <w:tcPr>
            <w:tcW w:w="10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c>
          <w:tcPr>
            <w:tcW w:w="12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c>
          <w:tcPr>
            <w:tcW w:w="121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r>
      <w:tr>
        <w:trPr>
          <w:cantSplit w:val="true"/>
        </w:trPr>
        <w:tc>
          <w:tcPr>
            <w:tcW w:w="7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rPr>
              <w:t>4.4.</w:t>
            </w:r>
          </w:p>
        </w:tc>
        <w:tc>
          <w:tcPr>
            <w:tcW w:w="40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sz w:val="20"/>
                <w:szCs w:val="20"/>
                <w:lang w:eastAsia="ru-RU"/>
              </w:rPr>
            </w:pPr>
            <w:r>
              <w:rPr>
                <w:sz w:val="20"/>
                <w:szCs w:val="20"/>
                <w:lang w:eastAsia="ru-RU"/>
              </w:rPr>
              <w:t>Котельная № 6, пгт.Октябрьское, ул.Дзержинского, 2б</w:t>
            </w:r>
          </w:p>
        </w:tc>
        <w:tc>
          <w:tcPr>
            <w:tcW w:w="14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Гкал/м.кв</w:t>
            </w:r>
          </w:p>
        </w:tc>
        <w:tc>
          <w:tcPr>
            <w:tcW w:w="97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0,282</w:t>
            </w:r>
          </w:p>
        </w:tc>
        <w:tc>
          <w:tcPr>
            <w:tcW w:w="94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c>
          <w:tcPr>
            <w:tcW w:w="9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c>
          <w:tcPr>
            <w:tcW w:w="9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c>
          <w:tcPr>
            <w:tcW w:w="9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c>
          <w:tcPr>
            <w:tcW w:w="10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c>
          <w:tcPr>
            <w:tcW w:w="12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c>
          <w:tcPr>
            <w:tcW w:w="121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r>
      <w:tr>
        <w:trPr>
          <w:cantSplit w:val="true"/>
        </w:trPr>
        <w:tc>
          <w:tcPr>
            <w:tcW w:w="7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rPr>
              <w:t>4.5.</w:t>
            </w:r>
          </w:p>
        </w:tc>
        <w:tc>
          <w:tcPr>
            <w:tcW w:w="40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sz w:val="20"/>
                <w:szCs w:val="20"/>
                <w:lang w:eastAsia="ru-RU"/>
              </w:rPr>
            </w:pPr>
            <w:r>
              <w:rPr>
                <w:sz w:val="20"/>
                <w:szCs w:val="20"/>
                <w:lang w:eastAsia="ru-RU"/>
              </w:rPr>
              <w:t>Котельная № 7, пгт.Октябрьское, ул.Медицинская, 3Б</w:t>
            </w:r>
          </w:p>
        </w:tc>
        <w:tc>
          <w:tcPr>
            <w:tcW w:w="14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Гкал/м.кв</w:t>
            </w:r>
          </w:p>
        </w:tc>
        <w:tc>
          <w:tcPr>
            <w:tcW w:w="97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0,245</w:t>
            </w:r>
          </w:p>
        </w:tc>
        <w:tc>
          <w:tcPr>
            <w:tcW w:w="94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c>
          <w:tcPr>
            <w:tcW w:w="9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c>
          <w:tcPr>
            <w:tcW w:w="9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c>
          <w:tcPr>
            <w:tcW w:w="9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c>
          <w:tcPr>
            <w:tcW w:w="10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c>
          <w:tcPr>
            <w:tcW w:w="12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c>
          <w:tcPr>
            <w:tcW w:w="121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r>
      <w:tr>
        <w:trPr>
          <w:cantSplit w:val="true"/>
        </w:trPr>
        <w:tc>
          <w:tcPr>
            <w:tcW w:w="7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rPr>
              <w:t>4.6.</w:t>
            </w:r>
          </w:p>
        </w:tc>
        <w:tc>
          <w:tcPr>
            <w:tcW w:w="40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sz w:val="20"/>
                <w:szCs w:val="20"/>
                <w:lang w:eastAsia="ru-RU"/>
              </w:rPr>
            </w:pPr>
            <w:r>
              <w:rPr>
                <w:sz w:val="20"/>
                <w:szCs w:val="20"/>
                <w:lang w:eastAsia="ru-RU"/>
              </w:rPr>
              <w:t>Котельная № 12, пгт.Октябрьское, ул.Медицинская, 3к</w:t>
            </w:r>
          </w:p>
        </w:tc>
        <w:tc>
          <w:tcPr>
            <w:tcW w:w="14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Гкал/м.кв</w:t>
            </w:r>
          </w:p>
        </w:tc>
        <w:tc>
          <w:tcPr>
            <w:tcW w:w="97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0,034</w:t>
            </w:r>
          </w:p>
        </w:tc>
        <w:tc>
          <w:tcPr>
            <w:tcW w:w="94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0,087</w:t>
            </w:r>
          </w:p>
        </w:tc>
        <w:tc>
          <w:tcPr>
            <w:tcW w:w="9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0,087</w:t>
            </w:r>
          </w:p>
        </w:tc>
        <w:tc>
          <w:tcPr>
            <w:tcW w:w="9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0,087</w:t>
            </w:r>
          </w:p>
        </w:tc>
        <w:tc>
          <w:tcPr>
            <w:tcW w:w="9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0,087</w:t>
            </w:r>
          </w:p>
        </w:tc>
        <w:tc>
          <w:tcPr>
            <w:tcW w:w="10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0,087</w:t>
            </w:r>
          </w:p>
        </w:tc>
        <w:tc>
          <w:tcPr>
            <w:tcW w:w="12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0,087</w:t>
            </w:r>
          </w:p>
        </w:tc>
        <w:tc>
          <w:tcPr>
            <w:tcW w:w="121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0,087</w:t>
            </w:r>
          </w:p>
        </w:tc>
      </w:tr>
      <w:tr>
        <w:trPr>
          <w:cantSplit w:val="true"/>
        </w:trPr>
        <w:tc>
          <w:tcPr>
            <w:tcW w:w="7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rPr>
              <w:t>4.7.</w:t>
            </w:r>
          </w:p>
        </w:tc>
        <w:tc>
          <w:tcPr>
            <w:tcW w:w="40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sz w:val="20"/>
                <w:szCs w:val="20"/>
                <w:lang w:eastAsia="ru-RU"/>
              </w:rPr>
            </w:pPr>
            <w:r>
              <w:rPr>
                <w:sz w:val="20"/>
                <w:szCs w:val="20"/>
                <w:lang w:eastAsia="ru-RU"/>
              </w:rPr>
              <w:t>Котельная № 8, пгт.Октябрьское, ул.50 лет, 38А</w:t>
            </w:r>
          </w:p>
        </w:tc>
        <w:tc>
          <w:tcPr>
            <w:tcW w:w="14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Гкал/м.кв</w:t>
            </w:r>
          </w:p>
        </w:tc>
        <w:tc>
          <w:tcPr>
            <w:tcW w:w="97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0,073</w:t>
            </w:r>
          </w:p>
        </w:tc>
        <w:tc>
          <w:tcPr>
            <w:tcW w:w="94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0,073</w:t>
            </w:r>
          </w:p>
        </w:tc>
        <w:tc>
          <w:tcPr>
            <w:tcW w:w="9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c>
          <w:tcPr>
            <w:tcW w:w="9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c>
          <w:tcPr>
            <w:tcW w:w="9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c>
          <w:tcPr>
            <w:tcW w:w="10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c>
          <w:tcPr>
            <w:tcW w:w="12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c>
          <w:tcPr>
            <w:tcW w:w="121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r>
      <w:tr>
        <w:trPr>
          <w:cantSplit w:val="true"/>
        </w:trPr>
        <w:tc>
          <w:tcPr>
            <w:tcW w:w="7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rPr>
              <w:t>4.8.</w:t>
            </w:r>
          </w:p>
        </w:tc>
        <w:tc>
          <w:tcPr>
            <w:tcW w:w="40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sz w:val="20"/>
                <w:szCs w:val="20"/>
                <w:lang w:eastAsia="ru-RU"/>
              </w:rPr>
            </w:pPr>
            <w:r>
              <w:rPr>
                <w:sz w:val="20"/>
                <w:szCs w:val="20"/>
                <w:lang w:eastAsia="ru-RU"/>
              </w:rPr>
              <w:t>Перспективная котельная, пгт.Октябрьское, ул.Дзержинского, 14</w:t>
            </w:r>
          </w:p>
        </w:tc>
        <w:tc>
          <w:tcPr>
            <w:tcW w:w="14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Гкал/м.кв</w:t>
            </w:r>
          </w:p>
        </w:tc>
        <w:tc>
          <w:tcPr>
            <w:tcW w:w="97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c>
          <w:tcPr>
            <w:tcW w:w="94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0,229</w:t>
            </w:r>
          </w:p>
        </w:tc>
        <w:tc>
          <w:tcPr>
            <w:tcW w:w="9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0,229</w:t>
            </w:r>
          </w:p>
        </w:tc>
        <w:tc>
          <w:tcPr>
            <w:tcW w:w="9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0,229</w:t>
            </w:r>
          </w:p>
        </w:tc>
        <w:tc>
          <w:tcPr>
            <w:tcW w:w="9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0,229</w:t>
            </w:r>
          </w:p>
        </w:tc>
        <w:tc>
          <w:tcPr>
            <w:tcW w:w="10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0,229</w:t>
            </w:r>
          </w:p>
        </w:tc>
        <w:tc>
          <w:tcPr>
            <w:tcW w:w="12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0,229</w:t>
            </w:r>
          </w:p>
        </w:tc>
        <w:tc>
          <w:tcPr>
            <w:tcW w:w="121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0,229</w:t>
            </w:r>
          </w:p>
        </w:tc>
      </w:tr>
      <w:tr>
        <w:trPr>
          <w:cantSplit w:val="true"/>
        </w:trPr>
        <w:tc>
          <w:tcPr>
            <w:tcW w:w="7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rPr>
              <w:t>5</w:t>
            </w:r>
          </w:p>
        </w:tc>
        <w:tc>
          <w:tcPr>
            <w:tcW w:w="40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sz w:val="20"/>
                <w:szCs w:val="20"/>
                <w:lang w:eastAsia="ru-RU"/>
              </w:rPr>
            </w:pPr>
            <w:r>
              <w:rPr>
                <w:sz w:val="20"/>
                <w:szCs w:val="20"/>
                <w:lang w:eastAsia="ru-RU"/>
              </w:rPr>
              <w:t>Отношение величины потерь теплоносителя к материальной характеристике тепловой сети</w:t>
            </w:r>
          </w:p>
        </w:tc>
        <w:tc>
          <w:tcPr>
            <w:tcW w:w="14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w:t>
            </w:r>
          </w:p>
        </w:tc>
        <w:tc>
          <w:tcPr>
            <w:tcW w:w="97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w:t>
            </w:r>
          </w:p>
        </w:tc>
        <w:tc>
          <w:tcPr>
            <w:tcW w:w="94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w:t>
            </w:r>
          </w:p>
        </w:tc>
        <w:tc>
          <w:tcPr>
            <w:tcW w:w="9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w:t>
            </w:r>
          </w:p>
        </w:tc>
        <w:tc>
          <w:tcPr>
            <w:tcW w:w="9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w:t>
            </w:r>
          </w:p>
        </w:tc>
        <w:tc>
          <w:tcPr>
            <w:tcW w:w="9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w:t>
            </w:r>
          </w:p>
        </w:tc>
        <w:tc>
          <w:tcPr>
            <w:tcW w:w="10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w:t>
            </w:r>
          </w:p>
        </w:tc>
        <w:tc>
          <w:tcPr>
            <w:tcW w:w="12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w:t>
            </w:r>
          </w:p>
        </w:tc>
        <w:tc>
          <w:tcPr>
            <w:tcW w:w="121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w:t>
            </w:r>
          </w:p>
        </w:tc>
      </w:tr>
      <w:tr>
        <w:trPr>
          <w:cantSplit w:val="true"/>
        </w:trPr>
        <w:tc>
          <w:tcPr>
            <w:tcW w:w="7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rPr>
              <w:t>5.1.</w:t>
            </w:r>
          </w:p>
        </w:tc>
        <w:tc>
          <w:tcPr>
            <w:tcW w:w="40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sz w:val="20"/>
                <w:szCs w:val="20"/>
                <w:lang w:eastAsia="ru-RU"/>
              </w:rPr>
            </w:pPr>
            <w:r>
              <w:rPr>
                <w:sz w:val="20"/>
                <w:szCs w:val="20"/>
                <w:lang w:eastAsia="ru-RU"/>
              </w:rPr>
              <w:t>Котельная № 1, пгт.Октябрьское, ул.Сенькина, 46б</w:t>
            </w:r>
          </w:p>
        </w:tc>
        <w:tc>
          <w:tcPr>
            <w:tcW w:w="14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куб.м/м.кв</w:t>
            </w:r>
          </w:p>
        </w:tc>
        <w:tc>
          <w:tcPr>
            <w:tcW w:w="97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0,001</w:t>
            </w:r>
          </w:p>
        </w:tc>
        <w:tc>
          <w:tcPr>
            <w:tcW w:w="94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0,001</w:t>
            </w:r>
          </w:p>
        </w:tc>
        <w:tc>
          <w:tcPr>
            <w:tcW w:w="9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0,001</w:t>
            </w:r>
          </w:p>
        </w:tc>
        <w:tc>
          <w:tcPr>
            <w:tcW w:w="9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0,001</w:t>
            </w:r>
          </w:p>
        </w:tc>
        <w:tc>
          <w:tcPr>
            <w:tcW w:w="9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0,001</w:t>
            </w:r>
          </w:p>
        </w:tc>
        <w:tc>
          <w:tcPr>
            <w:tcW w:w="10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0,001</w:t>
            </w:r>
          </w:p>
        </w:tc>
        <w:tc>
          <w:tcPr>
            <w:tcW w:w="12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0,001</w:t>
            </w:r>
          </w:p>
        </w:tc>
        <w:tc>
          <w:tcPr>
            <w:tcW w:w="121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0,001</w:t>
            </w:r>
          </w:p>
        </w:tc>
      </w:tr>
      <w:tr>
        <w:trPr>
          <w:cantSplit w:val="true"/>
        </w:trPr>
        <w:tc>
          <w:tcPr>
            <w:tcW w:w="7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rPr>
              <w:t>5.2.</w:t>
            </w:r>
          </w:p>
        </w:tc>
        <w:tc>
          <w:tcPr>
            <w:tcW w:w="40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sz w:val="20"/>
                <w:szCs w:val="20"/>
                <w:lang w:eastAsia="ru-RU"/>
              </w:rPr>
            </w:pPr>
            <w:r>
              <w:rPr>
                <w:sz w:val="20"/>
                <w:szCs w:val="20"/>
                <w:lang w:eastAsia="ru-RU"/>
              </w:rPr>
              <w:t>Котельная № 2, пгт.Октябрьское, ул.Пионерская, 17б</w:t>
            </w:r>
          </w:p>
        </w:tc>
        <w:tc>
          <w:tcPr>
            <w:tcW w:w="14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куб.м/м.кв</w:t>
            </w:r>
          </w:p>
        </w:tc>
        <w:tc>
          <w:tcPr>
            <w:tcW w:w="97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0,001</w:t>
            </w:r>
          </w:p>
        </w:tc>
        <w:tc>
          <w:tcPr>
            <w:tcW w:w="94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c>
          <w:tcPr>
            <w:tcW w:w="9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c>
          <w:tcPr>
            <w:tcW w:w="9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c>
          <w:tcPr>
            <w:tcW w:w="9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c>
          <w:tcPr>
            <w:tcW w:w="10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c>
          <w:tcPr>
            <w:tcW w:w="12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c>
          <w:tcPr>
            <w:tcW w:w="121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r>
      <w:tr>
        <w:trPr>
          <w:cantSplit w:val="true"/>
        </w:trPr>
        <w:tc>
          <w:tcPr>
            <w:tcW w:w="7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rPr>
              <w:t>5.3.</w:t>
            </w:r>
          </w:p>
        </w:tc>
        <w:tc>
          <w:tcPr>
            <w:tcW w:w="40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sz w:val="20"/>
                <w:szCs w:val="20"/>
                <w:lang w:eastAsia="ru-RU"/>
              </w:rPr>
            </w:pPr>
            <w:r>
              <w:rPr>
                <w:sz w:val="20"/>
                <w:szCs w:val="20"/>
                <w:lang w:eastAsia="ru-RU"/>
              </w:rPr>
              <w:t>Котельная № 3, пгт.Октябрьское, ул.Чапаева, 6б</w:t>
            </w:r>
          </w:p>
        </w:tc>
        <w:tc>
          <w:tcPr>
            <w:tcW w:w="14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куб.м/м.кв</w:t>
            </w:r>
          </w:p>
        </w:tc>
        <w:tc>
          <w:tcPr>
            <w:tcW w:w="97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0,001</w:t>
            </w:r>
          </w:p>
        </w:tc>
        <w:tc>
          <w:tcPr>
            <w:tcW w:w="94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0,001</w:t>
            </w:r>
          </w:p>
        </w:tc>
        <w:tc>
          <w:tcPr>
            <w:tcW w:w="9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0,001</w:t>
            </w:r>
          </w:p>
        </w:tc>
        <w:tc>
          <w:tcPr>
            <w:tcW w:w="9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0,001</w:t>
            </w:r>
          </w:p>
        </w:tc>
        <w:tc>
          <w:tcPr>
            <w:tcW w:w="9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c>
          <w:tcPr>
            <w:tcW w:w="10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c>
          <w:tcPr>
            <w:tcW w:w="12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c>
          <w:tcPr>
            <w:tcW w:w="121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r>
      <w:tr>
        <w:trPr>
          <w:cantSplit w:val="true"/>
        </w:trPr>
        <w:tc>
          <w:tcPr>
            <w:tcW w:w="7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rPr>
              <w:t>5.4.</w:t>
            </w:r>
          </w:p>
        </w:tc>
        <w:tc>
          <w:tcPr>
            <w:tcW w:w="40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sz w:val="20"/>
                <w:szCs w:val="20"/>
                <w:lang w:eastAsia="ru-RU"/>
              </w:rPr>
            </w:pPr>
            <w:r>
              <w:rPr>
                <w:sz w:val="20"/>
                <w:szCs w:val="20"/>
                <w:lang w:eastAsia="ru-RU"/>
              </w:rPr>
              <w:t>Котельная № 6, пгт.Октябрьское, ул.Дзержинского, 2б</w:t>
            </w:r>
          </w:p>
        </w:tc>
        <w:tc>
          <w:tcPr>
            <w:tcW w:w="14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куб.м/м.кв</w:t>
            </w:r>
          </w:p>
        </w:tc>
        <w:tc>
          <w:tcPr>
            <w:tcW w:w="97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0,002</w:t>
            </w:r>
          </w:p>
        </w:tc>
        <w:tc>
          <w:tcPr>
            <w:tcW w:w="94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c>
          <w:tcPr>
            <w:tcW w:w="9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c>
          <w:tcPr>
            <w:tcW w:w="9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c>
          <w:tcPr>
            <w:tcW w:w="9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c>
          <w:tcPr>
            <w:tcW w:w="10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c>
          <w:tcPr>
            <w:tcW w:w="12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c>
          <w:tcPr>
            <w:tcW w:w="121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r>
      <w:tr>
        <w:trPr>
          <w:cantSplit w:val="true"/>
        </w:trPr>
        <w:tc>
          <w:tcPr>
            <w:tcW w:w="7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rPr>
              <w:t>5.5.</w:t>
            </w:r>
          </w:p>
        </w:tc>
        <w:tc>
          <w:tcPr>
            <w:tcW w:w="40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sz w:val="20"/>
                <w:szCs w:val="20"/>
                <w:lang w:eastAsia="ru-RU"/>
              </w:rPr>
            </w:pPr>
            <w:r>
              <w:rPr>
                <w:sz w:val="20"/>
                <w:szCs w:val="20"/>
                <w:lang w:eastAsia="ru-RU"/>
              </w:rPr>
              <w:t>Котельная № 7, пгт.Октябрьское, ул.Медицинская, 3Б</w:t>
            </w:r>
          </w:p>
        </w:tc>
        <w:tc>
          <w:tcPr>
            <w:tcW w:w="14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куб.м/м.кв</w:t>
            </w:r>
          </w:p>
        </w:tc>
        <w:tc>
          <w:tcPr>
            <w:tcW w:w="97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0,000</w:t>
            </w:r>
          </w:p>
        </w:tc>
        <w:tc>
          <w:tcPr>
            <w:tcW w:w="94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c>
          <w:tcPr>
            <w:tcW w:w="9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c>
          <w:tcPr>
            <w:tcW w:w="9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c>
          <w:tcPr>
            <w:tcW w:w="9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c>
          <w:tcPr>
            <w:tcW w:w="10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c>
          <w:tcPr>
            <w:tcW w:w="12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c>
          <w:tcPr>
            <w:tcW w:w="121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r>
      <w:tr>
        <w:trPr>
          <w:cantSplit w:val="true"/>
        </w:trPr>
        <w:tc>
          <w:tcPr>
            <w:tcW w:w="7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rPr>
              <w:t>5.6.</w:t>
            </w:r>
          </w:p>
        </w:tc>
        <w:tc>
          <w:tcPr>
            <w:tcW w:w="40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sz w:val="20"/>
                <w:szCs w:val="20"/>
                <w:lang w:eastAsia="ru-RU"/>
              </w:rPr>
            </w:pPr>
            <w:r>
              <w:rPr>
                <w:sz w:val="20"/>
                <w:szCs w:val="20"/>
                <w:lang w:eastAsia="ru-RU"/>
              </w:rPr>
              <w:t>Котельная № 12, пгт.Октябрьское, ул.Медицинская, 3к</w:t>
            </w:r>
          </w:p>
        </w:tc>
        <w:tc>
          <w:tcPr>
            <w:tcW w:w="14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куб.м/м.кв</w:t>
            </w:r>
          </w:p>
        </w:tc>
        <w:tc>
          <w:tcPr>
            <w:tcW w:w="97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0,000</w:t>
            </w:r>
          </w:p>
        </w:tc>
        <w:tc>
          <w:tcPr>
            <w:tcW w:w="94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0,000</w:t>
            </w:r>
          </w:p>
        </w:tc>
        <w:tc>
          <w:tcPr>
            <w:tcW w:w="9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0,000</w:t>
            </w:r>
          </w:p>
        </w:tc>
        <w:tc>
          <w:tcPr>
            <w:tcW w:w="9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0,000</w:t>
            </w:r>
          </w:p>
        </w:tc>
        <w:tc>
          <w:tcPr>
            <w:tcW w:w="9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0,000</w:t>
            </w:r>
          </w:p>
        </w:tc>
        <w:tc>
          <w:tcPr>
            <w:tcW w:w="10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0,000</w:t>
            </w:r>
          </w:p>
        </w:tc>
        <w:tc>
          <w:tcPr>
            <w:tcW w:w="12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0,000</w:t>
            </w:r>
          </w:p>
        </w:tc>
        <w:tc>
          <w:tcPr>
            <w:tcW w:w="121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0,000</w:t>
            </w:r>
          </w:p>
        </w:tc>
      </w:tr>
      <w:tr>
        <w:trPr>
          <w:cantSplit w:val="true"/>
        </w:trPr>
        <w:tc>
          <w:tcPr>
            <w:tcW w:w="7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rPr>
              <w:t>5.7.</w:t>
            </w:r>
          </w:p>
        </w:tc>
        <w:tc>
          <w:tcPr>
            <w:tcW w:w="40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sz w:val="20"/>
                <w:szCs w:val="20"/>
                <w:lang w:eastAsia="ru-RU"/>
              </w:rPr>
            </w:pPr>
            <w:r>
              <w:rPr>
                <w:sz w:val="20"/>
                <w:szCs w:val="20"/>
                <w:lang w:eastAsia="ru-RU"/>
              </w:rPr>
              <w:t>Котельная № 8, пгт.Октябрьское, ул.50 лет, 38А</w:t>
            </w:r>
          </w:p>
        </w:tc>
        <w:tc>
          <w:tcPr>
            <w:tcW w:w="14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куб.м/м.кв</w:t>
            </w:r>
          </w:p>
        </w:tc>
        <w:tc>
          <w:tcPr>
            <w:tcW w:w="97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0,000</w:t>
            </w:r>
          </w:p>
        </w:tc>
        <w:tc>
          <w:tcPr>
            <w:tcW w:w="94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0,000</w:t>
            </w:r>
          </w:p>
        </w:tc>
        <w:tc>
          <w:tcPr>
            <w:tcW w:w="9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c>
          <w:tcPr>
            <w:tcW w:w="9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c>
          <w:tcPr>
            <w:tcW w:w="9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c>
          <w:tcPr>
            <w:tcW w:w="10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c>
          <w:tcPr>
            <w:tcW w:w="12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c>
          <w:tcPr>
            <w:tcW w:w="121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r>
      <w:tr>
        <w:trPr>
          <w:cantSplit w:val="true"/>
        </w:trPr>
        <w:tc>
          <w:tcPr>
            <w:tcW w:w="7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rPr>
              <w:t>5.8.</w:t>
            </w:r>
          </w:p>
        </w:tc>
        <w:tc>
          <w:tcPr>
            <w:tcW w:w="40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sz w:val="20"/>
                <w:szCs w:val="20"/>
                <w:lang w:eastAsia="ru-RU"/>
              </w:rPr>
            </w:pPr>
            <w:r>
              <w:rPr>
                <w:sz w:val="20"/>
                <w:szCs w:val="20"/>
                <w:lang w:eastAsia="ru-RU"/>
              </w:rPr>
              <w:t>Перспективная котельная, пгт.Октябрьское, ул.Дзержинского, 14</w:t>
            </w:r>
          </w:p>
        </w:tc>
        <w:tc>
          <w:tcPr>
            <w:tcW w:w="14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куб.м/м.кв</w:t>
            </w:r>
          </w:p>
        </w:tc>
        <w:tc>
          <w:tcPr>
            <w:tcW w:w="97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c>
          <w:tcPr>
            <w:tcW w:w="94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0,002</w:t>
            </w:r>
          </w:p>
        </w:tc>
        <w:tc>
          <w:tcPr>
            <w:tcW w:w="9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0,002</w:t>
            </w:r>
          </w:p>
        </w:tc>
        <w:tc>
          <w:tcPr>
            <w:tcW w:w="9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0,002</w:t>
            </w:r>
          </w:p>
        </w:tc>
        <w:tc>
          <w:tcPr>
            <w:tcW w:w="9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0,002</w:t>
            </w:r>
          </w:p>
        </w:tc>
        <w:tc>
          <w:tcPr>
            <w:tcW w:w="10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0,002</w:t>
            </w:r>
          </w:p>
        </w:tc>
        <w:tc>
          <w:tcPr>
            <w:tcW w:w="12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0,002</w:t>
            </w:r>
          </w:p>
        </w:tc>
        <w:tc>
          <w:tcPr>
            <w:tcW w:w="121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0,002</w:t>
            </w:r>
          </w:p>
        </w:tc>
      </w:tr>
      <w:tr>
        <w:trPr>
          <w:cantSplit w:val="true"/>
        </w:trPr>
        <w:tc>
          <w:tcPr>
            <w:tcW w:w="7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rPr>
              <w:t>6</w:t>
            </w:r>
          </w:p>
        </w:tc>
        <w:tc>
          <w:tcPr>
            <w:tcW w:w="40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sz w:val="20"/>
                <w:szCs w:val="20"/>
                <w:lang w:eastAsia="ru-RU"/>
              </w:rPr>
            </w:pPr>
            <w:r>
              <w:rPr>
                <w:sz w:val="20"/>
                <w:szCs w:val="20"/>
                <w:lang w:eastAsia="ru-RU"/>
              </w:rPr>
              <w:t>Коэффициент использования установленной тепловой мощности</w:t>
            </w:r>
          </w:p>
        </w:tc>
        <w:tc>
          <w:tcPr>
            <w:tcW w:w="14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w:t>
            </w:r>
          </w:p>
        </w:tc>
        <w:tc>
          <w:tcPr>
            <w:tcW w:w="97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w:t>
            </w:r>
          </w:p>
        </w:tc>
        <w:tc>
          <w:tcPr>
            <w:tcW w:w="94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w:t>
            </w:r>
          </w:p>
        </w:tc>
        <w:tc>
          <w:tcPr>
            <w:tcW w:w="9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w:t>
            </w:r>
          </w:p>
        </w:tc>
        <w:tc>
          <w:tcPr>
            <w:tcW w:w="9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w:t>
            </w:r>
          </w:p>
        </w:tc>
        <w:tc>
          <w:tcPr>
            <w:tcW w:w="9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w:t>
            </w:r>
          </w:p>
        </w:tc>
        <w:tc>
          <w:tcPr>
            <w:tcW w:w="10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w:t>
            </w:r>
          </w:p>
        </w:tc>
        <w:tc>
          <w:tcPr>
            <w:tcW w:w="12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w:t>
            </w:r>
          </w:p>
        </w:tc>
        <w:tc>
          <w:tcPr>
            <w:tcW w:w="121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w:t>
            </w:r>
          </w:p>
        </w:tc>
      </w:tr>
      <w:tr>
        <w:trPr>
          <w:cantSplit w:val="true"/>
        </w:trPr>
        <w:tc>
          <w:tcPr>
            <w:tcW w:w="7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rPr>
              <w:t>6.1.</w:t>
            </w:r>
          </w:p>
        </w:tc>
        <w:tc>
          <w:tcPr>
            <w:tcW w:w="40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sz w:val="20"/>
                <w:szCs w:val="20"/>
                <w:lang w:eastAsia="ru-RU"/>
              </w:rPr>
            </w:pPr>
            <w:r>
              <w:rPr>
                <w:sz w:val="20"/>
                <w:szCs w:val="20"/>
                <w:lang w:eastAsia="ru-RU"/>
              </w:rPr>
              <w:t>Котельная № 1, пгт.Октябрьское, ул.Сенькина, 46б</w:t>
            </w:r>
          </w:p>
        </w:tc>
        <w:tc>
          <w:tcPr>
            <w:tcW w:w="14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c>
          <w:tcPr>
            <w:tcW w:w="97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81,01</w:t>
            </w:r>
          </w:p>
        </w:tc>
        <w:tc>
          <w:tcPr>
            <w:tcW w:w="94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81,01</w:t>
            </w:r>
          </w:p>
        </w:tc>
        <w:tc>
          <w:tcPr>
            <w:tcW w:w="9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81,01</w:t>
            </w:r>
          </w:p>
        </w:tc>
        <w:tc>
          <w:tcPr>
            <w:tcW w:w="9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81,01</w:t>
            </w:r>
          </w:p>
        </w:tc>
        <w:tc>
          <w:tcPr>
            <w:tcW w:w="9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79,82</w:t>
            </w:r>
          </w:p>
        </w:tc>
        <w:tc>
          <w:tcPr>
            <w:tcW w:w="10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79,82</w:t>
            </w:r>
          </w:p>
        </w:tc>
        <w:tc>
          <w:tcPr>
            <w:tcW w:w="12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79,82</w:t>
            </w:r>
          </w:p>
        </w:tc>
        <w:tc>
          <w:tcPr>
            <w:tcW w:w="121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79,82</w:t>
            </w:r>
          </w:p>
        </w:tc>
      </w:tr>
      <w:tr>
        <w:trPr>
          <w:cantSplit w:val="true"/>
        </w:trPr>
        <w:tc>
          <w:tcPr>
            <w:tcW w:w="7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rPr>
              <w:t>6.2.</w:t>
            </w:r>
          </w:p>
        </w:tc>
        <w:tc>
          <w:tcPr>
            <w:tcW w:w="40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sz w:val="20"/>
                <w:szCs w:val="20"/>
                <w:lang w:eastAsia="ru-RU"/>
              </w:rPr>
            </w:pPr>
            <w:r>
              <w:rPr>
                <w:sz w:val="20"/>
                <w:szCs w:val="20"/>
                <w:lang w:eastAsia="ru-RU"/>
              </w:rPr>
              <w:t>Котельная № 2, пгт.Октябрьское, ул.Пионерская, 17б</w:t>
            </w:r>
          </w:p>
        </w:tc>
        <w:tc>
          <w:tcPr>
            <w:tcW w:w="14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c>
          <w:tcPr>
            <w:tcW w:w="97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79,78</w:t>
            </w:r>
          </w:p>
        </w:tc>
        <w:tc>
          <w:tcPr>
            <w:tcW w:w="94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c>
          <w:tcPr>
            <w:tcW w:w="9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c>
          <w:tcPr>
            <w:tcW w:w="9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c>
          <w:tcPr>
            <w:tcW w:w="9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c>
          <w:tcPr>
            <w:tcW w:w="10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c>
          <w:tcPr>
            <w:tcW w:w="12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c>
          <w:tcPr>
            <w:tcW w:w="121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r>
      <w:tr>
        <w:trPr>
          <w:cantSplit w:val="true"/>
        </w:trPr>
        <w:tc>
          <w:tcPr>
            <w:tcW w:w="7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rPr>
              <w:t>6.3.</w:t>
            </w:r>
          </w:p>
        </w:tc>
        <w:tc>
          <w:tcPr>
            <w:tcW w:w="40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sz w:val="20"/>
                <w:szCs w:val="20"/>
                <w:lang w:eastAsia="ru-RU"/>
              </w:rPr>
            </w:pPr>
            <w:r>
              <w:rPr>
                <w:sz w:val="20"/>
                <w:szCs w:val="20"/>
                <w:lang w:eastAsia="ru-RU"/>
              </w:rPr>
              <w:t>Котельная № 3, пгт.Октябрьское, ул.Чапаева, 6б</w:t>
            </w:r>
          </w:p>
        </w:tc>
        <w:tc>
          <w:tcPr>
            <w:tcW w:w="14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c>
          <w:tcPr>
            <w:tcW w:w="97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98,68</w:t>
            </w:r>
          </w:p>
        </w:tc>
        <w:tc>
          <w:tcPr>
            <w:tcW w:w="94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97,93</w:t>
            </w:r>
          </w:p>
        </w:tc>
        <w:tc>
          <w:tcPr>
            <w:tcW w:w="9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97,93</w:t>
            </w:r>
          </w:p>
        </w:tc>
        <w:tc>
          <w:tcPr>
            <w:tcW w:w="9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97,93</w:t>
            </w:r>
          </w:p>
        </w:tc>
        <w:tc>
          <w:tcPr>
            <w:tcW w:w="9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c>
          <w:tcPr>
            <w:tcW w:w="10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c>
          <w:tcPr>
            <w:tcW w:w="12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c>
          <w:tcPr>
            <w:tcW w:w="121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r>
      <w:tr>
        <w:trPr>
          <w:cantSplit w:val="true"/>
        </w:trPr>
        <w:tc>
          <w:tcPr>
            <w:tcW w:w="7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rPr>
              <w:t>6.4.</w:t>
            </w:r>
          </w:p>
        </w:tc>
        <w:tc>
          <w:tcPr>
            <w:tcW w:w="40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sz w:val="20"/>
                <w:szCs w:val="20"/>
                <w:lang w:eastAsia="ru-RU"/>
              </w:rPr>
            </w:pPr>
            <w:r>
              <w:rPr>
                <w:sz w:val="20"/>
                <w:szCs w:val="20"/>
                <w:lang w:eastAsia="ru-RU"/>
              </w:rPr>
              <w:t>Котельная № 6, пгт.Октябрьское, ул.Дзержинского, 2б</w:t>
            </w:r>
          </w:p>
        </w:tc>
        <w:tc>
          <w:tcPr>
            <w:tcW w:w="14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c>
          <w:tcPr>
            <w:tcW w:w="97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60,91</w:t>
            </w:r>
          </w:p>
        </w:tc>
        <w:tc>
          <w:tcPr>
            <w:tcW w:w="94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c>
          <w:tcPr>
            <w:tcW w:w="9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c>
          <w:tcPr>
            <w:tcW w:w="9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c>
          <w:tcPr>
            <w:tcW w:w="9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c>
          <w:tcPr>
            <w:tcW w:w="10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c>
          <w:tcPr>
            <w:tcW w:w="12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c>
          <w:tcPr>
            <w:tcW w:w="121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r>
      <w:tr>
        <w:trPr>
          <w:cantSplit w:val="true"/>
        </w:trPr>
        <w:tc>
          <w:tcPr>
            <w:tcW w:w="7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rPr>
              <w:t>6.5.</w:t>
            </w:r>
          </w:p>
        </w:tc>
        <w:tc>
          <w:tcPr>
            <w:tcW w:w="40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sz w:val="20"/>
                <w:szCs w:val="20"/>
                <w:lang w:eastAsia="ru-RU"/>
              </w:rPr>
            </w:pPr>
            <w:r>
              <w:rPr>
                <w:sz w:val="20"/>
                <w:szCs w:val="20"/>
                <w:lang w:eastAsia="ru-RU"/>
              </w:rPr>
              <w:t>Котельная № 7, пгт.Октябрьское, ул.Медицинская, 3Б</w:t>
            </w:r>
          </w:p>
        </w:tc>
        <w:tc>
          <w:tcPr>
            <w:tcW w:w="14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c>
          <w:tcPr>
            <w:tcW w:w="97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17,36</w:t>
            </w:r>
          </w:p>
        </w:tc>
        <w:tc>
          <w:tcPr>
            <w:tcW w:w="94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c>
          <w:tcPr>
            <w:tcW w:w="9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c>
          <w:tcPr>
            <w:tcW w:w="9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c>
          <w:tcPr>
            <w:tcW w:w="9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c>
          <w:tcPr>
            <w:tcW w:w="10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c>
          <w:tcPr>
            <w:tcW w:w="12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c>
          <w:tcPr>
            <w:tcW w:w="121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r>
      <w:tr>
        <w:trPr>
          <w:cantSplit w:val="true"/>
        </w:trPr>
        <w:tc>
          <w:tcPr>
            <w:tcW w:w="7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rPr>
              <w:t>6.6.</w:t>
            </w:r>
          </w:p>
        </w:tc>
        <w:tc>
          <w:tcPr>
            <w:tcW w:w="40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sz w:val="20"/>
                <w:szCs w:val="20"/>
                <w:lang w:eastAsia="ru-RU"/>
              </w:rPr>
            </w:pPr>
            <w:r>
              <w:rPr>
                <w:sz w:val="20"/>
                <w:szCs w:val="20"/>
                <w:lang w:eastAsia="ru-RU"/>
              </w:rPr>
              <w:t>Котельная № 12, пгт.Октябрьское, ул.Медицинская, 3к</w:t>
            </w:r>
          </w:p>
        </w:tc>
        <w:tc>
          <w:tcPr>
            <w:tcW w:w="14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c>
          <w:tcPr>
            <w:tcW w:w="97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52,03</w:t>
            </w:r>
          </w:p>
        </w:tc>
        <w:tc>
          <w:tcPr>
            <w:tcW w:w="94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68,41</w:t>
            </w:r>
          </w:p>
        </w:tc>
        <w:tc>
          <w:tcPr>
            <w:tcW w:w="9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68,41</w:t>
            </w:r>
          </w:p>
        </w:tc>
        <w:tc>
          <w:tcPr>
            <w:tcW w:w="9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68,41</w:t>
            </w:r>
          </w:p>
        </w:tc>
        <w:tc>
          <w:tcPr>
            <w:tcW w:w="9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68,41</w:t>
            </w:r>
          </w:p>
        </w:tc>
        <w:tc>
          <w:tcPr>
            <w:tcW w:w="10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68,41</w:t>
            </w:r>
          </w:p>
        </w:tc>
        <w:tc>
          <w:tcPr>
            <w:tcW w:w="12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68,41</w:t>
            </w:r>
          </w:p>
        </w:tc>
        <w:tc>
          <w:tcPr>
            <w:tcW w:w="121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68,41</w:t>
            </w:r>
          </w:p>
        </w:tc>
      </w:tr>
      <w:tr>
        <w:trPr>
          <w:cantSplit w:val="true"/>
        </w:trPr>
        <w:tc>
          <w:tcPr>
            <w:tcW w:w="7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rPr>
              <w:t>6.7.</w:t>
            </w:r>
          </w:p>
        </w:tc>
        <w:tc>
          <w:tcPr>
            <w:tcW w:w="40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sz w:val="20"/>
                <w:szCs w:val="20"/>
                <w:lang w:eastAsia="ru-RU"/>
              </w:rPr>
            </w:pPr>
            <w:r>
              <w:rPr>
                <w:sz w:val="20"/>
                <w:szCs w:val="20"/>
                <w:lang w:eastAsia="ru-RU"/>
              </w:rPr>
              <w:t>Котельная № 8, пгт.Октябрьское, ул.50 лет, 38А</w:t>
            </w:r>
          </w:p>
        </w:tc>
        <w:tc>
          <w:tcPr>
            <w:tcW w:w="14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c>
          <w:tcPr>
            <w:tcW w:w="97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37,54</w:t>
            </w:r>
          </w:p>
        </w:tc>
        <w:tc>
          <w:tcPr>
            <w:tcW w:w="94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37,54</w:t>
            </w:r>
          </w:p>
        </w:tc>
        <w:tc>
          <w:tcPr>
            <w:tcW w:w="9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c>
          <w:tcPr>
            <w:tcW w:w="9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c>
          <w:tcPr>
            <w:tcW w:w="9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c>
          <w:tcPr>
            <w:tcW w:w="10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c>
          <w:tcPr>
            <w:tcW w:w="12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c>
          <w:tcPr>
            <w:tcW w:w="121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r>
      <w:tr>
        <w:trPr>
          <w:cantSplit w:val="true"/>
        </w:trPr>
        <w:tc>
          <w:tcPr>
            <w:tcW w:w="7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rPr>
              <w:t>6.8.</w:t>
            </w:r>
          </w:p>
        </w:tc>
        <w:tc>
          <w:tcPr>
            <w:tcW w:w="40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sz w:val="20"/>
                <w:szCs w:val="20"/>
                <w:lang w:eastAsia="ru-RU"/>
              </w:rPr>
            </w:pPr>
            <w:r>
              <w:rPr>
                <w:sz w:val="20"/>
                <w:szCs w:val="20"/>
                <w:lang w:eastAsia="ru-RU"/>
              </w:rPr>
              <w:t>Перспективная котельная, пгт.Октябрьское, ул.Дзержинского, 14</w:t>
            </w:r>
          </w:p>
        </w:tc>
        <w:tc>
          <w:tcPr>
            <w:tcW w:w="14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c>
          <w:tcPr>
            <w:tcW w:w="97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c>
          <w:tcPr>
            <w:tcW w:w="94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79,87</w:t>
            </w:r>
          </w:p>
        </w:tc>
        <w:tc>
          <w:tcPr>
            <w:tcW w:w="9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79,87</w:t>
            </w:r>
          </w:p>
        </w:tc>
        <w:tc>
          <w:tcPr>
            <w:tcW w:w="9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79,87</w:t>
            </w:r>
          </w:p>
        </w:tc>
        <w:tc>
          <w:tcPr>
            <w:tcW w:w="9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79,87</w:t>
            </w:r>
          </w:p>
        </w:tc>
        <w:tc>
          <w:tcPr>
            <w:tcW w:w="10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79,87</w:t>
            </w:r>
          </w:p>
        </w:tc>
        <w:tc>
          <w:tcPr>
            <w:tcW w:w="12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79,87</w:t>
            </w:r>
          </w:p>
        </w:tc>
        <w:tc>
          <w:tcPr>
            <w:tcW w:w="121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79,87</w:t>
            </w:r>
          </w:p>
        </w:tc>
      </w:tr>
      <w:tr>
        <w:trPr>
          <w:cantSplit w:val="true"/>
        </w:trPr>
        <w:tc>
          <w:tcPr>
            <w:tcW w:w="7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rPr>
              <w:t>7</w:t>
            </w:r>
          </w:p>
        </w:tc>
        <w:tc>
          <w:tcPr>
            <w:tcW w:w="40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sz w:val="20"/>
                <w:szCs w:val="20"/>
                <w:lang w:eastAsia="ru-RU"/>
              </w:rPr>
            </w:pPr>
            <w:r>
              <w:rPr>
                <w:sz w:val="20"/>
                <w:szCs w:val="20"/>
                <w:lang w:eastAsia="ru-RU"/>
              </w:rPr>
              <w:t>Удельная материальная характеристика тепловых сетей, приведенная к расчетной тепловой нагрузке</w:t>
            </w:r>
          </w:p>
        </w:tc>
        <w:tc>
          <w:tcPr>
            <w:tcW w:w="14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w:t>
            </w:r>
          </w:p>
        </w:tc>
        <w:tc>
          <w:tcPr>
            <w:tcW w:w="97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w:t>
            </w:r>
          </w:p>
        </w:tc>
        <w:tc>
          <w:tcPr>
            <w:tcW w:w="94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w:t>
            </w:r>
          </w:p>
        </w:tc>
        <w:tc>
          <w:tcPr>
            <w:tcW w:w="9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w:t>
            </w:r>
          </w:p>
        </w:tc>
        <w:tc>
          <w:tcPr>
            <w:tcW w:w="9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w:t>
            </w:r>
          </w:p>
        </w:tc>
        <w:tc>
          <w:tcPr>
            <w:tcW w:w="9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w:t>
            </w:r>
          </w:p>
        </w:tc>
        <w:tc>
          <w:tcPr>
            <w:tcW w:w="10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w:t>
            </w:r>
          </w:p>
        </w:tc>
        <w:tc>
          <w:tcPr>
            <w:tcW w:w="12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w:t>
            </w:r>
          </w:p>
        </w:tc>
        <w:tc>
          <w:tcPr>
            <w:tcW w:w="121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w:t>
            </w:r>
          </w:p>
        </w:tc>
      </w:tr>
      <w:tr>
        <w:trPr>
          <w:cantSplit w:val="true"/>
        </w:trPr>
        <w:tc>
          <w:tcPr>
            <w:tcW w:w="7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rPr>
              <w:t>7.1.</w:t>
            </w:r>
          </w:p>
        </w:tc>
        <w:tc>
          <w:tcPr>
            <w:tcW w:w="40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sz w:val="20"/>
                <w:szCs w:val="20"/>
                <w:lang w:eastAsia="ru-RU"/>
              </w:rPr>
            </w:pPr>
            <w:r>
              <w:rPr>
                <w:sz w:val="20"/>
                <w:szCs w:val="20"/>
                <w:lang w:eastAsia="ru-RU"/>
              </w:rPr>
              <w:t>Котельная № 1, пгт.Октябрьское, ул.Сенькина, 46б</w:t>
            </w:r>
          </w:p>
        </w:tc>
        <w:tc>
          <w:tcPr>
            <w:tcW w:w="14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Гкал/час.м.кв</w:t>
            </w:r>
          </w:p>
        </w:tc>
        <w:tc>
          <w:tcPr>
            <w:tcW w:w="97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0,00457</w:t>
            </w:r>
          </w:p>
        </w:tc>
        <w:tc>
          <w:tcPr>
            <w:tcW w:w="94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0,00457</w:t>
            </w:r>
          </w:p>
        </w:tc>
        <w:tc>
          <w:tcPr>
            <w:tcW w:w="9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0,00457</w:t>
            </w:r>
          </w:p>
        </w:tc>
        <w:tc>
          <w:tcPr>
            <w:tcW w:w="9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0,00457</w:t>
            </w:r>
          </w:p>
        </w:tc>
        <w:tc>
          <w:tcPr>
            <w:tcW w:w="9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0,00441</w:t>
            </w:r>
          </w:p>
        </w:tc>
        <w:tc>
          <w:tcPr>
            <w:tcW w:w="10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0,00441</w:t>
            </w:r>
          </w:p>
        </w:tc>
        <w:tc>
          <w:tcPr>
            <w:tcW w:w="12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0,00441</w:t>
            </w:r>
          </w:p>
        </w:tc>
        <w:tc>
          <w:tcPr>
            <w:tcW w:w="121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0,00441</w:t>
            </w:r>
          </w:p>
        </w:tc>
      </w:tr>
      <w:tr>
        <w:trPr>
          <w:cantSplit w:val="true"/>
        </w:trPr>
        <w:tc>
          <w:tcPr>
            <w:tcW w:w="7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rPr>
              <w:t>7.2.</w:t>
            </w:r>
          </w:p>
        </w:tc>
        <w:tc>
          <w:tcPr>
            <w:tcW w:w="40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sz w:val="20"/>
                <w:szCs w:val="20"/>
                <w:lang w:eastAsia="ru-RU"/>
              </w:rPr>
            </w:pPr>
            <w:r>
              <w:rPr>
                <w:sz w:val="20"/>
                <w:szCs w:val="20"/>
                <w:lang w:eastAsia="ru-RU"/>
              </w:rPr>
              <w:t>Котельная № 2, пгт.Октябрьское, ул.Пионерская, 17б</w:t>
            </w:r>
          </w:p>
        </w:tc>
        <w:tc>
          <w:tcPr>
            <w:tcW w:w="14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Гкал/час.м.кв</w:t>
            </w:r>
          </w:p>
        </w:tc>
        <w:tc>
          <w:tcPr>
            <w:tcW w:w="97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0,00736</w:t>
            </w:r>
          </w:p>
        </w:tc>
        <w:tc>
          <w:tcPr>
            <w:tcW w:w="94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c>
          <w:tcPr>
            <w:tcW w:w="9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0,229</w:t>
            </w:r>
          </w:p>
        </w:tc>
        <w:tc>
          <w:tcPr>
            <w:tcW w:w="9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c>
          <w:tcPr>
            <w:tcW w:w="9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0,229</w:t>
            </w:r>
          </w:p>
        </w:tc>
        <w:tc>
          <w:tcPr>
            <w:tcW w:w="10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c>
          <w:tcPr>
            <w:tcW w:w="12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0,229</w:t>
            </w:r>
          </w:p>
        </w:tc>
        <w:tc>
          <w:tcPr>
            <w:tcW w:w="121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r>
      <w:tr>
        <w:trPr>
          <w:cantSplit w:val="true"/>
        </w:trPr>
        <w:tc>
          <w:tcPr>
            <w:tcW w:w="7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rPr>
              <w:t>7.3.</w:t>
            </w:r>
          </w:p>
        </w:tc>
        <w:tc>
          <w:tcPr>
            <w:tcW w:w="40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sz w:val="20"/>
                <w:szCs w:val="20"/>
                <w:lang w:eastAsia="ru-RU"/>
              </w:rPr>
            </w:pPr>
            <w:r>
              <w:rPr>
                <w:sz w:val="20"/>
                <w:szCs w:val="20"/>
                <w:lang w:eastAsia="ru-RU"/>
              </w:rPr>
              <w:t>Котельная № 3, пгт.Октябрьское, ул.Чапаева, 6б</w:t>
            </w:r>
          </w:p>
        </w:tc>
        <w:tc>
          <w:tcPr>
            <w:tcW w:w="14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Гкал/час.м.кв</w:t>
            </w:r>
          </w:p>
        </w:tc>
        <w:tc>
          <w:tcPr>
            <w:tcW w:w="97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0,00418</w:t>
            </w:r>
          </w:p>
        </w:tc>
        <w:tc>
          <w:tcPr>
            <w:tcW w:w="94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0,00418</w:t>
            </w:r>
          </w:p>
        </w:tc>
        <w:tc>
          <w:tcPr>
            <w:tcW w:w="9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0,00418</w:t>
            </w:r>
          </w:p>
        </w:tc>
        <w:tc>
          <w:tcPr>
            <w:tcW w:w="9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0,00418</w:t>
            </w:r>
          </w:p>
        </w:tc>
        <w:tc>
          <w:tcPr>
            <w:tcW w:w="9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c>
          <w:tcPr>
            <w:tcW w:w="10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0,229</w:t>
            </w:r>
          </w:p>
        </w:tc>
        <w:tc>
          <w:tcPr>
            <w:tcW w:w="12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c>
          <w:tcPr>
            <w:tcW w:w="121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0,229</w:t>
            </w:r>
          </w:p>
        </w:tc>
      </w:tr>
      <w:tr>
        <w:trPr>
          <w:cantSplit w:val="true"/>
        </w:trPr>
        <w:tc>
          <w:tcPr>
            <w:tcW w:w="7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rPr>
              <w:t>7.4.</w:t>
            </w:r>
          </w:p>
        </w:tc>
        <w:tc>
          <w:tcPr>
            <w:tcW w:w="40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sz w:val="20"/>
                <w:szCs w:val="20"/>
                <w:lang w:eastAsia="ru-RU"/>
              </w:rPr>
            </w:pPr>
            <w:r>
              <w:rPr>
                <w:sz w:val="20"/>
                <w:szCs w:val="20"/>
                <w:lang w:eastAsia="ru-RU"/>
              </w:rPr>
              <w:t>Котельная № 6, пгт.Октябрьское, ул.Дзержинского, 2б</w:t>
            </w:r>
          </w:p>
        </w:tc>
        <w:tc>
          <w:tcPr>
            <w:tcW w:w="14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Гкал/час.м.кв</w:t>
            </w:r>
          </w:p>
        </w:tc>
        <w:tc>
          <w:tcPr>
            <w:tcW w:w="97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0,01008</w:t>
            </w:r>
          </w:p>
        </w:tc>
        <w:tc>
          <w:tcPr>
            <w:tcW w:w="94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c>
          <w:tcPr>
            <w:tcW w:w="9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0,229</w:t>
            </w:r>
          </w:p>
        </w:tc>
        <w:tc>
          <w:tcPr>
            <w:tcW w:w="9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c>
          <w:tcPr>
            <w:tcW w:w="9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0,229</w:t>
            </w:r>
          </w:p>
        </w:tc>
        <w:tc>
          <w:tcPr>
            <w:tcW w:w="10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c>
          <w:tcPr>
            <w:tcW w:w="12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0,229</w:t>
            </w:r>
          </w:p>
        </w:tc>
        <w:tc>
          <w:tcPr>
            <w:tcW w:w="121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r>
      <w:tr>
        <w:trPr>
          <w:cantSplit w:val="true"/>
        </w:trPr>
        <w:tc>
          <w:tcPr>
            <w:tcW w:w="7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rPr>
              <w:t>7.5.</w:t>
            </w:r>
          </w:p>
        </w:tc>
        <w:tc>
          <w:tcPr>
            <w:tcW w:w="40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sz w:val="20"/>
                <w:szCs w:val="20"/>
                <w:lang w:eastAsia="ru-RU"/>
              </w:rPr>
            </w:pPr>
            <w:r>
              <w:rPr>
                <w:sz w:val="20"/>
                <w:szCs w:val="20"/>
                <w:lang w:eastAsia="ru-RU"/>
              </w:rPr>
              <w:t>Котельная № 7, пгт.Октябрьское, ул.Медицинская, 3Б</w:t>
            </w:r>
          </w:p>
        </w:tc>
        <w:tc>
          <w:tcPr>
            <w:tcW w:w="14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Гкал/час.м.кв</w:t>
            </w:r>
          </w:p>
        </w:tc>
        <w:tc>
          <w:tcPr>
            <w:tcW w:w="97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0,00189</w:t>
            </w:r>
          </w:p>
        </w:tc>
        <w:tc>
          <w:tcPr>
            <w:tcW w:w="94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c>
          <w:tcPr>
            <w:tcW w:w="9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0,229</w:t>
            </w:r>
          </w:p>
        </w:tc>
        <w:tc>
          <w:tcPr>
            <w:tcW w:w="9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c>
          <w:tcPr>
            <w:tcW w:w="9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0,229</w:t>
            </w:r>
          </w:p>
        </w:tc>
        <w:tc>
          <w:tcPr>
            <w:tcW w:w="10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c>
          <w:tcPr>
            <w:tcW w:w="12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0,229</w:t>
            </w:r>
          </w:p>
        </w:tc>
        <w:tc>
          <w:tcPr>
            <w:tcW w:w="121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r>
      <w:tr>
        <w:trPr>
          <w:cantSplit w:val="true"/>
        </w:trPr>
        <w:tc>
          <w:tcPr>
            <w:tcW w:w="7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rPr>
              <w:t>7.6.</w:t>
            </w:r>
          </w:p>
        </w:tc>
        <w:tc>
          <w:tcPr>
            <w:tcW w:w="40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sz w:val="20"/>
                <w:szCs w:val="20"/>
                <w:lang w:eastAsia="ru-RU"/>
              </w:rPr>
            </w:pPr>
            <w:r>
              <w:rPr>
                <w:sz w:val="20"/>
                <w:szCs w:val="20"/>
                <w:lang w:eastAsia="ru-RU"/>
              </w:rPr>
              <w:t>Котельная № 12, пгт.Октябрьское, ул.Медицинская, 3к</w:t>
            </w:r>
          </w:p>
        </w:tc>
        <w:tc>
          <w:tcPr>
            <w:tcW w:w="14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Гкал/час.м.кв</w:t>
            </w:r>
          </w:p>
        </w:tc>
        <w:tc>
          <w:tcPr>
            <w:tcW w:w="97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0,00197</w:t>
            </w:r>
          </w:p>
        </w:tc>
        <w:tc>
          <w:tcPr>
            <w:tcW w:w="94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0,00195</w:t>
            </w:r>
          </w:p>
        </w:tc>
        <w:tc>
          <w:tcPr>
            <w:tcW w:w="9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0,00195</w:t>
            </w:r>
          </w:p>
        </w:tc>
        <w:tc>
          <w:tcPr>
            <w:tcW w:w="9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0,00195</w:t>
            </w:r>
          </w:p>
        </w:tc>
        <w:tc>
          <w:tcPr>
            <w:tcW w:w="9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0,00195</w:t>
            </w:r>
          </w:p>
        </w:tc>
        <w:tc>
          <w:tcPr>
            <w:tcW w:w="10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0,00195</w:t>
            </w:r>
          </w:p>
        </w:tc>
        <w:tc>
          <w:tcPr>
            <w:tcW w:w="12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0,00195</w:t>
            </w:r>
          </w:p>
        </w:tc>
        <w:tc>
          <w:tcPr>
            <w:tcW w:w="121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0,00195</w:t>
            </w:r>
          </w:p>
        </w:tc>
      </w:tr>
      <w:tr>
        <w:trPr>
          <w:cantSplit w:val="true"/>
        </w:trPr>
        <w:tc>
          <w:tcPr>
            <w:tcW w:w="7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rPr>
              <w:t>7.7.</w:t>
            </w:r>
          </w:p>
        </w:tc>
        <w:tc>
          <w:tcPr>
            <w:tcW w:w="40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sz w:val="20"/>
                <w:szCs w:val="20"/>
                <w:lang w:eastAsia="ru-RU"/>
              </w:rPr>
            </w:pPr>
            <w:r>
              <w:rPr>
                <w:sz w:val="20"/>
                <w:szCs w:val="20"/>
                <w:lang w:eastAsia="ru-RU"/>
              </w:rPr>
              <w:t>Котельная № 8, пгт.Октябрьское, ул.50 лет, 38А</w:t>
            </w:r>
          </w:p>
        </w:tc>
        <w:tc>
          <w:tcPr>
            <w:tcW w:w="14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Гкал/час.м.кв</w:t>
            </w:r>
          </w:p>
        </w:tc>
        <w:tc>
          <w:tcPr>
            <w:tcW w:w="97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0,00262</w:t>
            </w:r>
          </w:p>
        </w:tc>
        <w:tc>
          <w:tcPr>
            <w:tcW w:w="94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0,00262</w:t>
            </w:r>
          </w:p>
        </w:tc>
        <w:tc>
          <w:tcPr>
            <w:tcW w:w="9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c>
          <w:tcPr>
            <w:tcW w:w="9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0,229</w:t>
            </w:r>
          </w:p>
        </w:tc>
        <w:tc>
          <w:tcPr>
            <w:tcW w:w="9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c>
          <w:tcPr>
            <w:tcW w:w="10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0,229</w:t>
            </w:r>
          </w:p>
        </w:tc>
        <w:tc>
          <w:tcPr>
            <w:tcW w:w="12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c>
          <w:tcPr>
            <w:tcW w:w="121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0,229</w:t>
            </w:r>
          </w:p>
        </w:tc>
      </w:tr>
      <w:tr>
        <w:trPr>
          <w:cantSplit w:val="true"/>
        </w:trPr>
        <w:tc>
          <w:tcPr>
            <w:tcW w:w="7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rPr>
              <w:t>7.8.</w:t>
            </w:r>
          </w:p>
        </w:tc>
        <w:tc>
          <w:tcPr>
            <w:tcW w:w="40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sz w:val="20"/>
                <w:szCs w:val="20"/>
                <w:lang w:eastAsia="ru-RU"/>
              </w:rPr>
            </w:pPr>
            <w:r>
              <w:rPr>
                <w:sz w:val="20"/>
                <w:szCs w:val="20"/>
                <w:lang w:eastAsia="ru-RU"/>
              </w:rPr>
              <w:t>Перспективная котельная, пгт.Октябрьское, ул.Дзержинского, 14</w:t>
            </w:r>
          </w:p>
        </w:tc>
        <w:tc>
          <w:tcPr>
            <w:tcW w:w="14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Гкал/час.м.кв</w:t>
            </w:r>
          </w:p>
        </w:tc>
        <w:tc>
          <w:tcPr>
            <w:tcW w:w="97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c>
          <w:tcPr>
            <w:tcW w:w="94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0,00817</w:t>
            </w:r>
          </w:p>
        </w:tc>
        <w:tc>
          <w:tcPr>
            <w:tcW w:w="9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0,00817</w:t>
            </w:r>
          </w:p>
        </w:tc>
        <w:tc>
          <w:tcPr>
            <w:tcW w:w="9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0,00817</w:t>
            </w:r>
          </w:p>
        </w:tc>
        <w:tc>
          <w:tcPr>
            <w:tcW w:w="9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0,00817</w:t>
            </w:r>
          </w:p>
        </w:tc>
        <w:tc>
          <w:tcPr>
            <w:tcW w:w="10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0,00817</w:t>
            </w:r>
          </w:p>
        </w:tc>
        <w:tc>
          <w:tcPr>
            <w:tcW w:w="12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0,00817</w:t>
            </w:r>
          </w:p>
        </w:tc>
        <w:tc>
          <w:tcPr>
            <w:tcW w:w="121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0,00817</w:t>
            </w:r>
          </w:p>
        </w:tc>
      </w:tr>
      <w:tr>
        <w:trPr>
          <w:cantSplit w:val="true"/>
        </w:trPr>
        <w:tc>
          <w:tcPr>
            <w:tcW w:w="7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rPr>
              <w:t>8</w:t>
            </w:r>
          </w:p>
        </w:tc>
        <w:tc>
          <w:tcPr>
            <w:tcW w:w="40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sz w:val="20"/>
                <w:szCs w:val="20"/>
                <w:lang w:eastAsia="ru-RU"/>
              </w:rPr>
            </w:pPr>
            <w:r>
              <w:rPr>
                <w:sz w:val="20"/>
                <w:szCs w:val="20"/>
                <w:lang w:eastAsia="ru-RU"/>
              </w:rPr>
              <w:t xml:space="preserve">Доля тепловой энергии, выработанной в комбинированном режиме </w:t>
            </w:r>
          </w:p>
        </w:tc>
        <w:tc>
          <w:tcPr>
            <w:tcW w:w="14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c>
          <w:tcPr>
            <w:tcW w:w="97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c>
          <w:tcPr>
            <w:tcW w:w="94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c>
          <w:tcPr>
            <w:tcW w:w="9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c>
          <w:tcPr>
            <w:tcW w:w="9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c>
          <w:tcPr>
            <w:tcW w:w="9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c>
          <w:tcPr>
            <w:tcW w:w="10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c>
          <w:tcPr>
            <w:tcW w:w="12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c>
          <w:tcPr>
            <w:tcW w:w="121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r>
      <w:tr>
        <w:trPr>
          <w:cantSplit w:val="true"/>
        </w:trPr>
        <w:tc>
          <w:tcPr>
            <w:tcW w:w="7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rPr>
              <w:t>9</w:t>
            </w:r>
          </w:p>
        </w:tc>
        <w:tc>
          <w:tcPr>
            <w:tcW w:w="40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sz w:val="20"/>
                <w:szCs w:val="20"/>
                <w:lang w:eastAsia="ru-RU"/>
              </w:rPr>
            </w:pPr>
            <w:r>
              <w:rPr>
                <w:sz w:val="20"/>
                <w:szCs w:val="20"/>
                <w:lang w:eastAsia="ru-RU"/>
              </w:rPr>
              <w:t>удельный расход условного топлива на отпуск электрической энергии</w:t>
            </w:r>
          </w:p>
        </w:tc>
        <w:tc>
          <w:tcPr>
            <w:tcW w:w="14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кг у.т./кВт.ч</w:t>
            </w:r>
          </w:p>
        </w:tc>
        <w:tc>
          <w:tcPr>
            <w:tcW w:w="97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c>
          <w:tcPr>
            <w:tcW w:w="94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c>
          <w:tcPr>
            <w:tcW w:w="9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c>
          <w:tcPr>
            <w:tcW w:w="9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c>
          <w:tcPr>
            <w:tcW w:w="9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c>
          <w:tcPr>
            <w:tcW w:w="10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c>
          <w:tcPr>
            <w:tcW w:w="12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c>
          <w:tcPr>
            <w:tcW w:w="121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r>
      <w:tr>
        <w:trPr>
          <w:cantSplit w:val="true"/>
        </w:trPr>
        <w:tc>
          <w:tcPr>
            <w:tcW w:w="7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rPr>
              <w:t>10</w:t>
            </w:r>
          </w:p>
        </w:tc>
        <w:tc>
          <w:tcPr>
            <w:tcW w:w="40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sz w:val="20"/>
                <w:szCs w:val="20"/>
                <w:lang w:eastAsia="ru-RU"/>
              </w:rPr>
            </w:pPr>
            <w:r>
              <w:rPr>
                <w:sz w:val="20"/>
                <w:szCs w:val="20"/>
                <w:lang w:eastAsia="ru-RU"/>
              </w:rPr>
              <w:t>коэффициент использования теплоты топлива (только для источников тепловой энергии, функционирующих в режиме комбинированной выработки электрической и тепловой энергии)</w:t>
            </w:r>
          </w:p>
        </w:tc>
        <w:tc>
          <w:tcPr>
            <w:tcW w:w="14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w:t>
            </w:r>
          </w:p>
        </w:tc>
        <w:tc>
          <w:tcPr>
            <w:tcW w:w="97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c>
          <w:tcPr>
            <w:tcW w:w="94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c>
          <w:tcPr>
            <w:tcW w:w="9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c>
          <w:tcPr>
            <w:tcW w:w="9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c>
          <w:tcPr>
            <w:tcW w:w="9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c>
          <w:tcPr>
            <w:tcW w:w="10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c>
          <w:tcPr>
            <w:tcW w:w="12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c>
          <w:tcPr>
            <w:tcW w:w="121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r>
      <w:tr>
        <w:trPr>
          <w:cantSplit w:val="true"/>
        </w:trPr>
        <w:tc>
          <w:tcPr>
            <w:tcW w:w="7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rPr>
              <w:t>11</w:t>
            </w:r>
          </w:p>
        </w:tc>
        <w:tc>
          <w:tcPr>
            <w:tcW w:w="40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sz w:val="20"/>
                <w:szCs w:val="20"/>
                <w:lang w:eastAsia="ru-RU"/>
              </w:rPr>
            </w:pPr>
            <w:r>
              <w:rPr>
                <w:sz w:val="20"/>
                <w:szCs w:val="20"/>
                <w:lang w:eastAsia="ru-RU"/>
              </w:rPr>
              <w:t>доля отпуска тепловой энергии, осуществляемого потребителям по приборам учета, в общем объеме отпущенной тепловой энергии</w:t>
            </w:r>
          </w:p>
        </w:tc>
        <w:tc>
          <w:tcPr>
            <w:tcW w:w="14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c>
          <w:tcPr>
            <w:tcW w:w="97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20</w:t>
            </w:r>
          </w:p>
        </w:tc>
        <w:tc>
          <w:tcPr>
            <w:tcW w:w="94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40</w:t>
            </w:r>
          </w:p>
        </w:tc>
        <w:tc>
          <w:tcPr>
            <w:tcW w:w="9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50</w:t>
            </w:r>
          </w:p>
        </w:tc>
        <w:tc>
          <w:tcPr>
            <w:tcW w:w="9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60</w:t>
            </w:r>
          </w:p>
        </w:tc>
        <w:tc>
          <w:tcPr>
            <w:tcW w:w="9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70</w:t>
            </w:r>
          </w:p>
        </w:tc>
        <w:tc>
          <w:tcPr>
            <w:tcW w:w="10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80</w:t>
            </w:r>
          </w:p>
        </w:tc>
        <w:tc>
          <w:tcPr>
            <w:tcW w:w="12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100</w:t>
            </w:r>
          </w:p>
        </w:tc>
        <w:tc>
          <w:tcPr>
            <w:tcW w:w="121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100</w:t>
            </w:r>
          </w:p>
        </w:tc>
      </w:tr>
      <w:tr>
        <w:trPr>
          <w:cantSplit w:val="true"/>
        </w:trPr>
        <w:tc>
          <w:tcPr>
            <w:tcW w:w="7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rPr>
              <w:t>12</w:t>
            </w:r>
          </w:p>
        </w:tc>
        <w:tc>
          <w:tcPr>
            <w:tcW w:w="40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sz w:val="20"/>
                <w:szCs w:val="20"/>
                <w:lang w:eastAsia="ru-RU"/>
              </w:rPr>
            </w:pPr>
            <w:r>
              <w:rPr>
                <w:sz w:val="20"/>
                <w:szCs w:val="20"/>
                <w:lang w:eastAsia="ru-RU"/>
              </w:rPr>
              <w:t>средневзвешенный (по материальной характеристике) срок эксплуатации тепловых сетей (для каждой системы теплоснабжения)</w:t>
            </w:r>
          </w:p>
        </w:tc>
        <w:tc>
          <w:tcPr>
            <w:tcW w:w="14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w:t>
            </w:r>
          </w:p>
        </w:tc>
        <w:tc>
          <w:tcPr>
            <w:tcW w:w="97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н/д</w:t>
            </w:r>
          </w:p>
        </w:tc>
        <w:tc>
          <w:tcPr>
            <w:tcW w:w="94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н/д</w:t>
            </w:r>
          </w:p>
        </w:tc>
        <w:tc>
          <w:tcPr>
            <w:tcW w:w="9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н/д</w:t>
            </w:r>
          </w:p>
        </w:tc>
        <w:tc>
          <w:tcPr>
            <w:tcW w:w="9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н/д</w:t>
            </w:r>
          </w:p>
        </w:tc>
        <w:tc>
          <w:tcPr>
            <w:tcW w:w="9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н/д</w:t>
            </w:r>
          </w:p>
        </w:tc>
        <w:tc>
          <w:tcPr>
            <w:tcW w:w="10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н/д</w:t>
            </w:r>
          </w:p>
        </w:tc>
        <w:tc>
          <w:tcPr>
            <w:tcW w:w="12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н/д</w:t>
            </w:r>
          </w:p>
        </w:tc>
        <w:tc>
          <w:tcPr>
            <w:tcW w:w="121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н/д</w:t>
            </w:r>
          </w:p>
        </w:tc>
      </w:tr>
      <w:tr>
        <w:trPr>
          <w:cantSplit w:val="true"/>
        </w:trPr>
        <w:tc>
          <w:tcPr>
            <w:tcW w:w="7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rPr>
              <w:t>13</w:t>
            </w:r>
          </w:p>
        </w:tc>
        <w:tc>
          <w:tcPr>
            <w:tcW w:w="40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sz w:val="20"/>
                <w:szCs w:val="20"/>
                <w:lang w:eastAsia="ru-RU"/>
              </w:rPr>
            </w:pPr>
            <w:r>
              <w:rPr>
                <w:sz w:val="20"/>
                <w:szCs w:val="20"/>
                <w:lang w:eastAsia="ru-RU"/>
              </w:rPr>
              <w:t>отношение материальной характеристики тепловых сетей, реконструированных за год, к общей материальной характеристике тепловых сетей (фактическое значение за отчетный период и прогноз изменения при реализации проектов, указанных в утвержденной схеме теплоснабжения) (для каждой системы теплоснабжения, а также для поселения, городского округа, города федерального значения)</w:t>
            </w:r>
          </w:p>
        </w:tc>
        <w:tc>
          <w:tcPr>
            <w:tcW w:w="14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c>
          <w:tcPr>
            <w:tcW w:w="97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10</w:t>
            </w:r>
          </w:p>
        </w:tc>
        <w:tc>
          <w:tcPr>
            <w:tcW w:w="94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10</w:t>
            </w:r>
          </w:p>
        </w:tc>
        <w:tc>
          <w:tcPr>
            <w:tcW w:w="9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10</w:t>
            </w:r>
          </w:p>
        </w:tc>
        <w:tc>
          <w:tcPr>
            <w:tcW w:w="9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10</w:t>
            </w:r>
          </w:p>
        </w:tc>
        <w:tc>
          <w:tcPr>
            <w:tcW w:w="9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10</w:t>
            </w:r>
          </w:p>
        </w:tc>
        <w:tc>
          <w:tcPr>
            <w:tcW w:w="10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10</w:t>
            </w:r>
          </w:p>
        </w:tc>
        <w:tc>
          <w:tcPr>
            <w:tcW w:w="12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10</w:t>
            </w:r>
          </w:p>
        </w:tc>
        <w:tc>
          <w:tcPr>
            <w:tcW w:w="121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10</w:t>
            </w:r>
          </w:p>
        </w:tc>
      </w:tr>
      <w:tr>
        <w:trPr>
          <w:cantSplit w:val="true"/>
        </w:trPr>
        <w:tc>
          <w:tcPr>
            <w:tcW w:w="7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rPr>
              <w:t>14</w:t>
            </w:r>
          </w:p>
        </w:tc>
        <w:tc>
          <w:tcPr>
            <w:tcW w:w="40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sz w:val="20"/>
                <w:szCs w:val="20"/>
                <w:lang w:eastAsia="ru-RU"/>
              </w:rPr>
            </w:pPr>
            <w:r>
              <w:rPr>
                <w:sz w:val="20"/>
                <w:szCs w:val="20"/>
                <w:lang w:eastAsia="ru-RU"/>
              </w:rPr>
              <w:t>Отношение установленной тепловой мощности оборудования источников тепловой энергии, реконструированного за год, к общей установленной тепловой мощности источников тепловой энергии.</w:t>
            </w:r>
          </w:p>
        </w:tc>
        <w:tc>
          <w:tcPr>
            <w:tcW w:w="14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c>
          <w:tcPr>
            <w:tcW w:w="97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w:t>
            </w:r>
          </w:p>
        </w:tc>
        <w:tc>
          <w:tcPr>
            <w:tcW w:w="94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w:t>
            </w:r>
          </w:p>
        </w:tc>
        <w:tc>
          <w:tcPr>
            <w:tcW w:w="9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w:t>
            </w:r>
          </w:p>
        </w:tc>
        <w:tc>
          <w:tcPr>
            <w:tcW w:w="9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w:t>
            </w:r>
          </w:p>
        </w:tc>
        <w:tc>
          <w:tcPr>
            <w:tcW w:w="9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w:t>
            </w:r>
          </w:p>
        </w:tc>
        <w:tc>
          <w:tcPr>
            <w:tcW w:w="10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w:t>
            </w:r>
          </w:p>
        </w:tc>
        <w:tc>
          <w:tcPr>
            <w:tcW w:w="12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w:t>
            </w:r>
          </w:p>
        </w:tc>
        <w:tc>
          <w:tcPr>
            <w:tcW w:w="121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w:t>
            </w:r>
          </w:p>
        </w:tc>
      </w:tr>
      <w:tr>
        <w:trPr>
          <w:cantSplit w:val="true"/>
        </w:trPr>
        <w:tc>
          <w:tcPr>
            <w:tcW w:w="7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rPr>
              <w:t>15</w:t>
            </w:r>
          </w:p>
        </w:tc>
        <w:tc>
          <w:tcPr>
            <w:tcW w:w="40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sz w:val="20"/>
                <w:szCs w:val="20"/>
                <w:lang w:eastAsia="ru-RU"/>
              </w:rPr>
            </w:pPr>
            <w:r>
              <w:rPr>
                <w:sz w:val="20"/>
                <w:szCs w:val="20"/>
                <w:lang w:eastAsia="ru-RU"/>
              </w:rPr>
              <w:t>Отсутствие зафиксированных фактов нарушения антимонопольного законодательства (выданных предупреждений, предписаний), а также отсутствие применения санкций, предусмотренных Кодексом Российской Федерации об административных правонарушениях, за нарушение законодательства Российской Федерации в сфере теплоснабжения, антимонопольного законодательства Российской Федерации, законодательства Российской Федерации о естественных монополиях</w:t>
            </w:r>
          </w:p>
        </w:tc>
        <w:tc>
          <w:tcPr>
            <w:tcW w:w="14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c>
          <w:tcPr>
            <w:tcW w:w="97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w:t>
            </w:r>
          </w:p>
        </w:tc>
        <w:tc>
          <w:tcPr>
            <w:tcW w:w="94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w:t>
            </w:r>
          </w:p>
        </w:tc>
        <w:tc>
          <w:tcPr>
            <w:tcW w:w="9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w:t>
            </w:r>
          </w:p>
        </w:tc>
        <w:tc>
          <w:tcPr>
            <w:tcW w:w="9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w:t>
            </w:r>
          </w:p>
        </w:tc>
        <w:tc>
          <w:tcPr>
            <w:tcW w:w="9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w:t>
            </w:r>
          </w:p>
        </w:tc>
        <w:tc>
          <w:tcPr>
            <w:tcW w:w="10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w:t>
            </w:r>
          </w:p>
        </w:tc>
        <w:tc>
          <w:tcPr>
            <w:tcW w:w="12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w:t>
            </w:r>
          </w:p>
        </w:tc>
        <w:tc>
          <w:tcPr>
            <w:tcW w:w="121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w:t>
            </w:r>
          </w:p>
        </w:tc>
      </w:tr>
    </w:tbl>
    <w:p>
      <w:pPr>
        <w:pStyle w:val="Normal"/>
        <w:jc w:val="right"/>
        <w:rPr>
          <w:rFonts w:eastAsia="Calibri" w:cs="Calibri"/>
          <w:iCs/>
          <w:szCs w:val="18"/>
          <w:lang w:eastAsia="en-US"/>
        </w:rPr>
      </w:pPr>
      <w:r>
        <w:rPr>
          <w:rFonts w:eastAsia="Calibri" w:cs="Calibri"/>
          <w:iCs/>
          <w:szCs w:val="18"/>
          <w:lang w:eastAsia="en-US"/>
        </w:rPr>
      </w:r>
    </w:p>
    <w:p>
      <w:pPr>
        <w:pStyle w:val="Normal"/>
        <w:keepNext w:val="true"/>
        <w:keepLines/>
        <w:numPr>
          <w:ilvl w:val="0"/>
          <w:numId w:val="0"/>
        </w:numPr>
        <w:spacing w:before="0" w:after="120"/>
        <w:ind w:left="0" w:hanging="0"/>
        <w:jc w:val="center"/>
        <w:outlineLvl w:val="0"/>
        <w:rPr>
          <w:rFonts w:eastAsia="Calibri Light" w:cs="Calibri Light"/>
          <w:b/>
          <w:b/>
          <w:color w:val="000000"/>
          <w:lang w:eastAsia="en-US"/>
        </w:rPr>
      </w:pPr>
      <w:bookmarkStart w:id="496" w:name="_Toc23034161"/>
      <w:bookmarkStart w:id="497" w:name="_Toc160530750"/>
      <w:bookmarkStart w:id="498" w:name="_Toc181367026"/>
      <w:r>
        <w:rPr>
          <w:rFonts w:eastAsia="Calibri Light" w:cs="Calibri Light"/>
          <w:b/>
          <w:lang w:eastAsia="en-US"/>
        </w:rPr>
        <w:t>Раздел 15 «Ценовые (тарифные) последствия»</w:t>
      </w:r>
      <w:bookmarkEnd w:id="496"/>
      <w:bookmarkEnd w:id="497"/>
      <w:bookmarkEnd w:id="498"/>
    </w:p>
    <w:p>
      <w:pPr>
        <w:pStyle w:val="Normal"/>
        <w:keepNext w:val="true"/>
        <w:keepLines/>
        <w:numPr>
          <w:ilvl w:val="0"/>
          <w:numId w:val="0"/>
        </w:numPr>
        <w:ind w:left="0" w:firstLine="709"/>
        <w:jc w:val="both"/>
        <w:outlineLvl w:val="1"/>
        <w:rPr>
          <w:rFonts w:eastAsia="Calibri Light"/>
          <w:b/>
          <w:b/>
          <w:lang w:eastAsia="en-US"/>
        </w:rPr>
      </w:pPr>
      <w:bookmarkStart w:id="499" w:name="_Toc160516884"/>
      <w:bookmarkStart w:id="500" w:name="_Toc181367027"/>
      <w:r>
        <w:rPr>
          <w:rFonts w:eastAsia="Calibri Light"/>
          <w:b/>
          <w:lang w:eastAsia="en-US"/>
        </w:rPr>
        <w:t>15.1. Результаты расчетов и оценки ценовых (тарифных) последствий реализации предлагаемых проектов схемы теплоснабжения для потребителя</w:t>
      </w:r>
      <w:bookmarkEnd w:id="499"/>
      <w:bookmarkEnd w:id="500"/>
    </w:p>
    <w:p>
      <w:pPr>
        <w:pStyle w:val="Normal"/>
        <w:keepNext w:val="true"/>
        <w:keepLines/>
        <w:numPr>
          <w:ilvl w:val="0"/>
          <w:numId w:val="0"/>
        </w:numPr>
        <w:ind w:left="0" w:firstLine="709"/>
        <w:jc w:val="both"/>
        <w:outlineLvl w:val="1"/>
        <w:rPr>
          <w:lang w:eastAsia="ar-SA"/>
        </w:rPr>
      </w:pPr>
      <w:r>
        <w:rPr/>
        <w:t xml:space="preserve">Основным направлением развития системы централизованного теплоснабжения выбрано сохранение существующей схемы теплоснабжения, с проведением работ по реконструкции и модернизации объектов теплоснабжения. </w:t>
      </w:r>
      <w:r>
        <w:rPr>
          <w:lang w:eastAsia="ar-SA"/>
        </w:rPr>
        <w:t>Реализация рекомендуемых мероприятий позволит сократить потери тепловой энергии, повысить надежность эффективность использования котельно-печного топлива, а также повысить надежность теплоснабжения потребителей.</w:t>
      </w:r>
    </w:p>
    <w:p>
      <w:pPr>
        <w:pStyle w:val="Normal"/>
        <w:keepNext w:val="true"/>
        <w:keepLines/>
        <w:numPr>
          <w:ilvl w:val="0"/>
          <w:numId w:val="0"/>
        </w:numPr>
        <w:ind w:left="0" w:firstLine="709"/>
        <w:jc w:val="both"/>
        <w:outlineLvl w:val="1"/>
        <w:rPr>
          <w:lang w:eastAsia="ar-SA"/>
        </w:rPr>
      </w:pPr>
      <w:r>
        <w:rPr>
          <w:lang w:eastAsia="ar-SA"/>
        </w:rPr>
        <w:t>Прогнозные тарифы рассчитаны на основе экспертных оценок и могут пересматриваться по мере появления уточненных прогнозов социально-экономического развития по данным Минэкономразвития РФ (прогнозов роста цен на топливо и электроэнергию, ИПЦ и других индексов-дефляторов) и с учетом возможного изменения условий реализации мероприятий схемы теплоснабжения.</w:t>
      </w:r>
    </w:p>
    <w:p>
      <w:pPr>
        <w:pStyle w:val="Normal"/>
        <w:keepNext w:val="true"/>
        <w:keepLines/>
        <w:numPr>
          <w:ilvl w:val="0"/>
          <w:numId w:val="0"/>
        </w:numPr>
        <w:ind w:left="0" w:firstLine="709"/>
        <w:jc w:val="both"/>
        <w:outlineLvl w:val="1"/>
        <w:rPr>
          <w:spacing w:val="1"/>
        </w:rPr>
      </w:pPr>
      <w:r>
        <w:rPr/>
        <w:t>Прогнозирование</w:t>
      </w:r>
      <w:r>
        <w:rPr>
          <w:spacing w:val="1"/>
        </w:rPr>
        <w:t xml:space="preserve"> </w:t>
      </w:r>
      <w:r>
        <w:rPr/>
        <w:t>финансово-хозяйственной</w:t>
      </w:r>
      <w:r>
        <w:rPr>
          <w:spacing w:val="1"/>
        </w:rPr>
        <w:t xml:space="preserve"> </w:t>
      </w:r>
      <w:r>
        <w:rPr/>
        <w:t>деятельности</w:t>
      </w:r>
      <w:r>
        <w:rPr>
          <w:spacing w:val="1"/>
        </w:rPr>
        <w:t xml:space="preserve"> </w:t>
      </w:r>
      <w:r>
        <w:rPr/>
        <w:t>теплоснабжающей</w:t>
      </w:r>
      <w:r>
        <w:rPr>
          <w:spacing w:val="1"/>
        </w:rPr>
        <w:t xml:space="preserve"> </w:t>
      </w:r>
      <w:r>
        <w:rPr/>
        <w:t>организации</w:t>
      </w:r>
      <w:r>
        <w:rPr>
          <w:spacing w:val="1"/>
        </w:rPr>
        <w:t xml:space="preserve"> </w:t>
      </w:r>
      <w:r>
        <w:rPr/>
        <w:t>проводится на основе фактических</w:t>
      </w:r>
      <w:r>
        <w:rPr>
          <w:spacing w:val="1"/>
        </w:rPr>
        <w:t xml:space="preserve"> </w:t>
      </w:r>
      <w:r>
        <w:rPr/>
        <w:t>показателей</w:t>
      </w:r>
      <w:r>
        <w:rPr>
          <w:spacing w:val="1"/>
        </w:rPr>
        <w:t xml:space="preserve"> </w:t>
      </w:r>
      <w:r>
        <w:rPr/>
        <w:t>финансово-хозяйственной</w:t>
      </w:r>
      <w:r>
        <w:rPr>
          <w:spacing w:val="1"/>
        </w:rPr>
        <w:t xml:space="preserve"> </w:t>
      </w:r>
      <w:r>
        <w:rPr/>
        <w:t>деятельности за базовый период регулирования и утверждённый период регулирования на</w:t>
      </w:r>
      <w:r>
        <w:rPr>
          <w:spacing w:val="-57"/>
        </w:rPr>
        <w:t xml:space="preserve"> </w:t>
      </w:r>
      <w:r>
        <w:rPr/>
        <w:t>момент разработки схемы теплоснабжения. Исходные данные принимаются с портала по</w:t>
      </w:r>
      <w:r>
        <w:rPr>
          <w:spacing w:val="1"/>
        </w:rPr>
        <w:t xml:space="preserve"> </w:t>
      </w:r>
      <w:r>
        <w:rPr/>
        <w:t>раскрытию информации, подлежащих свободному доступу (</w:t>
      </w:r>
      <w:hyperlink r:id="rId31">
        <w:r>
          <w:rPr>
            <w:u w:val="single"/>
          </w:rPr>
          <w:t>http://ri.eias.ru</w:t>
        </w:r>
      </w:hyperlink>
      <w:r>
        <w:rPr/>
        <w:t>) и данных от</w:t>
      </w:r>
      <w:r>
        <w:rPr>
          <w:spacing w:val="1"/>
        </w:rPr>
        <w:t xml:space="preserve"> </w:t>
      </w:r>
      <w:r>
        <w:rPr/>
        <w:t>ТСО.</w:t>
      </w:r>
      <w:r>
        <w:rPr>
          <w:spacing w:val="1"/>
        </w:rPr>
        <w:t xml:space="preserve"> </w:t>
      </w:r>
    </w:p>
    <w:p>
      <w:pPr>
        <w:pStyle w:val="Normal"/>
        <w:keepNext w:val="true"/>
        <w:keepLines/>
        <w:numPr>
          <w:ilvl w:val="0"/>
          <w:numId w:val="0"/>
        </w:numPr>
        <w:ind w:left="0" w:firstLine="709"/>
        <w:jc w:val="both"/>
        <w:outlineLvl w:val="1"/>
        <w:rPr>
          <w:lang w:eastAsia="ar-SA"/>
        </w:rPr>
      </w:pPr>
      <w:r>
        <w:rPr>
          <w:lang w:eastAsia="ar-SA"/>
        </w:rPr>
        <w:t xml:space="preserve">Индексы-дефляторы, принятые для прогноза производственных расходов и тарифов на покупные энергоносители и воду определены на основе </w:t>
      </w:r>
      <w:r>
        <w:rPr/>
        <w:t>Прогноза социально-экономического развития Российской Федерации на 2024 год и на плановый период 2025 и 2026 годов.</w:t>
      </w:r>
      <w:bookmarkStart w:id="501" w:name="_Toc510893988"/>
      <w:bookmarkEnd w:id="501"/>
    </w:p>
    <w:p>
      <w:pPr>
        <w:pStyle w:val="Normal"/>
        <w:jc w:val="right"/>
        <w:rPr>
          <w:rFonts w:eastAsia="Calibri" w:cs="Calibri"/>
          <w:szCs w:val="22"/>
          <w:lang w:eastAsia="en-US"/>
        </w:rPr>
      </w:pPr>
      <w:r>
        <w:rPr>
          <w:rFonts w:eastAsia="Calibri" w:cs="Calibri"/>
          <w:szCs w:val="22"/>
          <w:lang w:eastAsia="en-US"/>
        </w:rPr>
        <w:t>Таблица 14 – Индексы-дефляторы, принятые для прогноза производственных расходов и тарифов на покупные энергоносители и воду (базовый вариант развития)</w:t>
      </w:r>
    </w:p>
    <w:tbl>
      <w:tblPr>
        <w:tblW w:w="4900" w:type="pct"/>
        <w:jc w:val="left"/>
        <w:tblInd w:w="0" w:type="dxa"/>
        <w:tblCellMar>
          <w:top w:w="0" w:type="dxa"/>
          <w:left w:w="108" w:type="dxa"/>
          <w:bottom w:w="0" w:type="dxa"/>
          <w:right w:w="108" w:type="dxa"/>
        </w:tblCellMar>
        <w:tblLook w:val="04a0" w:noVBand="1" w:noHBand="0" w:lastColumn="0" w:firstColumn="1" w:lastRow="0" w:firstRow="1"/>
      </w:tblPr>
      <w:tblGrid>
        <w:gridCol w:w="535"/>
        <w:gridCol w:w="3037"/>
        <w:gridCol w:w="757"/>
        <w:gridCol w:w="752"/>
        <w:gridCol w:w="754"/>
        <w:gridCol w:w="754"/>
        <w:gridCol w:w="752"/>
        <w:gridCol w:w="917"/>
        <w:gridCol w:w="915"/>
        <w:gridCol w:w="917"/>
        <w:gridCol w:w="749"/>
        <w:gridCol w:w="913"/>
        <w:gridCol w:w="718"/>
        <w:gridCol w:w="918"/>
        <w:gridCol w:w="890"/>
      </w:tblGrid>
      <w:tr>
        <w:trPr>
          <w:tblHeader w:val="true"/>
          <w:cantSplit w:val="true"/>
        </w:trPr>
        <w:tc>
          <w:tcPr>
            <w:tcW w:w="535"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 xml:space="preserve">№ </w:t>
            </w:r>
            <w:r>
              <w:rPr>
                <w:sz w:val="20"/>
                <w:szCs w:val="20"/>
              </w:rPr>
              <w:t>п/п</w:t>
            </w:r>
          </w:p>
        </w:tc>
        <w:tc>
          <w:tcPr>
            <w:tcW w:w="3037" w:type="dxa"/>
            <w:vMerge w:val="restart"/>
            <w:tcBorders>
              <w:top w:val="single" w:sz="4" w:space="0" w:color="000000"/>
              <w:left w:val="single" w:sz="4" w:space="0" w:color="000000"/>
              <w:bottom w:val="single" w:sz="4" w:space="0" w:color="000000"/>
              <w:right w:val="single" w:sz="4" w:space="0" w:color="000000"/>
            </w:tcBorders>
            <w:vAlign w:val="center"/>
          </w:tcPr>
          <w:p>
            <w:pPr>
              <w:pStyle w:val="Normal"/>
              <w:rPr>
                <w:sz w:val="20"/>
                <w:szCs w:val="20"/>
              </w:rPr>
            </w:pPr>
            <w:r>
              <w:rPr>
                <w:sz w:val="20"/>
                <w:szCs w:val="20"/>
              </w:rPr>
              <w:t>Наименование</w:t>
            </w:r>
          </w:p>
        </w:tc>
        <w:tc>
          <w:tcPr>
            <w:tcW w:w="10706" w:type="dxa"/>
            <w:gridSpan w:val="13"/>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Период, год</w:t>
            </w:r>
          </w:p>
        </w:tc>
      </w:tr>
      <w:tr>
        <w:trPr>
          <w:tblHeader w:val="true"/>
          <w:cantSplit w:val="true"/>
        </w:trPr>
        <w:tc>
          <w:tcPr>
            <w:tcW w:w="53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r>
          </w:p>
        </w:tc>
        <w:tc>
          <w:tcPr>
            <w:tcW w:w="303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sz w:val="20"/>
                <w:szCs w:val="20"/>
              </w:rPr>
            </w:pPr>
            <w:r>
              <w:rPr>
                <w:sz w:val="20"/>
                <w:szCs w:val="20"/>
              </w:rPr>
            </w:r>
          </w:p>
        </w:tc>
        <w:tc>
          <w:tcPr>
            <w:tcW w:w="75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2021</w:t>
            </w:r>
          </w:p>
        </w:tc>
        <w:tc>
          <w:tcPr>
            <w:tcW w:w="75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 xml:space="preserve">2022 </w:t>
            </w:r>
          </w:p>
        </w:tc>
        <w:tc>
          <w:tcPr>
            <w:tcW w:w="75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2023</w:t>
            </w:r>
          </w:p>
        </w:tc>
        <w:tc>
          <w:tcPr>
            <w:tcW w:w="75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2024</w:t>
            </w:r>
          </w:p>
        </w:tc>
        <w:tc>
          <w:tcPr>
            <w:tcW w:w="75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2025</w:t>
            </w:r>
          </w:p>
        </w:tc>
        <w:tc>
          <w:tcPr>
            <w:tcW w:w="91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2026</w:t>
            </w:r>
          </w:p>
        </w:tc>
        <w:tc>
          <w:tcPr>
            <w:tcW w:w="91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2027</w:t>
            </w:r>
          </w:p>
        </w:tc>
        <w:tc>
          <w:tcPr>
            <w:tcW w:w="91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2028</w:t>
            </w:r>
          </w:p>
        </w:tc>
        <w:tc>
          <w:tcPr>
            <w:tcW w:w="74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2029</w:t>
            </w:r>
          </w:p>
        </w:tc>
        <w:tc>
          <w:tcPr>
            <w:tcW w:w="91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2030</w:t>
            </w:r>
          </w:p>
        </w:tc>
        <w:tc>
          <w:tcPr>
            <w:tcW w:w="71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2031</w:t>
            </w:r>
          </w:p>
        </w:tc>
        <w:tc>
          <w:tcPr>
            <w:tcW w:w="91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2032</w:t>
            </w:r>
          </w:p>
        </w:tc>
        <w:tc>
          <w:tcPr>
            <w:tcW w:w="89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2033</w:t>
            </w:r>
          </w:p>
        </w:tc>
      </w:tr>
      <w:tr>
        <w:trPr/>
        <w:tc>
          <w:tcPr>
            <w:tcW w:w="53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Cs/>
                <w:sz w:val="20"/>
                <w:szCs w:val="20"/>
              </w:rPr>
            </w:pPr>
            <w:r>
              <w:rPr>
                <w:bCs/>
                <w:sz w:val="20"/>
                <w:szCs w:val="20"/>
              </w:rPr>
              <w:t>1</w:t>
            </w:r>
          </w:p>
        </w:tc>
        <w:tc>
          <w:tcPr>
            <w:tcW w:w="3037" w:type="dxa"/>
            <w:tcBorders>
              <w:top w:val="single" w:sz="4" w:space="0" w:color="000000"/>
              <w:left w:val="single" w:sz="4" w:space="0" w:color="000000"/>
              <w:bottom w:val="single" w:sz="4" w:space="0" w:color="000000"/>
              <w:right w:val="single" w:sz="4" w:space="0" w:color="000000"/>
            </w:tcBorders>
            <w:vAlign w:val="center"/>
          </w:tcPr>
          <w:p>
            <w:pPr>
              <w:pStyle w:val="Normal"/>
              <w:rPr>
                <w:sz w:val="20"/>
                <w:szCs w:val="20"/>
              </w:rPr>
            </w:pPr>
            <w:r>
              <w:rPr>
                <w:bCs/>
                <w:sz w:val="20"/>
                <w:szCs w:val="20"/>
              </w:rPr>
              <w:t xml:space="preserve">Индекс потребительских цен (ИПЦ), </w:t>
            </w:r>
            <w:r>
              <w:rPr>
                <w:b/>
                <w:bCs/>
                <w:i/>
                <w:iCs/>
                <w:sz w:val="20"/>
                <w:szCs w:val="20"/>
              </w:rPr>
              <w:t>I</w:t>
            </w:r>
            <w:r>
              <w:rPr>
                <w:b/>
                <w:bCs/>
                <w:i/>
                <w:iCs/>
                <w:sz w:val="20"/>
                <w:szCs w:val="20"/>
                <w:vertAlign w:val="subscript"/>
              </w:rPr>
              <w:t>ИПЦ,i</w:t>
            </w:r>
          </w:p>
        </w:tc>
        <w:tc>
          <w:tcPr>
            <w:tcW w:w="75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1,037</w:t>
            </w:r>
          </w:p>
        </w:tc>
        <w:tc>
          <w:tcPr>
            <w:tcW w:w="75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1,124</w:t>
            </w:r>
          </w:p>
        </w:tc>
        <w:tc>
          <w:tcPr>
            <w:tcW w:w="754"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jc w:val="center"/>
              <w:rPr>
                <w:sz w:val="20"/>
                <w:szCs w:val="20"/>
              </w:rPr>
            </w:pPr>
            <w:r>
              <w:rPr>
                <w:sz w:val="20"/>
                <w:szCs w:val="20"/>
              </w:rPr>
              <w:t>1,055</w:t>
            </w:r>
          </w:p>
        </w:tc>
        <w:tc>
          <w:tcPr>
            <w:tcW w:w="754" w:type="dxa"/>
            <w:tcBorders>
              <w:top w:val="single" w:sz="8" w:space="0" w:color="000000"/>
              <w:bottom w:val="single" w:sz="8" w:space="0" w:color="000000"/>
              <w:right w:val="single" w:sz="8" w:space="0" w:color="000000"/>
            </w:tcBorders>
            <w:shd w:color="auto" w:fill="auto" w:val="clear"/>
            <w:vAlign w:val="center"/>
          </w:tcPr>
          <w:p>
            <w:pPr>
              <w:pStyle w:val="Normal"/>
              <w:jc w:val="center"/>
              <w:rPr>
                <w:sz w:val="20"/>
                <w:szCs w:val="20"/>
              </w:rPr>
            </w:pPr>
            <w:r>
              <w:rPr>
                <w:sz w:val="20"/>
                <w:szCs w:val="20"/>
              </w:rPr>
              <w:t>1,057</w:t>
            </w:r>
          </w:p>
        </w:tc>
        <w:tc>
          <w:tcPr>
            <w:tcW w:w="752" w:type="dxa"/>
            <w:tcBorders>
              <w:top w:val="single" w:sz="8" w:space="0" w:color="000000"/>
              <w:bottom w:val="single" w:sz="8" w:space="0" w:color="000000"/>
              <w:right w:val="single" w:sz="8" w:space="0" w:color="000000"/>
            </w:tcBorders>
            <w:shd w:color="auto" w:fill="auto" w:val="clear"/>
            <w:vAlign w:val="center"/>
          </w:tcPr>
          <w:p>
            <w:pPr>
              <w:pStyle w:val="Normal"/>
              <w:jc w:val="center"/>
              <w:rPr>
                <w:sz w:val="20"/>
                <w:szCs w:val="20"/>
              </w:rPr>
            </w:pPr>
            <w:r>
              <w:rPr>
                <w:sz w:val="20"/>
                <w:szCs w:val="20"/>
              </w:rPr>
              <w:t>1,048</w:t>
            </w:r>
          </w:p>
        </w:tc>
        <w:tc>
          <w:tcPr>
            <w:tcW w:w="917" w:type="dxa"/>
            <w:tcBorders>
              <w:top w:val="single" w:sz="8" w:space="0" w:color="000000"/>
              <w:bottom w:val="single" w:sz="8" w:space="0" w:color="000000"/>
              <w:right w:val="single" w:sz="8" w:space="0" w:color="000000"/>
            </w:tcBorders>
            <w:shd w:color="auto" w:fill="auto" w:val="clear"/>
            <w:vAlign w:val="center"/>
          </w:tcPr>
          <w:p>
            <w:pPr>
              <w:pStyle w:val="Normal"/>
              <w:jc w:val="center"/>
              <w:rPr>
                <w:sz w:val="20"/>
                <w:szCs w:val="20"/>
              </w:rPr>
            </w:pPr>
            <w:r>
              <w:rPr>
                <w:sz w:val="20"/>
                <w:szCs w:val="20"/>
              </w:rPr>
              <w:t>1,043</w:t>
            </w:r>
          </w:p>
        </w:tc>
        <w:tc>
          <w:tcPr>
            <w:tcW w:w="91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1,020</w:t>
            </w:r>
          </w:p>
        </w:tc>
        <w:tc>
          <w:tcPr>
            <w:tcW w:w="91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1,020</w:t>
            </w:r>
          </w:p>
        </w:tc>
        <w:tc>
          <w:tcPr>
            <w:tcW w:w="74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1,020</w:t>
            </w:r>
          </w:p>
        </w:tc>
        <w:tc>
          <w:tcPr>
            <w:tcW w:w="91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1,020</w:t>
            </w:r>
          </w:p>
        </w:tc>
        <w:tc>
          <w:tcPr>
            <w:tcW w:w="71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1,02</w:t>
            </w:r>
          </w:p>
        </w:tc>
        <w:tc>
          <w:tcPr>
            <w:tcW w:w="91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1,02</w:t>
            </w:r>
          </w:p>
        </w:tc>
        <w:tc>
          <w:tcPr>
            <w:tcW w:w="89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1,02</w:t>
            </w:r>
          </w:p>
        </w:tc>
      </w:tr>
      <w:tr>
        <w:trPr/>
        <w:tc>
          <w:tcPr>
            <w:tcW w:w="53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Cs/>
                <w:sz w:val="20"/>
                <w:szCs w:val="20"/>
              </w:rPr>
            </w:pPr>
            <w:r>
              <w:rPr>
                <w:bCs/>
                <w:sz w:val="20"/>
                <w:szCs w:val="20"/>
              </w:rPr>
              <w:t>2</w:t>
            </w:r>
          </w:p>
        </w:tc>
        <w:tc>
          <w:tcPr>
            <w:tcW w:w="3037" w:type="dxa"/>
            <w:tcBorders>
              <w:top w:val="single" w:sz="4" w:space="0" w:color="000000"/>
              <w:left w:val="single" w:sz="4" w:space="0" w:color="000000"/>
              <w:bottom w:val="single" w:sz="4" w:space="0" w:color="000000"/>
              <w:right w:val="single" w:sz="4" w:space="0" w:color="000000"/>
            </w:tcBorders>
            <w:vAlign w:val="center"/>
          </w:tcPr>
          <w:p>
            <w:pPr>
              <w:pStyle w:val="Normal"/>
              <w:rPr>
                <w:sz w:val="20"/>
                <w:szCs w:val="20"/>
              </w:rPr>
            </w:pPr>
            <w:r>
              <w:rPr>
                <w:bCs/>
                <w:sz w:val="20"/>
                <w:szCs w:val="20"/>
              </w:rPr>
              <w:t xml:space="preserve">Индекс роста оптовой цены на природный газ (для всех категорий потребителей, за исключением населения), </w:t>
            </w:r>
            <w:r>
              <w:rPr>
                <w:b/>
                <w:bCs/>
                <w:i/>
                <w:iCs/>
                <w:sz w:val="20"/>
                <w:szCs w:val="20"/>
              </w:rPr>
              <w:t>I</w:t>
            </w:r>
            <w:r>
              <w:rPr>
                <w:b/>
                <w:bCs/>
                <w:i/>
                <w:iCs/>
                <w:sz w:val="20"/>
                <w:szCs w:val="20"/>
                <w:vertAlign w:val="subscript"/>
              </w:rPr>
              <w:t>ПГ,i</w:t>
            </w:r>
          </w:p>
        </w:tc>
        <w:tc>
          <w:tcPr>
            <w:tcW w:w="75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1,367</w:t>
            </w:r>
          </w:p>
        </w:tc>
        <w:tc>
          <w:tcPr>
            <w:tcW w:w="75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1,122</w:t>
            </w:r>
          </w:p>
        </w:tc>
        <w:tc>
          <w:tcPr>
            <w:tcW w:w="754" w:type="dxa"/>
            <w:tcBorders>
              <w:left w:val="single" w:sz="8" w:space="0" w:color="000000"/>
              <w:bottom w:val="single" w:sz="8" w:space="0" w:color="000000"/>
              <w:right w:val="single" w:sz="8" w:space="0" w:color="000000"/>
            </w:tcBorders>
            <w:shd w:color="auto" w:fill="auto" w:val="clear"/>
            <w:vAlign w:val="center"/>
          </w:tcPr>
          <w:p>
            <w:pPr>
              <w:pStyle w:val="Normal"/>
              <w:jc w:val="center"/>
              <w:rPr>
                <w:sz w:val="20"/>
                <w:szCs w:val="20"/>
              </w:rPr>
            </w:pPr>
            <w:r>
              <w:rPr>
                <w:sz w:val="20"/>
                <w:szCs w:val="20"/>
              </w:rPr>
              <w:t>0,929</w:t>
            </w:r>
          </w:p>
        </w:tc>
        <w:tc>
          <w:tcPr>
            <w:tcW w:w="754" w:type="dxa"/>
            <w:tcBorders>
              <w:bottom w:val="single" w:sz="8" w:space="0" w:color="000000"/>
              <w:right w:val="single" w:sz="8" w:space="0" w:color="000000"/>
            </w:tcBorders>
            <w:shd w:color="auto" w:fill="auto" w:val="clear"/>
            <w:vAlign w:val="center"/>
          </w:tcPr>
          <w:p>
            <w:pPr>
              <w:pStyle w:val="Normal"/>
              <w:jc w:val="center"/>
              <w:rPr>
                <w:sz w:val="20"/>
                <w:szCs w:val="20"/>
              </w:rPr>
            </w:pPr>
            <w:r>
              <w:rPr>
                <w:sz w:val="20"/>
                <w:szCs w:val="20"/>
              </w:rPr>
              <w:t>1,159</w:t>
            </w:r>
          </w:p>
        </w:tc>
        <w:tc>
          <w:tcPr>
            <w:tcW w:w="752" w:type="dxa"/>
            <w:tcBorders>
              <w:bottom w:val="single" w:sz="8" w:space="0" w:color="000000"/>
              <w:right w:val="single" w:sz="8" w:space="0" w:color="000000"/>
            </w:tcBorders>
            <w:shd w:color="auto" w:fill="auto" w:val="clear"/>
            <w:vAlign w:val="center"/>
          </w:tcPr>
          <w:p>
            <w:pPr>
              <w:pStyle w:val="Normal"/>
              <w:jc w:val="center"/>
              <w:rPr>
                <w:sz w:val="20"/>
                <w:szCs w:val="20"/>
              </w:rPr>
            </w:pPr>
            <w:r>
              <w:rPr>
                <w:sz w:val="20"/>
                <w:szCs w:val="20"/>
              </w:rPr>
              <w:t>0,999</w:t>
            </w:r>
          </w:p>
        </w:tc>
        <w:tc>
          <w:tcPr>
            <w:tcW w:w="917" w:type="dxa"/>
            <w:tcBorders>
              <w:bottom w:val="single" w:sz="8" w:space="0" w:color="000000"/>
              <w:right w:val="single" w:sz="8" w:space="0" w:color="000000"/>
            </w:tcBorders>
            <w:shd w:color="auto" w:fill="auto" w:val="clear"/>
            <w:vAlign w:val="center"/>
          </w:tcPr>
          <w:p>
            <w:pPr>
              <w:pStyle w:val="Normal"/>
              <w:jc w:val="center"/>
              <w:rPr>
                <w:sz w:val="20"/>
                <w:szCs w:val="20"/>
              </w:rPr>
            </w:pPr>
            <w:r>
              <w:rPr>
                <w:sz w:val="20"/>
                <w:szCs w:val="20"/>
              </w:rPr>
              <w:t>1,007</w:t>
            </w:r>
          </w:p>
        </w:tc>
        <w:tc>
          <w:tcPr>
            <w:tcW w:w="91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1,021</w:t>
            </w:r>
          </w:p>
        </w:tc>
        <w:tc>
          <w:tcPr>
            <w:tcW w:w="91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1,020</w:t>
            </w:r>
          </w:p>
        </w:tc>
        <w:tc>
          <w:tcPr>
            <w:tcW w:w="74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1,020</w:t>
            </w:r>
          </w:p>
        </w:tc>
        <w:tc>
          <w:tcPr>
            <w:tcW w:w="91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1,020</w:t>
            </w:r>
          </w:p>
        </w:tc>
        <w:tc>
          <w:tcPr>
            <w:tcW w:w="71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1,02</w:t>
            </w:r>
          </w:p>
        </w:tc>
        <w:tc>
          <w:tcPr>
            <w:tcW w:w="91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1,02</w:t>
            </w:r>
          </w:p>
        </w:tc>
        <w:tc>
          <w:tcPr>
            <w:tcW w:w="89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1,02</w:t>
            </w:r>
          </w:p>
        </w:tc>
      </w:tr>
      <w:tr>
        <w:trPr/>
        <w:tc>
          <w:tcPr>
            <w:tcW w:w="53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Cs/>
                <w:sz w:val="20"/>
                <w:szCs w:val="20"/>
              </w:rPr>
            </w:pPr>
            <w:r>
              <w:rPr>
                <w:bCs/>
                <w:sz w:val="20"/>
                <w:szCs w:val="20"/>
              </w:rPr>
              <w:t>3</w:t>
            </w:r>
          </w:p>
        </w:tc>
        <w:tc>
          <w:tcPr>
            <w:tcW w:w="3037" w:type="dxa"/>
            <w:tcBorders>
              <w:top w:val="single" w:sz="4" w:space="0" w:color="000000"/>
              <w:left w:val="single" w:sz="4" w:space="0" w:color="000000"/>
              <w:bottom w:val="single" w:sz="4" w:space="0" w:color="000000"/>
              <w:right w:val="single" w:sz="4" w:space="0" w:color="000000"/>
            </w:tcBorders>
            <w:vAlign w:val="center"/>
          </w:tcPr>
          <w:p>
            <w:pPr>
              <w:pStyle w:val="Normal"/>
              <w:rPr>
                <w:bCs/>
                <w:sz w:val="20"/>
                <w:szCs w:val="20"/>
              </w:rPr>
            </w:pPr>
            <w:r>
              <w:rPr>
                <w:bCs/>
                <w:sz w:val="20"/>
                <w:szCs w:val="20"/>
              </w:rPr>
              <w:t>Индекс роста цены на каменный уголь,</w:t>
            </w:r>
            <w:r>
              <w:rPr>
                <w:b/>
                <w:bCs/>
                <w:i/>
                <w:iCs/>
                <w:sz w:val="20"/>
                <w:szCs w:val="20"/>
              </w:rPr>
              <w:t xml:space="preserve"> I</w:t>
            </w:r>
            <w:r>
              <w:rPr>
                <w:b/>
                <w:bCs/>
                <w:i/>
                <w:iCs/>
                <w:sz w:val="20"/>
                <w:szCs w:val="20"/>
                <w:vertAlign w:val="subscript"/>
              </w:rPr>
              <w:t>КУ,i</w:t>
            </w:r>
          </w:p>
        </w:tc>
        <w:tc>
          <w:tcPr>
            <w:tcW w:w="75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1,165</w:t>
            </w:r>
          </w:p>
        </w:tc>
        <w:tc>
          <w:tcPr>
            <w:tcW w:w="75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1,537</w:t>
            </w:r>
          </w:p>
        </w:tc>
        <w:tc>
          <w:tcPr>
            <w:tcW w:w="754" w:type="dxa"/>
            <w:tcBorders>
              <w:left w:val="single" w:sz="8" w:space="0" w:color="000000"/>
              <w:bottom w:val="single" w:sz="8" w:space="0" w:color="000000"/>
              <w:right w:val="single" w:sz="8" w:space="0" w:color="000000"/>
            </w:tcBorders>
            <w:shd w:color="auto" w:fill="auto" w:val="clear"/>
            <w:vAlign w:val="center"/>
          </w:tcPr>
          <w:p>
            <w:pPr>
              <w:pStyle w:val="Normal"/>
              <w:jc w:val="center"/>
              <w:rPr>
                <w:sz w:val="20"/>
                <w:szCs w:val="20"/>
              </w:rPr>
            </w:pPr>
            <w:r>
              <w:rPr>
                <w:sz w:val="20"/>
                <w:szCs w:val="20"/>
              </w:rPr>
              <w:t>0,875</w:t>
            </w:r>
          </w:p>
        </w:tc>
        <w:tc>
          <w:tcPr>
            <w:tcW w:w="754" w:type="dxa"/>
            <w:tcBorders>
              <w:bottom w:val="single" w:sz="8" w:space="0" w:color="000000"/>
              <w:right w:val="single" w:sz="8" w:space="0" w:color="000000"/>
            </w:tcBorders>
            <w:shd w:color="auto" w:fill="auto" w:val="clear"/>
            <w:vAlign w:val="center"/>
          </w:tcPr>
          <w:p>
            <w:pPr>
              <w:pStyle w:val="Normal"/>
              <w:jc w:val="center"/>
              <w:rPr>
                <w:sz w:val="20"/>
                <w:szCs w:val="20"/>
              </w:rPr>
            </w:pPr>
            <w:r>
              <w:rPr>
                <w:sz w:val="20"/>
                <w:szCs w:val="20"/>
              </w:rPr>
              <w:t>1,057</w:t>
            </w:r>
          </w:p>
        </w:tc>
        <w:tc>
          <w:tcPr>
            <w:tcW w:w="752" w:type="dxa"/>
            <w:tcBorders>
              <w:bottom w:val="single" w:sz="8" w:space="0" w:color="000000"/>
              <w:right w:val="single" w:sz="8" w:space="0" w:color="000000"/>
            </w:tcBorders>
            <w:shd w:color="auto" w:fill="auto" w:val="clear"/>
            <w:vAlign w:val="center"/>
          </w:tcPr>
          <w:p>
            <w:pPr>
              <w:pStyle w:val="Normal"/>
              <w:jc w:val="center"/>
              <w:rPr>
                <w:sz w:val="20"/>
                <w:szCs w:val="20"/>
              </w:rPr>
            </w:pPr>
            <w:r>
              <w:rPr>
                <w:sz w:val="20"/>
                <w:szCs w:val="20"/>
              </w:rPr>
              <w:t>1,029</w:t>
            </w:r>
          </w:p>
        </w:tc>
        <w:tc>
          <w:tcPr>
            <w:tcW w:w="917" w:type="dxa"/>
            <w:tcBorders>
              <w:bottom w:val="single" w:sz="8" w:space="0" w:color="000000"/>
              <w:right w:val="single" w:sz="8" w:space="0" w:color="000000"/>
            </w:tcBorders>
            <w:shd w:color="auto" w:fill="auto" w:val="clear"/>
            <w:vAlign w:val="center"/>
          </w:tcPr>
          <w:p>
            <w:pPr>
              <w:pStyle w:val="Normal"/>
              <w:jc w:val="center"/>
              <w:rPr>
                <w:sz w:val="20"/>
                <w:szCs w:val="20"/>
              </w:rPr>
            </w:pPr>
            <w:r>
              <w:rPr>
                <w:sz w:val="20"/>
                <w:szCs w:val="20"/>
              </w:rPr>
              <w:t>1,03</w:t>
            </w:r>
          </w:p>
        </w:tc>
        <w:tc>
          <w:tcPr>
            <w:tcW w:w="91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1,038</w:t>
            </w:r>
          </w:p>
        </w:tc>
        <w:tc>
          <w:tcPr>
            <w:tcW w:w="91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1,036</w:t>
            </w:r>
          </w:p>
        </w:tc>
        <w:tc>
          <w:tcPr>
            <w:tcW w:w="74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1,036</w:t>
            </w:r>
          </w:p>
        </w:tc>
        <w:tc>
          <w:tcPr>
            <w:tcW w:w="91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1,036</w:t>
            </w:r>
          </w:p>
        </w:tc>
        <w:tc>
          <w:tcPr>
            <w:tcW w:w="71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1,036</w:t>
            </w:r>
          </w:p>
        </w:tc>
        <w:tc>
          <w:tcPr>
            <w:tcW w:w="91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1,036</w:t>
            </w:r>
          </w:p>
        </w:tc>
        <w:tc>
          <w:tcPr>
            <w:tcW w:w="89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1,036</w:t>
            </w:r>
          </w:p>
        </w:tc>
      </w:tr>
      <w:tr>
        <w:trPr/>
        <w:tc>
          <w:tcPr>
            <w:tcW w:w="53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Cs/>
                <w:sz w:val="20"/>
                <w:szCs w:val="20"/>
              </w:rPr>
            </w:pPr>
            <w:r>
              <w:rPr>
                <w:bCs/>
                <w:sz w:val="20"/>
                <w:szCs w:val="20"/>
              </w:rPr>
              <w:t>4</w:t>
            </w:r>
          </w:p>
        </w:tc>
        <w:tc>
          <w:tcPr>
            <w:tcW w:w="3037" w:type="dxa"/>
            <w:tcBorders>
              <w:top w:val="single" w:sz="4" w:space="0" w:color="000000"/>
              <w:left w:val="single" w:sz="4" w:space="0" w:color="000000"/>
              <w:bottom w:val="single" w:sz="4" w:space="0" w:color="000000"/>
              <w:right w:val="single" w:sz="4" w:space="0" w:color="000000"/>
            </w:tcBorders>
            <w:vAlign w:val="center"/>
          </w:tcPr>
          <w:p>
            <w:pPr>
              <w:pStyle w:val="Normal"/>
              <w:rPr>
                <w:sz w:val="20"/>
                <w:szCs w:val="20"/>
              </w:rPr>
            </w:pPr>
            <w:r>
              <w:rPr>
                <w:bCs/>
                <w:sz w:val="20"/>
                <w:szCs w:val="20"/>
              </w:rPr>
              <w:t xml:space="preserve">Индекс роста цены на электроэнергию (для всех категорий потребителей, за исключением населения), </w:t>
            </w:r>
            <w:r>
              <w:rPr>
                <w:b/>
                <w:bCs/>
                <w:i/>
                <w:iCs/>
                <w:sz w:val="20"/>
                <w:szCs w:val="20"/>
              </w:rPr>
              <w:t>I</w:t>
            </w:r>
            <w:r>
              <w:rPr>
                <w:b/>
                <w:bCs/>
                <w:i/>
                <w:iCs/>
                <w:sz w:val="20"/>
                <w:szCs w:val="20"/>
                <w:vertAlign w:val="subscript"/>
              </w:rPr>
              <w:t>ЭЭ,i</w:t>
            </w:r>
          </w:p>
        </w:tc>
        <w:tc>
          <w:tcPr>
            <w:tcW w:w="75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1,034</w:t>
            </w:r>
          </w:p>
        </w:tc>
        <w:tc>
          <w:tcPr>
            <w:tcW w:w="75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1,050</w:t>
            </w:r>
          </w:p>
        </w:tc>
        <w:tc>
          <w:tcPr>
            <w:tcW w:w="754" w:type="dxa"/>
            <w:tcBorders>
              <w:left w:val="single" w:sz="8" w:space="0" w:color="000000"/>
              <w:bottom w:val="single" w:sz="8" w:space="0" w:color="000000"/>
              <w:right w:val="single" w:sz="8" w:space="0" w:color="000000"/>
            </w:tcBorders>
            <w:shd w:color="auto" w:fill="auto" w:val="clear"/>
            <w:vAlign w:val="center"/>
          </w:tcPr>
          <w:p>
            <w:pPr>
              <w:pStyle w:val="Normal"/>
              <w:jc w:val="center"/>
              <w:rPr>
                <w:sz w:val="20"/>
                <w:szCs w:val="20"/>
              </w:rPr>
            </w:pPr>
            <w:r>
              <w:rPr>
                <w:sz w:val="20"/>
                <w:szCs w:val="20"/>
              </w:rPr>
              <w:t>1,075</w:t>
            </w:r>
          </w:p>
        </w:tc>
        <w:tc>
          <w:tcPr>
            <w:tcW w:w="754" w:type="dxa"/>
            <w:tcBorders>
              <w:bottom w:val="single" w:sz="8" w:space="0" w:color="000000"/>
              <w:right w:val="single" w:sz="8" w:space="0" w:color="000000"/>
            </w:tcBorders>
            <w:shd w:color="auto" w:fill="auto" w:val="clear"/>
            <w:vAlign w:val="center"/>
          </w:tcPr>
          <w:p>
            <w:pPr>
              <w:pStyle w:val="Normal"/>
              <w:jc w:val="center"/>
              <w:rPr>
                <w:sz w:val="20"/>
                <w:szCs w:val="20"/>
              </w:rPr>
            </w:pPr>
            <w:r>
              <w:rPr>
                <w:sz w:val="20"/>
                <w:szCs w:val="20"/>
              </w:rPr>
              <w:t>1,056</w:t>
            </w:r>
          </w:p>
        </w:tc>
        <w:tc>
          <w:tcPr>
            <w:tcW w:w="752" w:type="dxa"/>
            <w:tcBorders>
              <w:bottom w:val="single" w:sz="8" w:space="0" w:color="000000"/>
              <w:right w:val="single" w:sz="8" w:space="0" w:color="000000"/>
            </w:tcBorders>
            <w:shd w:color="auto" w:fill="auto" w:val="clear"/>
            <w:vAlign w:val="center"/>
          </w:tcPr>
          <w:p>
            <w:pPr>
              <w:pStyle w:val="Normal"/>
              <w:jc w:val="center"/>
              <w:rPr>
                <w:sz w:val="20"/>
                <w:szCs w:val="20"/>
              </w:rPr>
            </w:pPr>
            <w:r>
              <w:rPr>
                <w:sz w:val="20"/>
                <w:szCs w:val="20"/>
              </w:rPr>
              <w:t>1,049</w:t>
            </w:r>
          </w:p>
        </w:tc>
        <w:tc>
          <w:tcPr>
            <w:tcW w:w="917" w:type="dxa"/>
            <w:tcBorders>
              <w:bottom w:val="single" w:sz="8" w:space="0" w:color="000000"/>
              <w:right w:val="single" w:sz="8" w:space="0" w:color="000000"/>
            </w:tcBorders>
            <w:shd w:color="auto" w:fill="auto" w:val="clear"/>
            <w:vAlign w:val="center"/>
          </w:tcPr>
          <w:p>
            <w:pPr>
              <w:pStyle w:val="Normal"/>
              <w:jc w:val="center"/>
              <w:rPr>
                <w:sz w:val="20"/>
                <w:szCs w:val="20"/>
              </w:rPr>
            </w:pPr>
            <w:r>
              <w:rPr>
                <w:sz w:val="20"/>
                <w:szCs w:val="20"/>
              </w:rPr>
              <w:t>1,03</w:t>
            </w:r>
          </w:p>
        </w:tc>
        <w:tc>
          <w:tcPr>
            <w:tcW w:w="91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1,015</w:t>
            </w:r>
          </w:p>
        </w:tc>
        <w:tc>
          <w:tcPr>
            <w:tcW w:w="91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1,000</w:t>
            </w:r>
          </w:p>
        </w:tc>
        <w:tc>
          <w:tcPr>
            <w:tcW w:w="74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1,000</w:t>
            </w:r>
          </w:p>
        </w:tc>
        <w:tc>
          <w:tcPr>
            <w:tcW w:w="91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1,000</w:t>
            </w:r>
          </w:p>
        </w:tc>
        <w:tc>
          <w:tcPr>
            <w:tcW w:w="71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1,000</w:t>
            </w:r>
          </w:p>
        </w:tc>
        <w:tc>
          <w:tcPr>
            <w:tcW w:w="91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1,000</w:t>
            </w:r>
          </w:p>
        </w:tc>
        <w:tc>
          <w:tcPr>
            <w:tcW w:w="89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1,000</w:t>
            </w:r>
          </w:p>
        </w:tc>
      </w:tr>
      <w:tr>
        <w:trPr/>
        <w:tc>
          <w:tcPr>
            <w:tcW w:w="53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Cs/>
                <w:sz w:val="20"/>
                <w:szCs w:val="20"/>
              </w:rPr>
            </w:pPr>
            <w:r>
              <w:rPr>
                <w:bCs/>
                <w:sz w:val="20"/>
                <w:szCs w:val="20"/>
              </w:rPr>
              <w:t>5</w:t>
            </w:r>
          </w:p>
        </w:tc>
        <w:tc>
          <w:tcPr>
            <w:tcW w:w="3037" w:type="dxa"/>
            <w:tcBorders>
              <w:top w:val="single" w:sz="4" w:space="0" w:color="000000"/>
              <w:left w:val="single" w:sz="4" w:space="0" w:color="000000"/>
              <w:bottom w:val="single" w:sz="4" w:space="0" w:color="000000"/>
              <w:right w:val="single" w:sz="4" w:space="0" w:color="000000"/>
            </w:tcBorders>
            <w:vAlign w:val="center"/>
          </w:tcPr>
          <w:p>
            <w:pPr>
              <w:pStyle w:val="Normal"/>
              <w:rPr>
                <w:sz w:val="20"/>
                <w:szCs w:val="20"/>
              </w:rPr>
            </w:pPr>
            <w:r>
              <w:rPr>
                <w:bCs/>
                <w:sz w:val="20"/>
                <w:szCs w:val="20"/>
              </w:rPr>
              <w:t xml:space="preserve">Индекс роста цены на услуги водоснабжения/водоотведения, </w:t>
            </w:r>
            <w:r>
              <w:rPr>
                <w:b/>
                <w:bCs/>
                <w:i/>
                <w:iCs/>
                <w:sz w:val="20"/>
                <w:szCs w:val="20"/>
              </w:rPr>
              <w:t>I</w:t>
            </w:r>
            <w:r>
              <w:rPr>
                <w:b/>
                <w:bCs/>
                <w:i/>
                <w:iCs/>
                <w:sz w:val="20"/>
                <w:szCs w:val="20"/>
                <w:vertAlign w:val="subscript"/>
              </w:rPr>
              <w:t>ВС/ВО</w:t>
            </w:r>
          </w:p>
        </w:tc>
        <w:tc>
          <w:tcPr>
            <w:tcW w:w="75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1,039</w:t>
            </w:r>
          </w:p>
        </w:tc>
        <w:tc>
          <w:tcPr>
            <w:tcW w:w="75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1,042</w:t>
            </w:r>
          </w:p>
        </w:tc>
        <w:tc>
          <w:tcPr>
            <w:tcW w:w="754" w:type="dxa"/>
            <w:tcBorders>
              <w:left w:val="single" w:sz="8" w:space="0" w:color="000000"/>
              <w:bottom w:val="single" w:sz="8" w:space="0" w:color="000000"/>
              <w:right w:val="single" w:sz="8" w:space="0" w:color="000000"/>
            </w:tcBorders>
            <w:shd w:color="auto" w:fill="auto" w:val="clear"/>
            <w:vAlign w:val="center"/>
          </w:tcPr>
          <w:p>
            <w:pPr>
              <w:pStyle w:val="Normal"/>
              <w:jc w:val="center"/>
              <w:rPr>
                <w:sz w:val="20"/>
                <w:szCs w:val="20"/>
              </w:rPr>
            </w:pPr>
            <w:r>
              <w:rPr>
                <w:sz w:val="20"/>
                <w:szCs w:val="20"/>
              </w:rPr>
              <w:t>1,043</w:t>
            </w:r>
          </w:p>
        </w:tc>
        <w:tc>
          <w:tcPr>
            <w:tcW w:w="754" w:type="dxa"/>
            <w:tcBorders>
              <w:bottom w:val="single" w:sz="8" w:space="0" w:color="000000"/>
              <w:right w:val="single" w:sz="8" w:space="0" w:color="000000"/>
            </w:tcBorders>
            <w:shd w:color="auto" w:fill="auto" w:val="clear"/>
            <w:vAlign w:val="center"/>
          </w:tcPr>
          <w:p>
            <w:pPr>
              <w:pStyle w:val="Normal"/>
              <w:jc w:val="center"/>
              <w:rPr>
                <w:sz w:val="20"/>
                <w:szCs w:val="20"/>
              </w:rPr>
            </w:pPr>
            <w:r>
              <w:rPr>
                <w:sz w:val="20"/>
                <w:szCs w:val="20"/>
              </w:rPr>
              <w:t>1,044</w:t>
            </w:r>
          </w:p>
        </w:tc>
        <w:tc>
          <w:tcPr>
            <w:tcW w:w="752" w:type="dxa"/>
            <w:tcBorders>
              <w:bottom w:val="single" w:sz="8" w:space="0" w:color="000000"/>
              <w:right w:val="single" w:sz="8" w:space="0" w:color="000000"/>
            </w:tcBorders>
            <w:shd w:color="auto" w:fill="auto" w:val="clear"/>
            <w:vAlign w:val="center"/>
          </w:tcPr>
          <w:p>
            <w:pPr>
              <w:pStyle w:val="Normal"/>
              <w:jc w:val="center"/>
              <w:rPr>
                <w:sz w:val="20"/>
                <w:szCs w:val="20"/>
              </w:rPr>
            </w:pPr>
            <w:r>
              <w:rPr>
                <w:sz w:val="20"/>
                <w:szCs w:val="20"/>
              </w:rPr>
              <w:t>1,06</w:t>
            </w:r>
          </w:p>
        </w:tc>
        <w:tc>
          <w:tcPr>
            <w:tcW w:w="917" w:type="dxa"/>
            <w:tcBorders>
              <w:bottom w:val="single" w:sz="8" w:space="0" w:color="000000"/>
              <w:right w:val="single" w:sz="8" w:space="0" w:color="000000"/>
            </w:tcBorders>
            <w:shd w:color="auto" w:fill="auto" w:val="clear"/>
            <w:vAlign w:val="center"/>
          </w:tcPr>
          <w:p>
            <w:pPr>
              <w:pStyle w:val="Normal"/>
              <w:jc w:val="center"/>
              <w:rPr>
                <w:sz w:val="20"/>
                <w:szCs w:val="20"/>
              </w:rPr>
            </w:pPr>
            <w:r>
              <w:rPr>
                <w:sz w:val="20"/>
                <w:szCs w:val="20"/>
              </w:rPr>
              <w:t>1,045</w:t>
            </w:r>
          </w:p>
        </w:tc>
        <w:tc>
          <w:tcPr>
            <w:tcW w:w="91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1,028</w:t>
            </w:r>
          </w:p>
        </w:tc>
        <w:tc>
          <w:tcPr>
            <w:tcW w:w="91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1,027</w:t>
            </w:r>
          </w:p>
        </w:tc>
        <w:tc>
          <w:tcPr>
            <w:tcW w:w="74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1,027</w:t>
            </w:r>
          </w:p>
        </w:tc>
        <w:tc>
          <w:tcPr>
            <w:tcW w:w="91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1,027</w:t>
            </w:r>
          </w:p>
        </w:tc>
        <w:tc>
          <w:tcPr>
            <w:tcW w:w="71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1,027</w:t>
            </w:r>
          </w:p>
        </w:tc>
        <w:tc>
          <w:tcPr>
            <w:tcW w:w="91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1,027</w:t>
            </w:r>
          </w:p>
        </w:tc>
        <w:tc>
          <w:tcPr>
            <w:tcW w:w="89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1,027</w:t>
            </w:r>
          </w:p>
        </w:tc>
      </w:tr>
      <w:tr>
        <w:trPr/>
        <w:tc>
          <w:tcPr>
            <w:tcW w:w="53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Cs/>
                <w:sz w:val="20"/>
                <w:szCs w:val="20"/>
              </w:rPr>
            </w:pPr>
            <w:r>
              <w:rPr>
                <w:bCs/>
                <w:sz w:val="20"/>
                <w:szCs w:val="20"/>
              </w:rPr>
              <w:t>6</w:t>
            </w:r>
          </w:p>
        </w:tc>
        <w:tc>
          <w:tcPr>
            <w:tcW w:w="3037" w:type="dxa"/>
            <w:tcBorders>
              <w:top w:val="single" w:sz="4" w:space="0" w:color="000000"/>
              <w:left w:val="single" w:sz="4" w:space="0" w:color="000000"/>
              <w:bottom w:val="single" w:sz="4" w:space="0" w:color="000000"/>
              <w:right w:val="single" w:sz="4" w:space="0" w:color="000000"/>
            </w:tcBorders>
            <w:vAlign w:val="center"/>
          </w:tcPr>
          <w:p>
            <w:pPr>
              <w:pStyle w:val="Normal"/>
              <w:rPr>
                <w:sz w:val="20"/>
                <w:szCs w:val="20"/>
              </w:rPr>
            </w:pPr>
            <w:r>
              <w:rPr>
                <w:bCs/>
                <w:sz w:val="20"/>
                <w:szCs w:val="20"/>
              </w:rPr>
              <w:t xml:space="preserve">Индекс роста цены на покупную тепловую энергию, </w:t>
            </w:r>
            <w:r>
              <w:rPr>
                <w:b/>
                <w:bCs/>
                <w:i/>
                <w:iCs/>
                <w:sz w:val="20"/>
                <w:szCs w:val="20"/>
              </w:rPr>
              <w:t>I</w:t>
            </w:r>
            <w:r>
              <w:rPr>
                <w:b/>
                <w:bCs/>
                <w:i/>
                <w:iCs/>
                <w:sz w:val="20"/>
                <w:szCs w:val="20"/>
                <w:vertAlign w:val="subscript"/>
              </w:rPr>
              <w:t>ТЭ,i</w:t>
            </w:r>
          </w:p>
        </w:tc>
        <w:tc>
          <w:tcPr>
            <w:tcW w:w="75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1,148</w:t>
            </w:r>
          </w:p>
        </w:tc>
        <w:tc>
          <w:tcPr>
            <w:tcW w:w="75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1,139</w:t>
            </w:r>
          </w:p>
        </w:tc>
        <w:tc>
          <w:tcPr>
            <w:tcW w:w="754" w:type="dxa"/>
            <w:tcBorders>
              <w:left w:val="single" w:sz="8" w:space="0" w:color="000000"/>
              <w:bottom w:val="single" w:sz="8" w:space="0" w:color="000000"/>
              <w:right w:val="single" w:sz="8" w:space="0" w:color="000000"/>
            </w:tcBorders>
            <w:shd w:color="auto" w:fill="auto" w:val="clear"/>
            <w:vAlign w:val="center"/>
          </w:tcPr>
          <w:p>
            <w:pPr>
              <w:pStyle w:val="Normal"/>
              <w:jc w:val="center"/>
              <w:rPr>
                <w:sz w:val="20"/>
                <w:szCs w:val="20"/>
              </w:rPr>
            </w:pPr>
            <w:r>
              <w:rPr>
                <w:sz w:val="20"/>
                <w:szCs w:val="20"/>
              </w:rPr>
              <w:t>1,045</w:t>
            </w:r>
          </w:p>
        </w:tc>
        <w:tc>
          <w:tcPr>
            <w:tcW w:w="754" w:type="dxa"/>
            <w:tcBorders>
              <w:bottom w:val="single" w:sz="8" w:space="0" w:color="000000"/>
              <w:right w:val="single" w:sz="8" w:space="0" w:color="000000"/>
            </w:tcBorders>
            <w:shd w:color="auto" w:fill="auto" w:val="clear"/>
            <w:vAlign w:val="center"/>
          </w:tcPr>
          <w:p>
            <w:pPr>
              <w:pStyle w:val="Normal"/>
              <w:jc w:val="center"/>
              <w:rPr>
                <w:sz w:val="20"/>
                <w:szCs w:val="20"/>
              </w:rPr>
            </w:pPr>
            <w:r>
              <w:rPr>
                <w:sz w:val="20"/>
                <w:szCs w:val="20"/>
              </w:rPr>
              <w:t>1,064</w:t>
            </w:r>
          </w:p>
        </w:tc>
        <w:tc>
          <w:tcPr>
            <w:tcW w:w="752" w:type="dxa"/>
            <w:tcBorders>
              <w:bottom w:val="single" w:sz="8" w:space="0" w:color="000000"/>
              <w:right w:val="single" w:sz="8" w:space="0" w:color="000000"/>
            </w:tcBorders>
            <w:shd w:color="auto" w:fill="auto" w:val="clear"/>
            <w:vAlign w:val="center"/>
          </w:tcPr>
          <w:p>
            <w:pPr>
              <w:pStyle w:val="Normal"/>
              <w:jc w:val="center"/>
              <w:rPr>
                <w:sz w:val="20"/>
                <w:szCs w:val="20"/>
              </w:rPr>
            </w:pPr>
            <w:r>
              <w:rPr>
                <w:sz w:val="20"/>
                <w:szCs w:val="20"/>
              </w:rPr>
              <w:t>1,044</w:t>
            </w:r>
          </w:p>
        </w:tc>
        <w:tc>
          <w:tcPr>
            <w:tcW w:w="917" w:type="dxa"/>
            <w:tcBorders>
              <w:bottom w:val="single" w:sz="8" w:space="0" w:color="000000"/>
              <w:right w:val="single" w:sz="8" w:space="0" w:color="000000"/>
            </w:tcBorders>
            <w:shd w:color="auto" w:fill="auto" w:val="clear"/>
            <w:vAlign w:val="center"/>
          </w:tcPr>
          <w:p>
            <w:pPr>
              <w:pStyle w:val="Normal"/>
              <w:jc w:val="center"/>
              <w:rPr>
                <w:sz w:val="20"/>
                <w:szCs w:val="20"/>
              </w:rPr>
            </w:pPr>
            <w:r>
              <w:rPr>
                <w:sz w:val="20"/>
                <w:szCs w:val="20"/>
              </w:rPr>
              <w:t>1,039</w:t>
            </w:r>
          </w:p>
        </w:tc>
        <w:tc>
          <w:tcPr>
            <w:tcW w:w="91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1,023</w:t>
            </w:r>
          </w:p>
        </w:tc>
        <w:tc>
          <w:tcPr>
            <w:tcW w:w="91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1,023</w:t>
            </w:r>
          </w:p>
        </w:tc>
        <w:tc>
          <w:tcPr>
            <w:tcW w:w="74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1,039</w:t>
            </w:r>
          </w:p>
        </w:tc>
        <w:tc>
          <w:tcPr>
            <w:tcW w:w="91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1,039</w:t>
            </w:r>
          </w:p>
        </w:tc>
        <w:tc>
          <w:tcPr>
            <w:tcW w:w="71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1,023</w:t>
            </w:r>
          </w:p>
        </w:tc>
        <w:tc>
          <w:tcPr>
            <w:tcW w:w="91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1,023</w:t>
            </w:r>
          </w:p>
        </w:tc>
        <w:tc>
          <w:tcPr>
            <w:tcW w:w="89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1,039</w:t>
            </w:r>
          </w:p>
        </w:tc>
      </w:tr>
    </w:tbl>
    <w:p>
      <w:pPr>
        <w:pStyle w:val="Normal"/>
        <w:spacing w:before="0" w:after="0"/>
        <w:ind w:firstLine="709"/>
        <w:contextualSpacing/>
        <w:jc w:val="both"/>
        <w:rPr>
          <w:lang w:eastAsia="ru-RU"/>
        </w:rPr>
      </w:pPr>
      <w:bookmarkStart w:id="502" w:name="_Hlk160712310"/>
      <w:bookmarkEnd w:id="502"/>
      <w:r>
        <w:rPr>
          <w:szCs w:val="28"/>
          <w:lang w:eastAsia="ru-RU"/>
        </w:rPr>
        <w:t>Тарифно-балансовые модели т</w:t>
      </w:r>
      <w:r>
        <w:rPr>
          <w:lang w:eastAsia="ru-RU"/>
        </w:rPr>
        <w:t>еплоснабжения потребителей по каждой системе теплоснабжения приведены в таблице 15.</w:t>
      </w:r>
    </w:p>
    <w:p>
      <w:pPr>
        <w:pStyle w:val="Normal"/>
        <w:jc w:val="right"/>
        <w:rPr>
          <w:rFonts w:eastAsia="Calibri" w:cs="Calibri"/>
          <w:iCs/>
          <w:lang w:eastAsia="en-US"/>
        </w:rPr>
      </w:pPr>
      <w:r>
        <w:rPr>
          <w:rFonts w:eastAsia="Calibri" w:cs="Calibri"/>
          <w:iCs/>
          <w:lang w:eastAsia="en-US"/>
        </w:rPr>
        <w:t xml:space="preserve">Таблица </w:t>
      </w:r>
      <w:r>
        <w:rPr>
          <w:rFonts w:eastAsia="Calibri" w:cs="Calibri"/>
          <w:iCs/>
          <w:sz w:val="24"/>
          <w:lang w:eastAsia="en-US" w:bidi="ar-SA"/>
        </w:rPr>
        <w:t>15</w:t>
      </w:r>
      <w:r>
        <w:rPr>
          <w:rFonts w:eastAsia="Calibri" w:cs="Calibri"/>
          <w:iCs/>
          <w:lang w:eastAsia="en-US"/>
        </w:rPr>
        <w:t xml:space="preserve"> – Тарифно-балансовые модели теплоснабжения потребителей</w:t>
      </w:r>
    </w:p>
    <w:tbl>
      <w:tblPr>
        <w:tblW w:w="5000" w:type="pct"/>
        <w:jc w:val="center"/>
        <w:tblInd w:w="0" w:type="dxa"/>
        <w:tblCellMar>
          <w:top w:w="0" w:type="dxa"/>
          <w:left w:w="108" w:type="dxa"/>
          <w:bottom w:w="0" w:type="dxa"/>
          <w:right w:w="108" w:type="dxa"/>
        </w:tblCellMar>
        <w:tblLook w:val="04a0" w:noVBand="1" w:noHBand="0" w:lastColumn="0" w:firstColumn="1" w:lastRow="0" w:firstRow="1"/>
      </w:tblPr>
      <w:tblGrid>
        <w:gridCol w:w="611"/>
        <w:gridCol w:w="5091"/>
        <w:gridCol w:w="1173"/>
        <w:gridCol w:w="951"/>
        <w:gridCol w:w="953"/>
        <w:gridCol w:w="953"/>
        <w:gridCol w:w="951"/>
        <w:gridCol w:w="1016"/>
        <w:gridCol w:w="852"/>
        <w:gridCol w:w="1017"/>
        <w:gridCol w:w="1000"/>
      </w:tblGrid>
      <w:tr>
        <w:trPr>
          <w:tblHeader w:val="true"/>
          <w:cantSplit w:val="true"/>
        </w:trPr>
        <w:tc>
          <w:tcPr>
            <w:tcW w:w="61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Cs/>
                <w:sz w:val="20"/>
                <w:szCs w:val="20"/>
              </w:rPr>
            </w:pPr>
            <w:r>
              <w:rPr>
                <w:bCs/>
                <w:sz w:val="20"/>
                <w:szCs w:val="20"/>
              </w:rPr>
              <w:t xml:space="preserve">№ </w:t>
            </w:r>
            <w:r>
              <w:rPr>
                <w:bCs/>
                <w:sz w:val="20"/>
                <w:szCs w:val="20"/>
              </w:rPr>
              <w:t>п/п</w:t>
            </w:r>
          </w:p>
        </w:tc>
        <w:tc>
          <w:tcPr>
            <w:tcW w:w="509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bCs/>
                <w:sz w:val="20"/>
                <w:szCs w:val="20"/>
              </w:rPr>
            </w:pPr>
            <w:r>
              <w:rPr>
                <w:bCs/>
                <w:sz w:val="20"/>
                <w:szCs w:val="20"/>
              </w:rPr>
              <w:t>Наименование</w:t>
            </w:r>
          </w:p>
        </w:tc>
        <w:tc>
          <w:tcPr>
            <w:tcW w:w="117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136" w:right="-184" w:hanging="0"/>
              <w:jc w:val="center"/>
              <w:rPr>
                <w:bCs/>
                <w:sz w:val="20"/>
                <w:szCs w:val="20"/>
              </w:rPr>
            </w:pPr>
            <w:r>
              <w:rPr>
                <w:bCs/>
                <w:sz w:val="20"/>
                <w:szCs w:val="20"/>
              </w:rPr>
              <w:t>Ед. измерения</w:t>
            </w:r>
          </w:p>
        </w:tc>
        <w:tc>
          <w:tcPr>
            <w:tcW w:w="9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136" w:right="-184" w:hanging="0"/>
              <w:jc w:val="center"/>
              <w:rPr>
                <w:rFonts w:eastAsia="" w:eastAsiaTheme="majorEastAsia"/>
                <w:b/>
                <w:b/>
                <w:bCs/>
                <w:sz w:val="26"/>
                <w:szCs w:val="26"/>
              </w:rPr>
            </w:pPr>
            <w:r>
              <w:rPr>
                <w:iCs/>
                <w:sz w:val="20"/>
                <w:szCs w:val="20"/>
              </w:rPr>
              <w:t>2023 год</w:t>
            </w:r>
          </w:p>
        </w:tc>
        <w:tc>
          <w:tcPr>
            <w:tcW w:w="9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136" w:right="-184" w:hanging="0"/>
              <w:jc w:val="center"/>
              <w:rPr>
                <w:rFonts w:eastAsia="" w:eastAsiaTheme="majorEastAsia"/>
                <w:b/>
                <w:b/>
                <w:bCs/>
                <w:sz w:val="26"/>
                <w:szCs w:val="26"/>
              </w:rPr>
            </w:pPr>
            <w:r>
              <w:rPr>
                <w:iCs/>
                <w:sz w:val="20"/>
                <w:szCs w:val="20"/>
              </w:rPr>
              <w:t>2024 год</w:t>
            </w:r>
          </w:p>
        </w:tc>
        <w:tc>
          <w:tcPr>
            <w:tcW w:w="9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136" w:right="-184" w:hanging="0"/>
              <w:jc w:val="center"/>
              <w:rPr>
                <w:rFonts w:eastAsia="" w:eastAsiaTheme="majorEastAsia"/>
                <w:b/>
                <w:b/>
                <w:bCs/>
                <w:sz w:val="26"/>
                <w:szCs w:val="26"/>
              </w:rPr>
            </w:pPr>
            <w:r>
              <w:rPr>
                <w:iCs/>
                <w:sz w:val="20"/>
                <w:szCs w:val="20"/>
              </w:rPr>
              <w:t>2025 год</w:t>
            </w:r>
          </w:p>
        </w:tc>
        <w:tc>
          <w:tcPr>
            <w:tcW w:w="9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136" w:right="-184" w:hanging="0"/>
              <w:jc w:val="center"/>
              <w:rPr>
                <w:rFonts w:eastAsia="" w:eastAsiaTheme="majorEastAsia"/>
                <w:b/>
                <w:b/>
                <w:bCs/>
                <w:sz w:val="26"/>
                <w:szCs w:val="26"/>
              </w:rPr>
            </w:pPr>
            <w:r>
              <w:rPr>
                <w:iCs/>
                <w:sz w:val="20"/>
                <w:szCs w:val="20"/>
              </w:rPr>
              <w:t>2026 год</w:t>
            </w:r>
          </w:p>
        </w:tc>
        <w:tc>
          <w:tcPr>
            <w:tcW w:w="10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136" w:right="-184" w:hanging="0"/>
              <w:jc w:val="center"/>
              <w:rPr>
                <w:rFonts w:eastAsia="" w:eastAsiaTheme="majorEastAsia"/>
                <w:b/>
                <w:b/>
                <w:bCs/>
                <w:sz w:val="26"/>
                <w:szCs w:val="26"/>
              </w:rPr>
            </w:pPr>
            <w:r>
              <w:rPr>
                <w:iCs/>
                <w:sz w:val="20"/>
                <w:szCs w:val="20"/>
              </w:rPr>
              <w:t>2027 год</w:t>
            </w:r>
          </w:p>
        </w:tc>
        <w:tc>
          <w:tcPr>
            <w:tcW w:w="8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136" w:right="-184" w:hanging="0"/>
              <w:jc w:val="center"/>
              <w:rPr>
                <w:rFonts w:eastAsia="" w:eastAsiaTheme="majorEastAsia"/>
                <w:b/>
                <w:b/>
                <w:bCs/>
                <w:sz w:val="26"/>
                <w:szCs w:val="26"/>
              </w:rPr>
            </w:pPr>
            <w:r>
              <w:rPr>
                <w:iCs/>
                <w:sz w:val="20"/>
                <w:szCs w:val="20"/>
              </w:rPr>
              <w:t>2028 год</w:t>
            </w:r>
          </w:p>
        </w:tc>
        <w:tc>
          <w:tcPr>
            <w:tcW w:w="10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136" w:right="-184" w:hanging="0"/>
              <w:jc w:val="center"/>
              <w:rPr>
                <w:rFonts w:eastAsia="" w:eastAsiaTheme="majorEastAsia"/>
                <w:b/>
                <w:b/>
                <w:bCs/>
                <w:sz w:val="26"/>
                <w:szCs w:val="26"/>
              </w:rPr>
            </w:pPr>
            <w:r>
              <w:rPr>
                <w:sz w:val="20"/>
                <w:szCs w:val="20"/>
              </w:rPr>
              <w:t>2029-2034 год</w:t>
            </w:r>
          </w:p>
        </w:tc>
        <w:tc>
          <w:tcPr>
            <w:tcW w:w="10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136" w:right="-184" w:hanging="0"/>
              <w:jc w:val="center"/>
              <w:rPr>
                <w:rFonts w:eastAsia="" w:eastAsiaTheme="majorEastAsia"/>
                <w:b/>
                <w:b/>
                <w:bCs/>
                <w:sz w:val="26"/>
                <w:szCs w:val="26"/>
              </w:rPr>
            </w:pPr>
            <w:r>
              <w:rPr>
                <w:sz w:val="20"/>
                <w:szCs w:val="20"/>
              </w:rPr>
              <w:t xml:space="preserve">2035 – 2040 </w:t>
            </w:r>
            <w:r>
              <w:rPr>
                <w:iCs/>
                <w:sz w:val="20"/>
                <w:szCs w:val="20"/>
              </w:rPr>
              <w:t>годы</w:t>
            </w:r>
          </w:p>
        </w:tc>
      </w:tr>
      <w:tr>
        <w:trPr>
          <w:cantSplit w:val="true"/>
        </w:trPr>
        <w:tc>
          <w:tcPr>
            <w:tcW w:w="61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Cs/>
                <w:sz w:val="20"/>
                <w:szCs w:val="20"/>
              </w:rPr>
            </w:pPr>
            <w:r>
              <w:rPr>
                <w:bCs/>
                <w:sz w:val="20"/>
                <w:szCs w:val="20"/>
              </w:rPr>
              <w:t>1</w:t>
            </w:r>
          </w:p>
        </w:tc>
        <w:tc>
          <w:tcPr>
            <w:tcW w:w="509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Производство тепловой энергии</w:t>
            </w:r>
          </w:p>
        </w:tc>
        <w:tc>
          <w:tcPr>
            <w:tcW w:w="117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136" w:right="-184" w:hanging="0"/>
              <w:jc w:val="center"/>
              <w:rPr>
                <w:sz w:val="20"/>
                <w:szCs w:val="20"/>
              </w:rPr>
            </w:pPr>
            <w:r>
              <w:rPr>
                <w:sz w:val="20"/>
                <w:szCs w:val="20"/>
              </w:rPr>
              <w:t>Гкал</w:t>
            </w:r>
          </w:p>
        </w:tc>
        <w:tc>
          <w:tcPr>
            <w:tcW w:w="95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rFonts w:eastAsia="" w:eastAsiaTheme="majorEastAsia"/>
                <w:b/>
                <w:b/>
                <w:bCs/>
                <w:sz w:val="26"/>
                <w:szCs w:val="26"/>
              </w:rPr>
            </w:pPr>
            <w:r>
              <w:rPr>
                <w:sz w:val="20"/>
                <w:szCs w:val="20"/>
              </w:rPr>
              <w:t>37384,3</w:t>
            </w:r>
          </w:p>
        </w:tc>
        <w:tc>
          <w:tcPr>
            <w:tcW w:w="95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rFonts w:eastAsia="" w:eastAsiaTheme="majorEastAsia"/>
                <w:b/>
                <w:b/>
                <w:bCs/>
                <w:sz w:val="26"/>
                <w:szCs w:val="26"/>
              </w:rPr>
            </w:pPr>
            <w:r>
              <w:rPr>
                <w:sz w:val="20"/>
                <w:szCs w:val="20"/>
              </w:rPr>
              <w:t>27551,4</w:t>
            </w:r>
          </w:p>
        </w:tc>
        <w:tc>
          <w:tcPr>
            <w:tcW w:w="95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rFonts w:eastAsia="" w:eastAsiaTheme="majorEastAsia"/>
                <w:b/>
                <w:b/>
                <w:bCs/>
                <w:sz w:val="26"/>
                <w:szCs w:val="26"/>
              </w:rPr>
            </w:pPr>
            <w:r>
              <w:rPr>
                <w:sz w:val="20"/>
                <w:szCs w:val="20"/>
              </w:rPr>
              <w:t>27551,4</w:t>
            </w:r>
          </w:p>
        </w:tc>
        <w:tc>
          <w:tcPr>
            <w:tcW w:w="95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rFonts w:eastAsia="" w:eastAsiaTheme="majorEastAsia"/>
                <w:b/>
                <w:b/>
                <w:bCs/>
                <w:sz w:val="26"/>
                <w:szCs w:val="26"/>
              </w:rPr>
            </w:pPr>
            <w:r>
              <w:rPr>
                <w:sz w:val="20"/>
                <w:szCs w:val="20"/>
              </w:rPr>
              <w:t>27551,4</w:t>
            </w:r>
          </w:p>
        </w:tc>
        <w:tc>
          <w:tcPr>
            <w:tcW w:w="101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rFonts w:eastAsia="" w:eastAsiaTheme="majorEastAsia"/>
                <w:b/>
                <w:b/>
                <w:bCs/>
                <w:sz w:val="26"/>
                <w:szCs w:val="26"/>
              </w:rPr>
            </w:pPr>
            <w:r>
              <w:rPr>
                <w:sz w:val="20"/>
                <w:szCs w:val="20"/>
              </w:rPr>
              <w:t>27551,4</w:t>
            </w:r>
          </w:p>
        </w:tc>
        <w:tc>
          <w:tcPr>
            <w:tcW w:w="85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rFonts w:eastAsia="" w:eastAsiaTheme="majorEastAsia"/>
                <w:b/>
                <w:b/>
                <w:bCs/>
                <w:sz w:val="26"/>
                <w:szCs w:val="26"/>
              </w:rPr>
            </w:pPr>
            <w:r>
              <w:rPr>
                <w:sz w:val="20"/>
                <w:szCs w:val="20"/>
              </w:rPr>
              <w:t>27551,4</w:t>
            </w:r>
          </w:p>
        </w:tc>
        <w:tc>
          <w:tcPr>
            <w:tcW w:w="101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rFonts w:eastAsia="" w:eastAsiaTheme="majorEastAsia"/>
                <w:b/>
                <w:b/>
                <w:bCs/>
                <w:sz w:val="26"/>
                <w:szCs w:val="26"/>
              </w:rPr>
            </w:pPr>
            <w:r>
              <w:rPr>
                <w:sz w:val="20"/>
                <w:szCs w:val="20"/>
              </w:rPr>
              <w:t>27551,4</w:t>
            </w:r>
          </w:p>
        </w:tc>
        <w:tc>
          <w:tcPr>
            <w:tcW w:w="100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rFonts w:eastAsia="" w:eastAsiaTheme="majorEastAsia"/>
                <w:b/>
                <w:b/>
                <w:bCs/>
                <w:sz w:val="26"/>
                <w:szCs w:val="26"/>
              </w:rPr>
            </w:pPr>
            <w:r>
              <w:rPr>
                <w:sz w:val="20"/>
                <w:szCs w:val="20"/>
              </w:rPr>
              <w:t>27551,4</w:t>
            </w:r>
          </w:p>
        </w:tc>
      </w:tr>
      <w:tr>
        <w:trPr>
          <w:cantSplit w:val="true"/>
        </w:trPr>
        <w:tc>
          <w:tcPr>
            <w:tcW w:w="61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Cs/>
                <w:sz w:val="20"/>
                <w:szCs w:val="20"/>
              </w:rPr>
            </w:pPr>
            <w:r>
              <w:rPr>
                <w:bCs/>
                <w:sz w:val="20"/>
                <w:szCs w:val="20"/>
              </w:rPr>
              <w:t>2</w:t>
            </w:r>
          </w:p>
        </w:tc>
        <w:tc>
          <w:tcPr>
            <w:tcW w:w="509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Собственные нужды</w:t>
            </w:r>
          </w:p>
        </w:tc>
        <w:tc>
          <w:tcPr>
            <w:tcW w:w="117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136" w:right="-184" w:hanging="0"/>
              <w:jc w:val="center"/>
              <w:rPr>
                <w:sz w:val="20"/>
                <w:szCs w:val="20"/>
              </w:rPr>
            </w:pPr>
            <w:r>
              <w:rPr>
                <w:sz w:val="20"/>
                <w:szCs w:val="20"/>
              </w:rPr>
              <w:t>Гкал</w:t>
            </w:r>
          </w:p>
        </w:tc>
        <w:tc>
          <w:tcPr>
            <w:tcW w:w="95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 w:eastAsiaTheme="majorEastAsia"/>
                <w:b/>
                <w:b/>
                <w:bCs/>
                <w:sz w:val="26"/>
                <w:szCs w:val="26"/>
              </w:rPr>
            </w:pPr>
            <w:r>
              <w:rPr>
                <w:sz w:val="20"/>
                <w:szCs w:val="20"/>
              </w:rPr>
              <w:t>2900,0</w:t>
            </w:r>
          </w:p>
        </w:tc>
        <w:tc>
          <w:tcPr>
            <w:tcW w:w="95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 w:eastAsiaTheme="majorEastAsia"/>
                <w:b/>
                <w:b/>
                <w:bCs/>
                <w:sz w:val="26"/>
                <w:szCs w:val="26"/>
              </w:rPr>
            </w:pPr>
            <w:r>
              <w:rPr>
                <w:sz w:val="20"/>
                <w:szCs w:val="20"/>
              </w:rPr>
              <w:t>622,8</w:t>
            </w:r>
          </w:p>
        </w:tc>
        <w:tc>
          <w:tcPr>
            <w:tcW w:w="95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 w:eastAsiaTheme="majorEastAsia"/>
                <w:b/>
                <w:b/>
                <w:bCs/>
                <w:sz w:val="26"/>
                <w:szCs w:val="26"/>
              </w:rPr>
            </w:pPr>
            <w:r>
              <w:rPr>
                <w:sz w:val="20"/>
                <w:szCs w:val="20"/>
              </w:rPr>
              <w:t>622,8</w:t>
            </w:r>
          </w:p>
        </w:tc>
        <w:tc>
          <w:tcPr>
            <w:tcW w:w="95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 w:eastAsiaTheme="majorEastAsia"/>
                <w:b/>
                <w:b/>
                <w:bCs/>
                <w:sz w:val="26"/>
                <w:szCs w:val="26"/>
              </w:rPr>
            </w:pPr>
            <w:r>
              <w:rPr>
                <w:sz w:val="20"/>
                <w:szCs w:val="20"/>
              </w:rPr>
              <w:t>622,8</w:t>
            </w:r>
          </w:p>
        </w:tc>
        <w:tc>
          <w:tcPr>
            <w:tcW w:w="101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 w:eastAsiaTheme="majorEastAsia"/>
                <w:b/>
                <w:b/>
                <w:bCs/>
                <w:sz w:val="26"/>
                <w:szCs w:val="26"/>
              </w:rPr>
            </w:pPr>
            <w:r>
              <w:rPr>
                <w:sz w:val="20"/>
                <w:szCs w:val="20"/>
              </w:rPr>
              <w:t>622,8</w:t>
            </w:r>
          </w:p>
        </w:tc>
        <w:tc>
          <w:tcPr>
            <w:tcW w:w="85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 w:eastAsiaTheme="majorEastAsia"/>
                <w:b/>
                <w:b/>
                <w:bCs/>
                <w:sz w:val="26"/>
                <w:szCs w:val="26"/>
              </w:rPr>
            </w:pPr>
            <w:r>
              <w:rPr>
                <w:sz w:val="20"/>
                <w:szCs w:val="20"/>
              </w:rPr>
              <w:t>622,8</w:t>
            </w:r>
          </w:p>
        </w:tc>
        <w:tc>
          <w:tcPr>
            <w:tcW w:w="101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 w:eastAsiaTheme="majorEastAsia"/>
                <w:b/>
                <w:b/>
                <w:bCs/>
                <w:sz w:val="26"/>
                <w:szCs w:val="26"/>
              </w:rPr>
            </w:pPr>
            <w:r>
              <w:rPr>
                <w:sz w:val="20"/>
                <w:szCs w:val="20"/>
              </w:rPr>
              <w:t>622,8</w:t>
            </w:r>
          </w:p>
        </w:tc>
        <w:tc>
          <w:tcPr>
            <w:tcW w:w="100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 w:eastAsiaTheme="majorEastAsia"/>
                <w:b/>
                <w:b/>
                <w:bCs/>
                <w:sz w:val="26"/>
                <w:szCs w:val="26"/>
              </w:rPr>
            </w:pPr>
            <w:r>
              <w:rPr>
                <w:sz w:val="20"/>
                <w:szCs w:val="20"/>
              </w:rPr>
              <w:t>622,8</w:t>
            </w:r>
          </w:p>
        </w:tc>
      </w:tr>
      <w:tr>
        <w:trPr>
          <w:cantSplit w:val="true"/>
        </w:trPr>
        <w:tc>
          <w:tcPr>
            <w:tcW w:w="61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Cs/>
                <w:sz w:val="20"/>
                <w:szCs w:val="20"/>
              </w:rPr>
            </w:pPr>
            <w:r>
              <w:rPr>
                <w:bCs/>
                <w:sz w:val="20"/>
                <w:szCs w:val="20"/>
              </w:rPr>
              <w:t>3</w:t>
            </w:r>
          </w:p>
        </w:tc>
        <w:tc>
          <w:tcPr>
            <w:tcW w:w="509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Потери в тепловой сети</w:t>
            </w:r>
          </w:p>
        </w:tc>
        <w:tc>
          <w:tcPr>
            <w:tcW w:w="117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136" w:right="-184" w:hanging="0"/>
              <w:jc w:val="center"/>
              <w:rPr>
                <w:sz w:val="20"/>
                <w:szCs w:val="20"/>
              </w:rPr>
            </w:pPr>
            <w:r>
              <w:rPr>
                <w:sz w:val="20"/>
                <w:szCs w:val="20"/>
              </w:rPr>
              <w:t>Гкал</w:t>
            </w:r>
          </w:p>
        </w:tc>
        <w:tc>
          <w:tcPr>
            <w:tcW w:w="95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 w:eastAsiaTheme="majorEastAsia"/>
                <w:b/>
                <w:b/>
                <w:bCs/>
                <w:sz w:val="26"/>
                <w:szCs w:val="26"/>
              </w:rPr>
            </w:pPr>
            <w:r>
              <w:rPr>
                <w:sz w:val="20"/>
                <w:szCs w:val="20"/>
              </w:rPr>
              <w:t>12463,30</w:t>
            </w:r>
          </w:p>
        </w:tc>
        <w:tc>
          <w:tcPr>
            <w:tcW w:w="95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 w:eastAsiaTheme="majorEastAsia"/>
                <w:b/>
                <w:b/>
                <w:bCs/>
                <w:sz w:val="26"/>
                <w:szCs w:val="26"/>
              </w:rPr>
            </w:pPr>
            <w:r>
              <w:rPr>
                <w:sz w:val="20"/>
                <w:szCs w:val="20"/>
              </w:rPr>
              <w:t>1496,0</w:t>
            </w:r>
          </w:p>
        </w:tc>
        <w:tc>
          <w:tcPr>
            <w:tcW w:w="95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 w:eastAsiaTheme="majorEastAsia"/>
                <w:b/>
                <w:b/>
                <w:bCs/>
                <w:sz w:val="26"/>
                <w:szCs w:val="26"/>
              </w:rPr>
            </w:pPr>
            <w:r>
              <w:rPr>
                <w:sz w:val="20"/>
                <w:szCs w:val="20"/>
              </w:rPr>
              <w:t>1496,0</w:t>
            </w:r>
          </w:p>
        </w:tc>
        <w:tc>
          <w:tcPr>
            <w:tcW w:w="95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 w:eastAsiaTheme="majorEastAsia"/>
                <w:b/>
                <w:b/>
                <w:bCs/>
                <w:sz w:val="26"/>
                <w:szCs w:val="26"/>
              </w:rPr>
            </w:pPr>
            <w:r>
              <w:rPr>
                <w:sz w:val="20"/>
                <w:szCs w:val="20"/>
              </w:rPr>
              <w:t>1496,0</w:t>
            </w:r>
          </w:p>
        </w:tc>
        <w:tc>
          <w:tcPr>
            <w:tcW w:w="101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 w:eastAsiaTheme="majorEastAsia"/>
                <w:b/>
                <w:b/>
                <w:bCs/>
                <w:sz w:val="26"/>
                <w:szCs w:val="26"/>
              </w:rPr>
            </w:pPr>
            <w:r>
              <w:rPr>
                <w:sz w:val="20"/>
                <w:szCs w:val="20"/>
              </w:rPr>
              <w:t>1496,0</w:t>
            </w:r>
          </w:p>
        </w:tc>
        <w:tc>
          <w:tcPr>
            <w:tcW w:w="85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 w:eastAsiaTheme="majorEastAsia"/>
                <w:b/>
                <w:b/>
                <w:bCs/>
                <w:sz w:val="26"/>
                <w:szCs w:val="26"/>
              </w:rPr>
            </w:pPr>
            <w:r>
              <w:rPr>
                <w:sz w:val="20"/>
                <w:szCs w:val="20"/>
              </w:rPr>
              <w:t>1496,0</w:t>
            </w:r>
          </w:p>
        </w:tc>
        <w:tc>
          <w:tcPr>
            <w:tcW w:w="101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 w:eastAsiaTheme="majorEastAsia"/>
                <w:b/>
                <w:b/>
                <w:bCs/>
                <w:sz w:val="26"/>
                <w:szCs w:val="26"/>
              </w:rPr>
            </w:pPr>
            <w:r>
              <w:rPr>
                <w:sz w:val="20"/>
                <w:szCs w:val="20"/>
              </w:rPr>
              <w:t>1496,0</w:t>
            </w:r>
          </w:p>
        </w:tc>
        <w:tc>
          <w:tcPr>
            <w:tcW w:w="100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 w:eastAsiaTheme="majorEastAsia"/>
                <w:b/>
                <w:b/>
                <w:bCs/>
                <w:sz w:val="26"/>
                <w:szCs w:val="26"/>
              </w:rPr>
            </w:pPr>
            <w:r>
              <w:rPr>
                <w:sz w:val="20"/>
                <w:szCs w:val="20"/>
              </w:rPr>
              <w:t>1496,0</w:t>
            </w:r>
          </w:p>
        </w:tc>
      </w:tr>
      <w:tr>
        <w:trPr>
          <w:cantSplit w:val="true"/>
        </w:trPr>
        <w:tc>
          <w:tcPr>
            <w:tcW w:w="61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Cs/>
                <w:sz w:val="20"/>
                <w:szCs w:val="20"/>
              </w:rPr>
            </w:pPr>
            <w:r>
              <w:rPr>
                <w:bCs/>
                <w:sz w:val="20"/>
                <w:szCs w:val="20"/>
              </w:rPr>
              <w:t>4</w:t>
            </w:r>
          </w:p>
        </w:tc>
        <w:tc>
          <w:tcPr>
            <w:tcW w:w="509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Полезный отпуск</w:t>
            </w:r>
          </w:p>
        </w:tc>
        <w:tc>
          <w:tcPr>
            <w:tcW w:w="117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136" w:right="-184" w:hanging="0"/>
              <w:jc w:val="center"/>
              <w:rPr>
                <w:sz w:val="20"/>
                <w:szCs w:val="20"/>
              </w:rPr>
            </w:pPr>
            <w:r>
              <w:rPr>
                <w:sz w:val="20"/>
                <w:szCs w:val="20"/>
              </w:rPr>
              <w:t>Гкал</w:t>
            </w:r>
          </w:p>
        </w:tc>
        <w:tc>
          <w:tcPr>
            <w:tcW w:w="95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 w:eastAsiaTheme="majorEastAsia"/>
                <w:b/>
                <w:b/>
                <w:bCs/>
                <w:sz w:val="26"/>
                <w:szCs w:val="26"/>
              </w:rPr>
            </w:pPr>
            <w:r>
              <w:rPr>
                <w:sz w:val="20"/>
                <w:szCs w:val="20"/>
              </w:rPr>
              <w:t>22021,0</w:t>
            </w:r>
          </w:p>
        </w:tc>
        <w:tc>
          <w:tcPr>
            <w:tcW w:w="95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rFonts w:eastAsia="" w:eastAsiaTheme="majorEastAsia"/>
                <w:b/>
                <w:b/>
                <w:bCs/>
                <w:sz w:val="26"/>
                <w:szCs w:val="26"/>
              </w:rPr>
            </w:pPr>
            <w:r>
              <w:rPr>
                <w:bCs/>
                <w:sz w:val="20"/>
                <w:szCs w:val="20"/>
              </w:rPr>
              <w:t>25432,6</w:t>
            </w:r>
          </w:p>
        </w:tc>
        <w:tc>
          <w:tcPr>
            <w:tcW w:w="95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rFonts w:eastAsia="" w:eastAsiaTheme="majorEastAsia"/>
                <w:b/>
                <w:b/>
                <w:bCs/>
                <w:sz w:val="26"/>
                <w:szCs w:val="26"/>
              </w:rPr>
            </w:pPr>
            <w:r>
              <w:rPr>
                <w:bCs/>
                <w:sz w:val="20"/>
                <w:szCs w:val="20"/>
              </w:rPr>
              <w:t>25432,6</w:t>
            </w:r>
          </w:p>
        </w:tc>
        <w:tc>
          <w:tcPr>
            <w:tcW w:w="95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rFonts w:eastAsia="" w:eastAsiaTheme="majorEastAsia"/>
                <w:b/>
                <w:b/>
                <w:bCs/>
                <w:sz w:val="26"/>
                <w:szCs w:val="26"/>
              </w:rPr>
            </w:pPr>
            <w:r>
              <w:rPr>
                <w:bCs/>
                <w:sz w:val="20"/>
                <w:szCs w:val="20"/>
              </w:rPr>
              <w:t>25432,6</w:t>
            </w:r>
          </w:p>
        </w:tc>
        <w:tc>
          <w:tcPr>
            <w:tcW w:w="101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rFonts w:eastAsia="" w:eastAsiaTheme="majorEastAsia"/>
                <w:b/>
                <w:b/>
                <w:bCs/>
                <w:sz w:val="26"/>
                <w:szCs w:val="26"/>
              </w:rPr>
            </w:pPr>
            <w:r>
              <w:rPr>
                <w:bCs/>
                <w:sz w:val="20"/>
                <w:szCs w:val="20"/>
              </w:rPr>
              <w:t>25432,6</w:t>
            </w:r>
          </w:p>
        </w:tc>
        <w:tc>
          <w:tcPr>
            <w:tcW w:w="85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rFonts w:eastAsia="" w:eastAsiaTheme="majorEastAsia"/>
                <w:b/>
                <w:b/>
                <w:bCs/>
                <w:sz w:val="26"/>
                <w:szCs w:val="26"/>
              </w:rPr>
            </w:pPr>
            <w:r>
              <w:rPr>
                <w:bCs/>
                <w:sz w:val="20"/>
                <w:szCs w:val="20"/>
              </w:rPr>
              <w:t>25432,6</w:t>
            </w:r>
          </w:p>
        </w:tc>
        <w:tc>
          <w:tcPr>
            <w:tcW w:w="101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rFonts w:eastAsia="" w:eastAsiaTheme="majorEastAsia"/>
                <w:b/>
                <w:b/>
                <w:bCs/>
                <w:sz w:val="26"/>
                <w:szCs w:val="26"/>
              </w:rPr>
            </w:pPr>
            <w:r>
              <w:rPr>
                <w:bCs/>
                <w:sz w:val="20"/>
                <w:szCs w:val="20"/>
              </w:rPr>
              <w:t>25432,6</w:t>
            </w:r>
          </w:p>
        </w:tc>
        <w:tc>
          <w:tcPr>
            <w:tcW w:w="100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rFonts w:eastAsia="" w:eastAsiaTheme="majorEastAsia"/>
                <w:b/>
                <w:b/>
                <w:bCs/>
                <w:sz w:val="26"/>
                <w:szCs w:val="26"/>
              </w:rPr>
            </w:pPr>
            <w:r>
              <w:rPr>
                <w:bCs/>
                <w:sz w:val="20"/>
                <w:szCs w:val="20"/>
              </w:rPr>
              <w:t>25432,6</w:t>
            </w:r>
          </w:p>
        </w:tc>
      </w:tr>
      <w:tr>
        <w:trPr>
          <w:cantSplit w:val="true"/>
        </w:trPr>
        <w:tc>
          <w:tcPr>
            <w:tcW w:w="61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Cs/>
                <w:sz w:val="20"/>
                <w:szCs w:val="20"/>
              </w:rPr>
            </w:pPr>
            <w:r>
              <w:rPr>
                <w:bCs/>
                <w:sz w:val="20"/>
                <w:szCs w:val="20"/>
              </w:rPr>
              <w:t>5</w:t>
            </w:r>
          </w:p>
        </w:tc>
        <w:tc>
          <w:tcPr>
            <w:tcW w:w="509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rPr>
                <w:sz w:val="20"/>
                <w:szCs w:val="20"/>
              </w:rPr>
            </w:pPr>
            <w:r>
              <w:rPr>
                <w:sz w:val="20"/>
                <w:szCs w:val="20"/>
              </w:rPr>
              <w:t>Себестоимость производимых товаров (оказываемых услуг) по регулируемому виду деятельности, в том числе</w:t>
            </w:r>
          </w:p>
        </w:tc>
        <w:tc>
          <w:tcPr>
            <w:tcW w:w="117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136" w:right="-184" w:hanging="0"/>
              <w:jc w:val="center"/>
              <w:rPr>
                <w:sz w:val="20"/>
                <w:szCs w:val="20"/>
              </w:rPr>
            </w:pPr>
            <w:r>
              <w:rPr>
                <w:sz w:val="20"/>
                <w:szCs w:val="20"/>
              </w:rPr>
              <w:t>тыс.руб.</w:t>
            </w:r>
          </w:p>
        </w:tc>
        <w:tc>
          <w:tcPr>
            <w:tcW w:w="95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 w:eastAsiaTheme="majorEastAsia"/>
                <w:b/>
                <w:b/>
                <w:bCs/>
                <w:sz w:val="26"/>
                <w:szCs w:val="26"/>
              </w:rPr>
            </w:pPr>
            <w:r>
              <w:rPr>
                <w:sz w:val="20"/>
                <w:szCs w:val="20"/>
              </w:rPr>
              <w:t>84502,40</w:t>
            </w:r>
          </w:p>
        </w:tc>
        <w:tc>
          <w:tcPr>
            <w:tcW w:w="95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 w:eastAsiaTheme="majorEastAsia"/>
                <w:b/>
                <w:b/>
                <w:bCs/>
                <w:sz w:val="26"/>
                <w:szCs w:val="26"/>
              </w:rPr>
            </w:pPr>
            <w:r>
              <w:rPr>
                <w:sz w:val="20"/>
                <w:szCs w:val="20"/>
              </w:rPr>
              <w:t>65668,95</w:t>
            </w:r>
          </w:p>
        </w:tc>
        <w:tc>
          <w:tcPr>
            <w:tcW w:w="95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 w:eastAsiaTheme="majorEastAsia"/>
                <w:b/>
                <w:b/>
                <w:bCs/>
                <w:sz w:val="26"/>
                <w:szCs w:val="26"/>
              </w:rPr>
            </w:pPr>
            <w:r>
              <w:rPr>
                <w:sz w:val="20"/>
                <w:szCs w:val="20"/>
              </w:rPr>
              <w:t>69058,19</w:t>
            </w:r>
          </w:p>
        </w:tc>
        <w:tc>
          <w:tcPr>
            <w:tcW w:w="95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 w:eastAsiaTheme="majorEastAsia"/>
                <w:b/>
                <w:b/>
                <w:bCs/>
                <w:sz w:val="26"/>
                <w:szCs w:val="26"/>
              </w:rPr>
            </w:pPr>
            <w:r>
              <w:rPr>
                <w:sz w:val="20"/>
                <w:szCs w:val="20"/>
              </w:rPr>
              <w:t>70338,26</w:t>
            </w:r>
          </w:p>
        </w:tc>
        <w:tc>
          <w:tcPr>
            <w:tcW w:w="101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 w:eastAsiaTheme="majorEastAsia"/>
                <w:b/>
                <w:b/>
                <w:bCs/>
                <w:sz w:val="26"/>
                <w:szCs w:val="26"/>
              </w:rPr>
            </w:pPr>
            <w:r>
              <w:rPr>
                <w:sz w:val="20"/>
                <w:szCs w:val="20"/>
              </w:rPr>
              <w:t>77372,08</w:t>
            </w:r>
          </w:p>
        </w:tc>
        <w:tc>
          <w:tcPr>
            <w:tcW w:w="85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 w:eastAsiaTheme="majorEastAsia"/>
                <w:b/>
                <w:b/>
                <w:bCs/>
                <w:sz w:val="26"/>
                <w:szCs w:val="26"/>
              </w:rPr>
            </w:pPr>
            <w:r>
              <w:rPr>
                <w:sz w:val="20"/>
                <w:szCs w:val="20"/>
              </w:rPr>
              <w:t>85109,29</w:t>
            </w:r>
          </w:p>
        </w:tc>
        <w:tc>
          <w:tcPr>
            <w:tcW w:w="101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 w:eastAsiaTheme="majorEastAsia"/>
                <w:b/>
                <w:b/>
                <w:bCs/>
                <w:sz w:val="26"/>
                <w:szCs w:val="26"/>
              </w:rPr>
            </w:pPr>
            <w:r>
              <w:rPr>
                <w:sz w:val="20"/>
                <w:szCs w:val="20"/>
              </w:rPr>
              <w:t>93620,21</w:t>
            </w:r>
          </w:p>
        </w:tc>
        <w:tc>
          <w:tcPr>
            <w:tcW w:w="100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 w:eastAsiaTheme="majorEastAsia"/>
                <w:b/>
                <w:b/>
                <w:bCs/>
                <w:sz w:val="26"/>
                <w:szCs w:val="26"/>
              </w:rPr>
            </w:pPr>
            <w:r>
              <w:rPr>
                <w:sz w:val="20"/>
                <w:szCs w:val="20"/>
              </w:rPr>
              <w:t>102982,24</w:t>
            </w:r>
          </w:p>
        </w:tc>
      </w:tr>
      <w:tr>
        <w:trPr>
          <w:cantSplit w:val="true"/>
        </w:trPr>
        <w:tc>
          <w:tcPr>
            <w:tcW w:w="61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Cs/>
                <w:sz w:val="20"/>
                <w:szCs w:val="20"/>
              </w:rPr>
            </w:pPr>
            <w:r>
              <w:rPr>
                <w:bCs/>
                <w:sz w:val="20"/>
                <w:szCs w:val="20"/>
              </w:rPr>
              <w:t>5.1.</w:t>
            </w:r>
          </w:p>
        </w:tc>
        <w:tc>
          <w:tcPr>
            <w:tcW w:w="509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rPr>
                <w:sz w:val="20"/>
                <w:szCs w:val="20"/>
              </w:rPr>
            </w:pPr>
            <w:r>
              <w:rPr>
                <w:sz w:val="20"/>
                <w:szCs w:val="20"/>
              </w:rPr>
              <w:t>расходы на топливо</w:t>
            </w:r>
          </w:p>
        </w:tc>
        <w:tc>
          <w:tcPr>
            <w:tcW w:w="117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136" w:right="-184" w:hanging="0"/>
              <w:jc w:val="center"/>
              <w:rPr>
                <w:bCs/>
                <w:sz w:val="20"/>
                <w:szCs w:val="20"/>
              </w:rPr>
            </w:pPr>
            <w:r>
              <w:rPr>
                <w:bCs/>
                <w:sz w:val="20"/>
                <w:szCs w:val="20"/>
              </w:rPr>
              <w:t>тыс.руб.</w:t>
            </w:r>
          </w:p>
        </w:tc>
        <w:tc>
          <w:tcPr>
            <w:tcW w:w="95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rFonts w:eastAsia="" w:eastAsiaTheme="majorEastAsia"/>
                <w:b/>
                <w:b/>
                <w:bCs/>
                <w:sz w:val="26"/>
                <w:szCs w:val="26"/>
              </w:rPr>
            </w:pPr>
            <w:r>
              <w:rPr>
                <w:bCs/>
                <w:sz w:val="20"/>
                <w:szCs w:val="20"/>
              </w:rPr>
              <w:t>27046,99</w:t>
            </w:r>
          </w:p>
        </w:tc>
        <w:tc>
          <w:tcPr>
            <w:tcW w:w="95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rFonts w:eastAsia="" w:eastAsiaTheme="majorEastAsia"/>
                <w:b/>
                <w:b/>
                <w:bCs/>
                <w:sz w:val="26"/>
                <w:szCs w:val="26"/>
              </w:rPr>
            </w:pPr>
            <w:r>
              <w:rPr>
                <w:bCs/>
                <w:sz w:val="20"/>
                <w:szCs w:val="20"/>
              </w:rPr>
              <w:t>19446,84</w:t>
            </w:r>
          </w:p>
        </w:tc>
        <w:tc>
          <w:tcPr>
            <w:tcW w:w="95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rFonts w:eastAsia="" w:eastAsiaTheme="majorEastAsia"/>
                <w:b/>
                <w:b/>
                <w:bCs/>
                <w:sz w:val="26"/>
                <w:szCs w:val="26"/>
              </w:rPr>
            </w:pPr>
            <w:r>
              <w:rPr>
                <w:bCs/>
                <w:sz w:val="20"/>
                <w:szCs w:val="20"/>
              </w:rPr>
              <w:t>21206,22</w:t>
            </w:r>
          </w:p>
        </w:tc>
        <w:tc>
          <w:tcPr>
            <w:tcW w:w="95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rFonts w:eastAsia="" w:eastAsiaTheme="majorEastAsia"/>
                <w:b/>
                <w:b/>
                <w:bCs/>
                <w:sz w:val="26"/>
                <w:szCs w:val="26"/>
              </w:rPr>
            </w:pPr>
            <w:r>
              <w:rPr>
                <w:bCs/>
                <w:sz w:val="20"/>
                <w:szCs w:val="20"/>
              </w:rPr>
              <w:t>22465,27</w:t>
            </w:r>
          </w:p>
        </w:tc>
        <w:tc>
          <w:tcPr>
            <w:tcW w:w="101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 w:eastAsiaTheme="majorEastAsia"/>
                <w:b/>
                <w:b/>
                <w:bCs/>
                <w:sz w:val="26"/>
                <w:szCs w:val="26"/>
              </w:rPr>
            </w:pPr>
            <w:r>
              <w:rPr>
                <w:sz w:val="20"/>
                <w:szCs w:val="20"/>
              </w:rPr>
              <w:t>24711,80</w:t>
            </w:r>
          </w:p>
        </w:tc>
        <w:tc>
          <w:tcPr>
            <w:tcW w:w="85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 w:eastAsiaTheme="majorEastAsia"/>
                <w:b/>
                <w:b/>
                <w:bCs/>
                <w:sz w:val="26"/>
                <w:szCs w:val="26"/>
              </w:rPr>
            </w:pPr>
            <w:r>
              <w:rPr>
                <w:sz w:val="20"/>
                <w:szCs w:val="20"/>
              </w:rPr>
              <w:t>27182,98</w:t>
            </w:r>
          </w:p>
        </w:tc>
        <w:tc>
          <w:tcPr>
            <w:tcW w:w="101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 w:eastAsiaTheme="majorEastAsia"/>
                <w:b/>
                <w:b/>
                <w:bCs/>
                <w:sz w:val="26"/>
                <w:szCs w:val="26"/>
              </w:rPr>
            </w:pPr>
            <w:r>
              <w:rPr>
                <w:sz w:val="20"/>
                <w:szCs w:val="20"/>
              </w:rPr>
              <w:t>29901,27</w:t>
            </w:r>
          </w:p>
        </w:tc>
        <w:tc>
          <w:tcPr>
            <w:tcW w:w="100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 w:eastAsiaTheme="majorEastAsia"/>
                <w:b/>
                <w:b/>
                <w:bCs/>
                <w:sz w:val="26"/>
                <w:szCs w:val="26"/>
              </w:rPr>
            </w:pPr>
            <w:r>
              <w:rPr>
                <w:sz w:val="20"/>
                <w:szCs w:val="20"/>
              </w:rPr>
              <w:t>32891,40</w:t>
            </w:r>
          </w:p>
        </w:tc>
      </w:tr>
      <w:tr>
        <w:trPr>
          <w:cantSplit w:val="true"/>
        </w:trPr>
        <w:tc>
          <w:tcPr>
            <w:tcW w:w="61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Cs/>
                <w:sz w:val="20"/>
                <w:szCs w:val="20"/>
              </w:rPr>
            </w:pPr>
            <w:r>
              <w:rPr>
                <w:bCs/>
                <w:sz w:val="20"/>
                <w:szCs w:val="20"/>
              </w:rPr>
              <w:t>5.2.</w:t>
            </w:r>
          </w:p>
        </w:tc>
        <w:tc>
          <w:tcPr>
            <w:tcW w:w="509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rPr>
                <w:sz w:val="20"/>
                <w:szCs w:val="20"/>
              </w:rPr>
            </w:pPr>
            <w:r>
              <w:rPr>
                <w:sz w:val="20"/>
                <w:szCs w:val="20"/>
              </w:rPr>
              <w:t xml:space="preserve">Расходы на покупаемую электрическую энергию (мощность), </w:t>
            </w:r>
          </w:p>
        </w:tc>
        <w:tc>
          <w:tcPr>
            <w:tcW w:w="117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136" w:right="-184" w:hanging="0"/>
              <w:jc w:val="center"/>
              <w:rPr>
                <w:sz w:val="20"/>
                <w:szCs w:val="20"/>
              </w:rPr>
            </w:pPr>
            <w:r>
              <w:rPr>
                <w:bCs/>
                <w:sz w:val="20"/>
                <w:szCs w:val="20"/>
              </w:rPr>
              <w:t>тыс.руб.</w:t>
            </w:r>
          </w:p>
        </w:tc>
        <w:tc>
          <w:tcPr>
            <w:tcW w:w="95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rFonts w:eastAsia="" w:eastAsiaTheme="majorEastAsia"/>
                <w:b/>
                <w:b/>
                <w:bCs/>
                <w:sz w:val="26"/>
                <w:szCs w:val="26"/>
              </w:rPr>
            </w:pPr>
            <w:r>
              <w:rPr>
                <w:bCs/>
                <w:sz w:val="20"/>
                <w:szCs w:val="20"/>
              </w:rPr>
              <w:t>8015,72</w:t>
            </w:r>
          </w:p>
        </w:tc>
        <w:tc>
          <w:tcPr>
            <w:tcW w:w="95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rFonts w:eastAsia="" w:eastAsiaTheme="majorEastAsia"/>
                <w:b/>
                <w:b/>
                <w:bCs/>
                <w:sz w:val="26"/>
                <w:szCs w:val="26"/>
              </w:rPr>
            </w:pPr>
            <w:r>
              <w:rPr>
                <w:bCs/>
                <w:sz w:val="20"/>
                <w:szCs w:val="20"/>
              </w:rPr>
              <w:t>6358,05</w:t>
            </w:r>
          </w:p>
        </w:tc>
        <w:tc>
          <w:tcPr>
            <w:tcW w:w="95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rFonts w:eastAsia="" w:eastAsiaTheme="majorEastAsia"/>
                <w:b/>
                <w:b/>
                <w:bCs/>
                <w:sz w:val="26"/>
                <w:szCs w:val="26"/>
              </w:rPr>
            </w:pPr>
            <w:r>
              <w:rPr>
                <w:bCs/>
                <w:sz w:val="20"/>
                <w:szCs w:val="20"/>
              </w:rPr>
              <w:t>6669,59</w:t>
            </w:r>
          </w:p>
        </w:tc>
        <w:tc>
          <w:tcPr>
            <w:tcW w:w="95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rFonts w:eastAsia="" w:eastAsiaTheme="majorEastAsia"/>
                <w:b/>
                <w:b/>
                <w:bCs/>
                <w:sz w:val="26"/>
                <w:szCs w:val="26"/>
              </w:rPr>
            </w:pPr>
            <w:r>
              <w:rPr>
                <w:bCs/>
                <w:sz w:val="20"/>
                <w:szCs w:val="20"/>
              </w:rPr>
              <w:t>6869,68</w:t>
            </w:r>
          </w:p>
        </w:tc>
        <w:tc>
          <w:tcPr>
            <w:tcW w:w="101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 w:eastAsiaTheme="majorEastAsia"/>
                <w:b/>
                <w:b/>
                <w:bCs/>
                <w:sz w:val="26"/>
                <w:szCs w:val="26"/>
              </w:rPr>
            </w:pPr>
            <w:r>
              <w:rPr>
                <w:sz w:val="20"/>
                <w:szCs w:val="20"/>
              </w:rPr>
              <w:t>7556,65</w:t>
            </w:r>
          </w:p>
        </w:tc>
        <w:tc>
          <w:tcPr>
            <w:tcW w:w="85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 w:eastAsiaTheme="majorEastAsia"/>
                <w:b/>
                <w:b/>
                <w:bCs/>
                <w:sz w:val="26"/>
                <w:szCs w:val="26"/>
              </w:rPr>
            </w:pPr>
            <w:r>
              <w:rPr>
                <w:sz w:val="20"/>
                <w:szCs w:val="20"/>
              </w:rPr>
              <w:t>8312,31</w:t>
            </w:r>
          </w:p>
        </w:tc>
        <w:tc>
          <w:tcPr>
            <w:tcW w:w="101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 w:eastAsiaTheme="majorEastAsia"/>
                <w:b/>
                <w:b/>
                <w:bCs/>
                <w:sz w:val="26"/>
                <w:szCs w:val="26"/>
              </w:rPr>
            </w:pPr>
            <w:r>
              <w:rPr>
                <w:sz w:val="20"/>
                <w:szCs w:val="20"/>
              </w:rPr>
              <w:t>9143,54</w:t>
            </w:r>
          </w:p>
        </w:tc>
        <w:tc>
          <w:tcPr>
            <w:tcW w:w="100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 w:eastAsiaTheme="majorEastAsia"/>
                <w:b/>
                <w:b/>
                <w:bCs/>
                <w:sz w:val="26"/>
                <w:szCs w:val="26"/>
              </w:rPr>
            </w:pPr>
            <w:r>
              <w:rPr>
                <w:sz w:val="20"/>
                <w:szCs w:val="20"/>
              </w:rPr>
              <w:t>10057,90</w:t>
            </w:r>
          </w:p>
        </w:tc>
      </w:tr>
      <w:tr>
        <w:trPr>
          <w:cantSplit w:val="true"/>
        </w:trPr>
        <w:tc>
          <w:tcPr>
            <w:tcW w:w="61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Cs/>
                <w:sz w:val="20"/>
                <w:szCs w:val="20"/>
              </w:rPr>
            </w:pPr>
            <w:r>
              <w:rPr>
                <w:bCs/>
                <w:sz w:val="20"/>
                <w:szCs w:val="20"/>
              </w:rPr>
              <w:t>5.3.</w:t>
            </w:r>
          </w:p>
        </w:tc>
        <w:tc>
          <w:tcPr>
            <w:tcW w:w="509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rPr>
                <w:sz w:val="20"/>
                <w:szCs w:val="20"/>
              </w:rPr>
            </w:pPr>
            <w:r>
              <w:rPr>
                <w:sz w:val="20"/>
                <w:szCs w:val="20"/>
              </w:rPr>
              <w:t>Расходы на приобретение холодной воды</w:t>
            </w:r>
          </w:p>
        </w:tc>
        <w:tc>
          <w:tcPr>
            <w:tcW w:w="117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136" w:right="-184" w:hanging="0"/>
              <w:jc w:val="center"/>
              <w:rPr>
                <w:sz w:val="20"/>
                <w:szCs w:val="20"/>
              </w:rPr>
            </w:pPr>
            <w:r>
              <w:rPr>
                <w:sz w:val="20"/>
                <w:szCs w:val="20"/>
              </w:rPr>
              <w:t>тыс.руб.</w:t>
            </w:r>
          </w:p>
        </w:tc>
        <w:tc>
          <w:tcPr>
            <w:tcW w:w="95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 w:eastAsiaTheme="majorEastAsia"/>
                <w:b/>
                <w:b/>
                <w:bCs/>
                <w:sz w:val="26"/>
                <w:szCs w:val="26"/>
              </w:rPr>
            </w:pPr>
            <w:r>
              <w:rPr>
                <w:sz w:val="20"/>
                <w:szCs w:val="20"/>
              </w:rPr>
              <w:t>1728,98</w:t>
            </w:r>
          </w:p>
        </w:tc>
        <w:tc>
          <w:tcPr>
            <w:tcW w:w="95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 w:eastAsiaTheme="majorEastAsia"/>
                <w:b/>
                <w:b/>
                <w:bCs/>
                <w:sz w:val="26"/>
                <w:szCs w:val="26"/>
              </w:rPr>
            </w:pPr>
            <w:r>
              <w:rPr>
                <w:sz w:val="20"/>
                <w:szCs w:val="20"/>
              </w:rPr>
              <w:t>1802,39</w:t>
            </w:r>
          </w:p>
        </w:tc>
        <w:tc>
          <w:tcPr>
            <w:tcW w:w="95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 w:eastAsiaTheme="majorEastAsia"/>
                <w:b/>
                <w:b/>
                <w:bCs/>
                <w:sz w:val="26"/>
                <w:szCs w:val="26"/>
              </w:rPr>
            </w:pPr>
            <w:r>
              <w:rPr>
                <w:sz w:val="20"/>
                <w:szCs w:val="20"/>
              </w:rPr>
              <w:t>1942,49</w:t>
            </w:r>
          </w:p>
        </w:tc>
        <w:tc>
          <w:tcPr>
            <w:tcW w:w="95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 w:eastAsiaTheme="majorEastAsia"/>
                <w:b/>
                <w:b/>
                <w:bCs/>
                <w:sz w:val="26"/>
                <w:szCs w:val="26"/>
              </w:rPr>
            </w:pPr>
            <w:r>
              <w:rPr>
                <w:sz w:val="20"/>
                <w:szCs w:val="20"/>
              </w:rPr>
              <w:t>2038,04</w:t>
            </w:r>
          </w:p>
        </w:tc>
        <w:tc>
          <w:tcPr>
            <w:tcW w:w="101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 w:eastAsiaTheme="majorEastAsia"/>
                <w:b/>
                <w:b/>
                <w:bCs/>
                <w:sz w:val="26"/>
                <w:szCs w:val="26"/>
              </w:rPr>
            </w:pPr>
            <w:r>
              <w:rPr>
                <w:sz w:val="20"/>
                <w:szCs w:val="20"/>
              </w:rPr>
              <w:t>2241,84</w:t>
            </w:r>
          </w:p>
        </w:tc>
        <w:tc>
          <w:tcPr>
            <w:tcW w:w="85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 w:eastAsiaTheme="majorEastAsia"/>
                <w:b/>
                <w:b/>
                <w:bCs/>
                <w:sz w:val="26"/>
                <w:szCs w:val="26"/>
              </w:rPr>
            </w:pPr>
            <w:r>
              <w:rPr>
                <w:sz w:val="20"/>
                <w:szCs w:val="20"/>
              </w:rPr>
              <w:t>2466,03</w:t>
            </w:r>
          </w:p>
        </w:tc>
        <w:tc>
          <w:tcPr>
            <w:tcW w:w="101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 w:eastAsiaTheme="majorEastAsia"/>
                <w:b/>
                <w:b/>
                <w:bCs/>
                <w:sz w:val="26"/>
                <w:szCs w:val="26"/>
              </w:rPr>
            </w:pPr>
            <w:r>
              <w:rPr>
                <w:sz w:val="20"/>
                <w:szCs w:val="20"/>
              </w:rPr>
              <w:t>2712,63</w:t>
            </w:r>
          </w:p>
        </w:tc>
        <w:tc>
          <w:tcPr>
            <w:tcW w:w="100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 w:eastAsiaTheme="majorEastAsia"/>
                <w:b/>
                <w:b/>
                <w:bCs/>
                <w:sz w:val="26"/>
                <w:szCs w:val="26"/>
              </w:rPr>
            </w:pPr>
            <w:r>
              <w:rPr>
                <w:sz w:val="20"/>
                <w:szCs w:val="20"/>
              </w:rPr>
              <w:t>2983,89</w:t>
            </w:r>
          </w:p>
        </w:tc>
      </w:tr>
      <w:tr>
        <w:trPr>
          <w:cantSplit w:val="true"/>
        </w:trPr>
        <w:tc>
          <w:tcPr>
            <w:tcW w:w="61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Cs/>
                <w:sz w:val="20"/>
                <w:szCs w:val="20"/>
              </w:rPr>
            </w:pPr>
            <w:r>
              <w:rPr>
                <w:bCs/>
                <w:sz w:val="20"/>
                <w:szCs w:val="20"/>
              </w:rPr>
              <w:t>5.4.</w:t>
            </w:r>
          </w:p>
        </w:tc>
        <w:tc>
          <w:tcPr>
            <w:tcW w:w="509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rPr>
                <w:sz w:val="20"/>
                <w:szCs w:val="20"/>
              </w:rPr>
            </w:pPr>
            <w:r>
              <w:rPr>
                <w:sz w:val="20"/>
                <w:szCs w:val="20"/>
              </w:rPr>
              <w:t>ФОТ</w:t>
            </w:r>
          </w:p>
        </w:tc>
        <w:tc>
          <w:tcPr>
            <w:tcW w:w="117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136" w:right="-184" w:hanging="0"/>
              <w:jc w:val="center"/>
              <w:rPr>
                <w:bCs/>
                <w:sz w:val="20"/>
                <w:szCs w:val="20"/>
              </w:rPr>
            </w:pPr>
            <w:r>
              <w:rPr>
                <w:bCs/>
                <w:sz w:val="20"/>
                <w:szCs w:val="20"/>
              </w:rPr>
              <w:t>тыс.руб.</w:t>
            </w:r>
          </w:p>
        </w:tc>
        <w:tc>
          <w:tcPr>
            <w:tcW w:w="95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 w:eastAsiaTheme="majorEastAsia"/>
                <w:b/>
                <w:b/>
                <w:bCs/>
                <w:sz w:val="26"/>
                <w:szCs w:val="26"/>
              </w:rPr>
            </w:pPr>
            <w:r>
              <w:rPr>
                <w:sz w:val="20"/>
                <w:szCs w:val="20"/>
              </w:rPr>
              <w:t>31206,66</w:t>
            </w:r>
          </w:p>
        </w:tc>
        <w:tc>
          <w:tcPr>
            <w:tcW w:w="95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 w:eastAsiaTheme="majorEastAsia"/>
                <w:b/>
                <w:b/>
                <w:bCs/>
                <w:sz w:val="26"/>
                <w:szCs w:val="26"/>
              </w:rPr>
            </w:pPr>
            <w:r>
              <w:rPr>
                <w:sz w:val="20"/>
                <w:szCs w:val="20"/>
              </w:rPr>
              <w:t>27772,02</w:t>
            </w:r>
          </w:p>
        </w:tc>
        <w:tc>
          <w:tcPr>
            <w:tcW w:w="95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 w:eastAsiaTheme="majorEastAsia"/>
                <w:b/>
                <w:b/>
                <w:bCs/>
                <w:sz w:val="26"/>
                <w:szCs w:val="26"/>
              </w:rPr>
            </w:pPr>
            <w:r>
              <w:rPr>
                <w:sz w:val="20"/>
                <w:szCs w:val="20"/>
              </w:rPr>
              <w:t>28649,07</w:t>
            </w:r>
          </w:p>
        </w:tc>
        <w:tc>
          <w:tcPr>
            <w:tcW w:w="95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 w:eastAsiaTheme="majorEastAsia"/>
                <w:b/>
                <w:b/>
                <w:bCs/>
                <w:sz w:val="26"/>
                <w:szCs w:val="26"/>
              </w:rPr>
            </w:pPr>
            <w:r>
              <w:rPr>
                <w:sz w:val="20"/>
                <w:szCs w:val="20"/>
              </w:rPr>
              <w:t>29497,08</w:t>
            </w:r>
          </w:p>
        </w:tc>
        <w:tc>
          <w:tcPr>
            <w:tcW w:w="101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 w:eastAsiaTheme="majorEastAsia"/>
                <w:b/>
                <w:b/>
                <w:bCs/>
                <w:sz w:val="26"/>
                <w:szCs w:val="26"/>
              </w:rPr>
            </w:pPr>
            <w:r>
              <w:rPr>
                <w:sz w:val="20"/>
                <w:szCs w:val="20"/>
              </w:rPr>
              <w:t>32446,79</w:t>
            </w:r>
          </w:p>
        </w:tc>
        <w:tc>
          <w:tcPr>
            <w:tcW w:w="85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 w:eastAsiaTheme="majorEastAsia"/>
                <w:b/>
                <w:b/>
                <w:bCs/>
                <w:sz w:val="26"/>
                <w:szCs w:val="26"/>
              </w:rPr>
            </w:pPr>
            <w:r>
              <w:rPr>
                <w:sz w:val="20"/>
                <w:szCs w:val="20"/>
              </w:rPr>
              <w:t>35691,47</w:t>
            </w:r>
          </w:p>
        </w:tc>
        <w:tc>
          <w:tcPr>
            <w:tcW w:w="101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 w:eastAsiaTheme="majorEastAsia"/>
                <w:b/>
                <w:b/>
                <w:bCs/>
                <w:sz w:val="26"/>
                <w:szCs w:val="26"/>
              </w:rPr>
            </w:pPr>
            <w:r>
              <w:rPr>
                <w:sz w:val="20"/>
                <w:szCs w:val="20"/>
              </w:rPr>
              <w:t>39260,61</w:t>
            </w:r>
          </w:p>
        </w:tc>
        <w:tc>
          <w:tcPr>
            <w:tcW w:w="100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 w:eastAsiaTheme="majorEastAsia"/>
                <w:b/>
                <w:b/>
                <w:bCs/>
                <w:sz w:val="26"/>
                <w:szCs w:val="26"/>
              </w:rPr>
            </w:pPr>
            <w:r>
              <w:rPr>
                <w:sz w:val="20"/>
                <w:szCs w:val="20"/>
              </w:rPr>
              <w:t>43186,67</w:t>
            </w:r>
          </w:p>
        </w:tc>
      </w:tr>
      <w:tr>
        <w:trPr>
          <w:cantSplit w:val="true"/>
        </w:trPr>
        <w:tc>
          <w:tcPr>
            <w:tcW w:w="61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Cs/>
                <w:sz w:val="20"/>
                <w:szCs w:val="20"/>
              </w:rPr>
            </w:pPr>
            <w:r>
              <w:rPr>
                <w:bCs/>
                <w:sz w:val="20"/>
                <w:szCs w:val="20"/>
              </w:rPr>
              <w:t>5.5.</w:t>
            </w:r>
          </w:p>
        </w:tc>
        <w:tc>
          <w:tcPr>
            <w:tcW w:w="509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rPr>
                <w:sz w:val="20"/>
                <w:szCs w:val="20"/>
              </w:rPr>
            </w:pPr>
            <w:r>
              <w:rPr>
                <w:sz w:val="20"/>
                <w:szCs w:val="20"/>
              </w:rPr>
              <w:t>Расходы на амортизацию основных производственных средств</w:t>
            </w:r>
          </w:p>
        </w:tc>
        <w:tc>
          <w:tcPr>
            <w:tcW w:w="117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136" w:right="-184" w:hanging="0"/>
              <w:jc w:val="center"/>
              <w:rPr>
                <w:sz w:val="20"/>
                <w:szCs w:val="20"/>
              </w:rPr>
            </w:pPr>
            <w:r>
              <w:rPr>
                <w:bCs/>
                <w:sz w:val="20"/>
                <w:szCs w:val="20"/>
              </w:rPr>
              <w:t>тыс.руб.</w:t>
            </w:r>
          </w:p>
        </w:tc>
        <w:tc>
          <w:tcPr>
            <w:tcW w:w="95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 w:eastAsiaTheme="majorEastAsia"/>
                <w:b/>
                <w:b/>
                <w:bCs/>
                <w:sz w:val="26"/>
                <w:szCs w:val="26"/>
              </w:rPr>
            </w:pPr>
            <w:r>
              <w:rPr>
                <w:sz w:val="20"/>
                <w:szCs w:val="20"/>
              </w:rPr>
              <w:t>3569,9</w:t>
            </w:r>
          </w:p>
        </w:tc>
        <w:tc>
          <w:tcPr>
            <w:tcW w:w="95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 w:eastAsiaTheme="majorEastAsia"/>
                <w:b/>
                <w:b/>
                <w:bCs/>
                <w:sz w:val="26"/>
                <w:szCs w:val="26"/>
              </w:rPr>
            </w:pPr>
            <w:r>
              <w:rPr>
                <w:sz w:val="20"/>
                <w:szCs w:val="20"/>
              </w:rPr>
              <w:t>0,000</w:t>
            </w:r>
          </w:p>
        </w:tc>
        <w:tc>
          <w:tcPr>
            <w:tcW w:w="95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 w:eastAsiaTheme="majorEastAsia"/>
                <w:b/>
                <w:b/>
                <w:bCs/>
                <w:sz w:val="26"/>
                <w:szCs w:val="26"/>
              </w:rPr>
            </w:pPr>
            <w:r>
              <w:rPr>
                <w:sz w:val="20"/>
                <w:szCs w:val="20"/>
              </w:rPr>
              <w:t>0,000</w:t>
            </w:r>
          </w:p>
        </w:tc>
        <w:tc>
          <w:tcPr>
            <w:tcW w:w="95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 w:eastAsiaTheme="majorEastAsia"/>
                <w:b/>
                <w:b/>
                <w:bCs/>
                <w:sz w:val="26"/>
                <w:szCs w:val="26"/>
              </w:rPr>
            </w:pPr>
            <w:r>
              <w:rPr>
                <w:sz w:val="20"/>
                <w:szCs w:val="20"/>
              </w:rPr>
              <w:t>0,000</w:t>
            </w:r>
          </w:p>
        </w:tc>
        <w:tc>
          <w:tcPr>
            <w:tcW w:w="101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 w:eastAsiaTheme="majorEastAsia"/>
                <w:b/>
                <w:b/>
                <w:bCs/>
                <w:sz w:val="26"/>
                <w:szCs w:val="26"/>
              </w:rPr>
            </w:pPr>
            <w:r>
              <w:rPr>
                <w:sz w:val="20"/>
                <w:szCs w:val="20"/>
              </w:rPr>
              <w:t>0,000</w:t>
            </w:r>
          </w:p>
        </w:tc>
        <w:tc>
          <w:tcPr>
            <w:tcW w:w="85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 w:eastAsiaTheme="majorEastAsia"/>
                <w:b/>
                <w:b/>
                <w:bCs/>
                <w:sz w:val="26"/>
                <w:szCs w:val="26"/>
              </w:rPr>
            </w:pPr>
            <w:r>
              <w:rPr>
                <w:sz w:val="20"/>
                <w:szCs w:val="20"/>
              </w:rPr>
              <w:t>0,000</w:t>
            </w:r>
          </w:p>
        </w:tc>
        <w:tc>
          <w:tcPr>
            <w:tcW w:w="101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 w:eastAsiaTheme="majorEastAsia"/>
                <w:b/>
                <w:b/>
                <w:bCs/>
                <w:sz w:val="26"/>
                <w:szCs w:val="26"/>
              </w:rPr>
            </w:pPr>
            <w:r>
              <w:rPr>
                <w:sz w:val="20"/>
                <w:szCs w:val="20"/>
              </w:rPr>
              <w:t>0,000</w:t>
            </w:r>
          </w:p>
        </w:tc>
        <w:tc>
          <w:tcPr>
            <w:tcW w:w="100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 w:eastAsiaTheme="majorEastAsia"/>
                <w:b/>
                <w:b/>
                <w:bCs/>
                <w:sz w:val="26"/>
                <w:szCs w:val="26"/>
              </w:rPr>
            </w:pPr>
            <w:r>
              <w:rPr>
                <w:sz w:val="20"/>
                <w:szCs w:val="20"/>
              </w:rPr>
              <w:t>0,000</w:t>
            </w:r>
          </w:p>
        </w:tc>
      </w:tr>
      <w:tr>
        <w:trPr>
          <w:cantSplit w:val="true"/>
        </w:trPr>
        <w:tc>
          <w:tcPr>
            <w:tcW w:w="61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5.6.</w:t>
            </w:r>
          </w:p>
        </w:tc>
        <w:tc>
          <w:tcPr>
            <w:tcW w:w="509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rPr>
                <w:sz w:val="20"/>
                <w:szCs w:val="20"/>
              </w:rPr>
            </w:pPr>
            <w:r>
              <w:rPr>
                <w:sz w:val="20"/>
                <w:szCs w:val="20"/>
              </w:rPr>
              <w:t>Общепроизводственные расходы:</w:t>
            </w:r>
          </w:p>
        </w:tc>
        <w:tc>
          <w:tcPr>
            <w:tcW w:w="117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136" w:right="-184" w:hanging="0"/>
              <w:jc w:val="center"/>
              <w:rPr>
                <w:sz w:val="20"/>
                <w:szCs w:val="20"/>
              </w:rPr>
            </w:pPr>
            <w:r>
              <w:rPr>
                <w:bCs/>
                <w:sz w:val="20"/>
                <w:szCs w:val="20"/>
              </w:rPr>
              <w:t>тыс.руб.</w:t>
            </w:r>
          </w:p>
        </w:tc>
        <w:tc>
          <w:tcPr>
            <w:tcW w:w="95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 w:eastAsiaTheme="majorEastAsia"/>
                <w:b/>
                <w:b/>
                <w:bCs/>
                <w:sz w:val="26"/>
                <w:szCs w:val="26"/>
              </w:rPr>
            </w:pPr>
            <w:r>
              <w:rPr>
                <w:sz w:val="20"/>
                <w:szCs w:val="20"/>
              </w:rPr>
              <w:t>0,000</w:t>
            </w:r>
          </w:p>
        </w:tc>
        <w:tc>
          <w:tcPr>
            <w:tcW w:w="95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 w:eastAsiaTheme="majorEastAsia"/>
                <w:b/>
                <w:b/>
                <w:bCs/>
                <w:sz w:val="26"/>
                <w:szCs w:val="26"/>
              </w:rPr>
            </w:pPr>
            <w:r>
              <w:rPr>
                <w:sz w:val="20"/>
                <w:szCs w:val="20"/>
              </w:rPr>
              <w:t>0,000</w:t>
            </w:r>
          </w:p>
        </w:tc>
        <w:tc>
          <w:tcPr>
            <w:tcW w:w="95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 w:eastAsiaTheme="majorEastAsia"/>
                <w:b/>
                <w:b/>
                <w:bCs/>
                <w:sz w:val="26"/>
                <w:szCs w:val="26"/>
              </w:rPr>
            </w:pPr>
            <w:r>
              <w:rPr>
                <w:sz w:val="20"/>
                <w:szCs w:val="20"/>
              </w:rPr>
              <w:t>0,000</w:t>
            </w:r>
          </w:p>
        </w:tc>
        <w:tc>
          <w:tcPr>
            <w:tcW w:w="95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 w:eastAsiaTheme="majorEastAsia"/>
                <w:b/>
                <w:b/>
                <w:bCs/>
                <w:sz w:val="26"/>
                <w:szCs w:val="26"/>
              </w:rPr>
            </w:pPr>
            <w:r>
              <w:rPr>
                <w:sz w:val="20"/>
                <w:szCs w:val="20"/>
              </w:rPr>
              <w:t>0,000</w:t>
            </w:r>
          </w:p>
        </w:tc>
        <w:tc>
          <w:tcPr>
            <w:tcW w:w="101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 w:eastAsiaTheme="majorEastAsia"/>
                <w:b/>
                <w:b/>
                <w:bCs/>
                <w:sz w:val="26"/>
                <w:szCs w:val="26"/>
              </w:rPr>
            </w:pPr>
            <w:r>
              <w:rPr>
                <w:sz w:val="20"/>
                <w:szCs w:val="20"/>
              </w:rPr>
              <w:t>0,000</w:t>
            </w:r>
          </w:p>
        </w:tc>
        <w:tc>
          <w:tcPr>
            <w:tcW w:w="85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 w:eastAsiaTheme="majorEastAsia"/>
                <w:b/>
                <w:b/>
                <w:bCs/>
                <w:sz w:val="26"/>
                <w:szCs w:val="26"/>
              </w:rPr>
            </w:pPr>
            <w:r>
              <w:rPr>
                <w:sz w:val="20"/>
                <w:szCs w:val="20"/>
              </w:rPr>
              <w:t>0,000</w:t>
            </w:r>
          </w:p>
        </w:tc>
        <w:tc>
          <w:tcPr>
            <w:tcW w:w="101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 w:eastAsiaTheme="majorEastAsia"/>
                <w:b/>
                <w:b/>
                <w:bCs/>
                <w:sz w:val="26"/>
                <w:szCs w:val="26"/>
              </w:rPr>
            </w:pPr>
            <w:r>
              <w:rPr>
                <w:sz w:val="20"/>
                <w:szCs w:val="20"/>
              </w:rPr>
              <w:t>0,000</w:t>
            </w:r>
          </w:p>
        </w:tc>
        <w:tc>
          <w:tcPr>
            <w:tcW w:w="100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 w:eastAsiaTheme="majorEastAsia"/>
                <w:b/>
                <w:b/>
                <w:bCs/>
                <w:sz w:val="26"/>
                <w:szCs w:val="26"/>
              </w:rPr>
            </w:pPr>
            <w:r>
              <w:rPr>
                <w:sz w:val="20"/>
                <w:szCs w:val="20"/>
              </w:rPr>
              <w:t>0,000</w:t>
            </w:r>
          </w:p>
        </w:tc>
      </w:tr>
      <w:tr>
        <w:trPr>
          <w:cantSplit w:val="true"/>
        </w:trPr>
        <w:tc>
          <w:tcPr>
            <w:tcW w:w="61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5.7.</w:t>
            </w:r>
          </w:p>
        </w:tc>
        <w:tc>
          <w:tcPr>
            <w:tcW w:w="509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rPr>
                <w:sz w:val="20"/>
                <w:szCs w:val="20"/>
              </w:rPr>
            </w:pPr>
            <w:r>
              <w:rPr>
                <w:sz w:val="20"/>
                <w:szCs w:val="20"/>
              </w:rPr>
              <w:t>Общехозяйственные расходы:</w:t>
            </w:r>
          </w:p>
        </w:tc>
        <w:tc>
          <w:tcPr>
            <w:tcW w:w="117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136" w:right="-184" w:hanging="0"/>
              <w:jc w:val="center"/>
              <w:rPr>
                <w:sz w:val="20"/>
                <w:szCs w:val="20"/>
              </w:rPr>
            </w:pPr>
            <w:r>
              <w:rPr>
                <w:bCs/>
                <w:sz w:val="20"/>
                <w:szCs w:val="20"/>
              </w:rPr>
              <w:t>тыс.руб.</w:t>
            </w:r>
          </w:p>
        </w:tc>
        <w:tc>
          <w:tcPr>
            <w:tcW w:w="95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 w:eastAsiaTheme="majorEastAsia"/>
                <w:b/>
                <w:b/>
                <w:bCs/>
                <w:sz w:val="26"/>
                <w:szCs w:val="26"/>
              </w:rPr>
            </w:pPr>
            <w:r>
              <w:rPr>
                <w:sz w:val="20"/>
                <w:szCs w:val="20"/>
              </w:rPr>
              <w:t>0,000</w:t>
            </w:r>
          </w:p>
        </w:tc>
        <w:tc>
          <w:tcPr>
            <w:tcW w:w="95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 w:eastAsiaTheme="majorEastAsia"/>
                <w:b/>
                <w:b/>
                <w:bCs/>
                <w:sz w:val="26"/>
                <w:szCs w:val="26"/>
              </w:rPr>
            </w:pPr>
            <w:r>
              <w:rPr>
                <w:sz w:val="20"/>
                <w:szCs w:val="20"/>
              </w:rPr>
              <w:t>0,000</w:t>
            </w:r>
          </w:p>
        </w:tc>
        <w:tc>
          <w:tcPr>
            <w:tcW w:w="95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 w:eastAsiaTheme="majorEastAsia"/>
                <w:b/>
                <w:b/>
                <w:bCs/>
                <w:sz w:val="26"/>
                <w:szCs w:val="26"/>
              </w:rPr>
            </w:pPr>
            <w:r>
              <w:rPr>
                <w:sz w:val="20"/>
                <w:szCs w:val="20"/>
              </w:rPr>
              <w:t>0,000</w:t>
            </w:r>
          </w:p>
        </w:tc>
        <w:tc>
          <w:tcPr>
            <w:tcW w:w="95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 w:eastAsiaTheme="majorEastAsia"/>
                <w:b/>
                <w:b/>
                <w:bCs/>
                <w:sz w:val="26"/>
                <w:szCs w:val="26"/>
              </w:rPr>
            </w:pPr>
            <w:r>
              <w:rPr>
                <w:sz w:val="20"/>
                <w:szCs w:val="20"/>
              </w:rPr>
              <w:t>0,000</w:t>
            </w:r>
          </w:p>
        </w:tc>
        <w:tc>
          <w:tcPr>
            <w:tcW w:w="101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 w:eastAsiaTheme="majorEastAsia"/>
                <w:b/>
                <w:b/>
                <w:bCs/>
                <w:sz w:val="26"/>
                <w:szCs w:val="26"/>
              </w:rPr>
            </w:pPr>
            <w:r>
              <w:rPr>
                <w:sz w:val="20"/>
                <w:szCs w:val="20"/>
              </w:rPr>
              <w:t>0,000</w:t>
            </w:r>
          </w:p>
        </w:tc>
        <w:tc>
          <w:tcPr>
            <w:tcW w:w="85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 w:eastAsiaTheme="majorEastAsia"/>
                <w:b/>
                <w:b/>
                <w:bCs/>
                <w:sz w:val="26"/>
                <w:szCs w:val="26"/>
              </w:rPr>
            </w:pPr>
            <w:r>
              <w:rPr>
                <w:sz w:val="20"/>
                <w:szCs w:val="20"/>
              </w:rPr>
              <w:t>0,000</w:t>
            </w:r>
          </w:p>
        </w:tc>
        <w:tc>
          <w:tcPr>
            <w:tcW w:w="101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 w:eastAsiaTheme="majorEastAsia"/>
                <w:b/>
                <w:b/>
                <w:bCs/>
                <w:sz w:val="26"/>
                <w:szCs w:val="26"/>
              </w:rPr>
            </w:pPr>
            <w:r>
              <w:rPr>
                <w:sz w:val="20"/>
                <w:szCs w:val="20"/>
              </w:rPr>
              <w:t>0,000</w:t>
            </w:r>
          </w:p>
        </w:tc>
        <w:tc>
          <w:tcPr>
            <w:tcW w:w="100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 w:eastAsiaTheme="majorEastAsia"/>
                <w:b/>
                <w:b/>
                <w:bCs/>
                <w:sz w:val="26"/>
                <w:szCs w:val="26"/>
              </w:rPr>
            </w:pPr>
            <w:r>
              <w:rPr>
                <w:sz w:val="20"/>
                <w:szCs w:val="20"/>
              </w:rPr>
              <w:t>0,000</w:t>
            </w:r>
          </w:p>
        </w:tc>
      </w:tr>
      <w:tr>
        <w:trPr>
          <w:cantSplit w:val="true"/>
        </w:trPr>
        <w:tc>
          <w:tcPr>
            <w:tcW w:w="61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5.8.</w:t>
            </w:r>
          </w:p>
        </w:tc>
        <w:tc>
          <w:tcPr>
            <w:tcW w:w="509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rPr>
                <w:sz w:val="20"/>
                <w:szCs w:val="20"/>
              </w:rPr>
            </w:pPr>
            <w:r>
              <w:rPr>
                <w:sz w:val="20"/>
                <w:szCs w:val="20"/>
              </w:rPr>
              <w:t>Расходы на капитальный и текущий ремонт основных производственных средств</w:t>
            </w:r>
          </w:p>
        </w:tc>
        <w:tc>
          <w:tcPr>
            <w:tcW w:w="117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136" w:right="-184" w:hanging="0"/>
              <w:jc w:val="center"/>
              <w:rPr>
                <w:sz w:val="20"/>
                <w:szCs w:val="20"/>
              </w:rPr>
            </w:pPr>
            <w:r>
              <w:rPr>
                <w:bCs/>
                <w:sz w:val="20"/>
                <w:szCs w:val="20"/>
              </w:rPr>
              <w:t>тыс.руб.</w:t>
            </w:r>
          </w:p>
        </w:tc>
        <w:tc>
          <w:tcPr>
            <w:tcW w:w="95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 w:eastAsiaTheme="majorEastAsia"/>
                <w:b/>
                <w:b/>
                <w:bCs/>
                <w:sz w:val="26"/>
                <w:szCs w:val="26"/>
              </w:rPr>
            </w:pPr>
            <w:r>
              <w:rPr>
                <w:sz w:val="20"/>
                <w:szCs w:val="20"/>
              </w:rPr>
              <w:t>672,29</w:t>
            </w:r>
          </w:p>
        </w:tc>
        <w:tc>
          <w:tcPr>
            <w:tcW w:w="95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 w:eastAsiaTheme="majorEastAsia"/>
                <w:b/>
                <w:b/>
                <w:bCs/>
                <w:sz w:val="26"/>
                <w:szCs w:val="26"/>
              </w:rPr>
            </w:pPr>
            <w:r>
              <w:rPr>
                <w:sz w:val="20"/>
                <w:szCs w:val="20"/>
              </w:rPr>
              <w:t>1599,72</w:t>
            </w:r>
          </w:p>
        </w:tc>
        <w:tc>
          <w:tcPr>
            <w:tcW w:w="95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 w:eastAsiaTheme="majorEastAsia"/>
                <w:b/>
                <w:b/>
                <w:bCs/>
                <w:sz w:val="26"/>
                <w:szCs w:val="26"/>
              </w:rPr>
            </w:pPr>
            <w:r>
              <w:rPr>
                <w:sz w:val="20"/>
                <w:szCs w:val="20"/>
              </w:rPr>
              <w:t>1650,24</w:t>
            </w:r>
          </w:p>
        </w:tc>
        <w:tc>
          <w:tcPr>
            <w:tcW w:w="95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 w:eastAsiaTheme="majorEastAsia"/>
                <w:b/>
                <w:b/>
                <w:bCs/>
                <w:sz w:val="26"/>
                <w:szCs w:val="26"/>
              </w:rPr>
            </w:pPr>
            <w:r>
              <w:rPr>
                <w:sz w:val="20"/>
                <w:szCs w:val="20"/>
              </w:rPr>
              <w:t>1699,09</w:t>
            </w:r>
          </w:p>
        </w:tc>
        <w:tc>
          <w:tcPr>
            <w:tcW w:w="101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 w:eastAsiaTheme="majorEastAsia"/>
                <w:b/>
                <w:b/>
                <w:bCs/>
                <w:sz w:val="26"/>
                <w:szCs w:val="26"/>
              </w:rPr>
            </w:pPr>
            <w:r>
              <w:rPr>
                <w:sz w:val="20"/>
                <w:szCs w:val="20"/>
              </w:rPr>
              <w:t>1868,99</w:t>
            </w:r>
          </w:p>
        </w:tc>
        <w:tc>
          <w:tcPr>
            <w:tcW w:w="85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 w:eastAsiaTheme="majorEastAsia"/>
                <w:b/>
                <w:b/>
                <w:bCs/>
                <w:sz w:val="26"/>
                <w:szCs w:val="26"/>
              </w:rPr>
            </w:pPr>
            <w:r>
              <w:rPr>
                <w:sz w:val="20"/>
                <w:szCs w:val="20"/>
              </w:rPr>
              <w:t>2055,89</w:t>
            </w:r>
          </w:p>
        </w:tc>
        <w:tc>
          <w:tcPr>
            <w:tcW w:w="101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 w:eastAsiaTheme="majorEastAsia"/>
                <w:b/>
                <w:b/>
                <w:bCs/>
                <w:sz w:val="26"/>
                <w:szCs w:val="26"/>
              </w:rPr>
            </w:pPr>
            <w:r>
              <w:rPr>
                <w:sz w:val="20"/>
                <w:szCs w:val="20"/>
              </w:rPr>
              <w:t>2261,49</w:t>
            </w:r>
          </w:p>
        </w:tc>
        <w:tc>
          <w:tcPr>
            <w:tcW w:w="100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 w:eastAsiaTheme="majorEastAsia"/>
                <w:b/>
                <w:b/>
                <w:bCs/>
                <w:sz w:val="26"/>
                <w:szCs w:val="26"/>
              </w:rPr>
            </w:pPr>
            <w:r>
              <w:rPr>
                <w:sz w:val="20"/>
                <w:szCs w:val="20"/>
              </w:rPr>
              <w:t>2487,64</w:t>
            </w:r>
          </w:p>
        </w:tc>
      </w:tr>
      <w:tr>
        <w:trPr>
          <w:cantSplit w:val="true"/>
        </w:trPr>
        <w:tc>
          <w:tcPr>
            <w:tcW w:w="61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6</w:t>
            </w:r>
          </w:p>
        </w:tc>
        <w:tc>
          <w:tcPr>
            <w:tcW w:w="509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rPr>
                <w:sz w:val="20"/>
                <w:szCs w:val="20"/>
              </w:rPr>
            </w:pPr>
            <w:r>
              <w:rPr>
                <w:sz w:val="20"/>
                <w:szCs w:val="20"/>
              </w:rPr>
              <w:t>прочие расходы</w:t>
            </w:r>
          </w:p>
        </w:tc>
        <w:tc>
          <w:tcPr>
            <w:tcW w:w="117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136" w:right="-184" w:hanging="0"/>
              <w:jc w:val="center"/>
              <w:rPr>
                <w:sz w:val="20"/>
                <w:szCs w:val="20"/>
              </w:rPr>
            </w:pPr>
            <w:r>
              <w:rPr>
                <w:bCs/>
                <w:sz w:val="20"/>
                <w:szCs w:val="20"/>
              </w:rPr>
              <w:t>тыс.руб.</w:t>
            </w:r>
          </w:p>
        </w:tc>
        <w:tc>
          <w:tcPr>
            <w:tcW w:w="95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 w:eastAsiaTheme="majorEastAsia"/>
                <w:b/>
                <w:b/>
                <w:bCs/>
                <w:sz w:val="26"/>
                <w:szCs w:val="26"/>
              </w:rPr>
            </w:pPr>
            <w:r>
              <w:rPr>
                <w:sz w:val="20"/>
                <w:szCs w:val="20"/>
              </w:rPr>
              <w:t>12261,86</w:t>
            </w:r>
          </w:p>
        </w:tc>
        <w:tc>
          <w:tcPr>
            <w:tcW w:w="95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 w:eastAsiaTheme="majorEastAsia"/>
                <w:b/>
                <w:b/>
                <w:bCs/>
                <w:sz w:val="26"/>
                <w:szCs w:val="26"/>
              </w:rPr>
            </w:pPr>
            <w:r>
              <w:rPr>
                <w:sz w:val="20"/>
                <w:szCs w:val="20"/>
              </w:rPr>
              <w:t>8689,93</w:t>
            </w:r>
          </w:p>
        </w:tc>
        <w:tc>
          <w:tcPr>
            <w:tcW w:w="95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 w:eastAsiaTheme="majorEastAsia"/>
                <w:b/>
                <w:b/>
                <w:bCs/>
                <w:sz w:val="26"/>
                <w:szCs w:val="26"/>
              </w:rPr>
            </w:pPr>
            <w:r>
              <w:rPr>
                <w:sz w:val="20"/>
                <w:szCs w:val="20"/>
              </w:rPr>
              <w:t>8940,58</w:t>
            </w:r>
          </w:p>
        </w:tc>
        <w:tc>
          <w:tcPr>
            <w:tcW w:w="95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 w:eastAsiaTheme="majorEastAsia"/>
                <w:b/>
                <w:b/>
                <w:bCs/>
                <w:sz w:val="26"/>
                <w:szCs w:val="26"/>
              </w:rPr>
            </w:pPr>
            <w:r>
              <w:rPr>
                <w:sz w:val="20"/>
                <w:szCs w:val="20"/>
              </w:rPr>
              <w:t>7769,1</w:t>
            </w:r>
          </w:p>
        </w:tc>
        <w:tc>
          <w:tcPr>
            <w:tcW w:w="101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 w:eastAsiaTheme="majorEastAsia"/>
                <w:b/>
                <w:b/>
                <w:bCs/>
                <w:sz w:val="26"/>
                <w:szCs w:val="26"/>
              </w:rPr>
            </w:pPr>
            <w:r>
              <w:rPr>
                <w:sz w:val="20"/>
                <w:szCs w:val="20"/>
              </w:rPr>
              <w:t>8546,01</w:t>
            </w:r>
          </w:p>
        </w:tc>
        <w:tc>
          <w:tcPr>
            <w:tcW w:w="85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 w:eastAsiaTheme="majorEastAsia"/>
                <w:b/>
                <w:b/>
                <w:bCs/>
                <w:sz w:val="26"/>
                <w:szCs w:val="26"/>
              </w:rPr>
            </w:pPr>
            <w:r>
              <w:rPr>
                <w:sz w:val="20"/>
                <w:szCs w:val="20"/>
              </w:rPr>
              <w:t>9400,61</w:t>
            </w:r>
          </w:p>
        </w:tc>
        <w:tc>
          <w:tcPr>
            <w:tcW w:w="101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 w:eastAsiaTheme="majorEastAsia"/>
                <w:b/>
                <w:b/>
                <w:bCs/>
                <w:sz w:val="26"/>
                <w:szCs w:val="26"/>
              </w:rPr>
            </w:pPr>
            <w:r>
              <w:rPr>
                <w:sz w:val="20"/>
                <w:szCs w:val="20"/>
              </w:rPr>
              <w:t>10340,67</w:t>
            </w:r>
          </w:p>
        </w:tc>
        <w:tc>
          <w:tcPr>
            <w:tcW w:w="100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 w:eastAsiaTheme="majorEastAsia"/>
                <w:b/>
                <w:b/>
                <w:bCs/>
                <w:sz w:val="26"/>
                <w:szCs w:val="26"/>
              </w:rPr>
            </w:pPr>
            <w:r>
              <w:rPr>
                <w:sz w:val="20"/>
                <w:szCs w:val="20"/>
              </w:rPr>
              <w:t>11374,74</w:t>
            </w:r>
          </w:p>
        </w:tc>
      </w:tr>
      <w:tr>
        <w:trPr>
          <w:cantSplit w:val="true"/>
        </w:trPr>
        <w:tc>
          <w:tcPr>
            <w:tcW w:w="61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7</w:t>
            </w:r>
          </w:p>
        </w:tc>
        <w:tc>
          <w:tcPr>
            <w:tcW w:w="509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Прибыль</w:t>
            </w:r>
          </w:p>
        </w:tc>
        <w:tc>
          <w:tcPr>
            <w:tcW w:w="117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136" w:right="-184" w:hanging="0"/>
              <w:jc w:val="center"/>
              <w:rPr>
                <w:sz w:val="20"/>
                <w:szCs w:val="20"/>
              </w:rPr>
            </w:pPr>
            <w:r>
              <w:rPr>
                <w:bCs/>
                <w:sz w:val="20"/>
                <w:szCs w:val="20"/>
              </w:rPr>
              <w:t>тыс.руб.</w:t>
            </w:r>
          </w:p>
        </w:tc>
        <w:tc>
          <w:tcPr>
            <w:tcW w:w="95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 w:eastAsiaTheme="majorEastAsia"/>
                <w:b/>
                <w:b/>
                <w:bCs/>
                <w:sz w:val="26"/>
                <w:szCs w:val="26"/>
              </w:rPr>
            </w:pPr>
            <w:r>
              <w:rPr>
                <w:sz w:val="20"/>
                <w:szCs w:val="20"/>
              </w:rPr>
              <w:t>0,0</w:t>
            </w:r>
          </w:p>
        </w:tc>
        <w:tc>
          <w:tcPr>
            <w:tcW w:w="95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 w:eastAsiaTheme="majorEastAsia"/>
                <w:b/>
                <w:b/>
                <w:bCs/>
                <w:sz w:val="26"/>
                <w:szCs w:val="26"/>
              </w:rPr>
            </w:pPr>
            <w:r>
              <w:rPr>
                <w:sz w:val="20"/>
                <w:szCs w:val="20"/>
              </w:rPr>
              <w:t>0,0</w:t>
            </w:r>
          </w:p>
        </w:tc>
        <w:tc>
          <w:tcPr>
            <w:tcW w:w="95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 w:eastAsiaTheme="majorEastAsia"/>
                <w:b/>
                <w:b/>
                <w:bCs/>
                <w:sz w:val="26"/>
                <w:szCs w:val="26"/>
              </w:rPr>
            </w:pPr>
            <w:r>
              <w:rPr>
                <w:sz w:val="20"/>
                <w:szCs w:val="20"/>
              </w:rPr>
              <w:t>0,0</w:t>
            </w:r>
          </w:p>
        </w:tc>
        <w:tc>
          <w:tcPr>
            <w:tcW w:w="95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 w:eastAsiaTheme="majorEastAsia"/>
                <w:b/>
                <w:b/>
                <w:bCs/>
                <w:sz w:val="26"/>
                <w:szCs w:val="26"/>
              </w:rPr>
            </w:pPr>
            <w:r>
              <w:rPr>
                <w:sz w:val="20"/>
                <w:szCs w:val="20"/>
              </w:rPr>
              <w:t>0,0</w:t>
            </w:r>
          </w:p>
        </w:tc>
        <w:tc>
          <w:tcPr>
            <w:tcW w:w="101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 w:eastAsiaTheme="majorEastAsia"/>
                <w:b/>
                <w:b/>
                <w:bCs/>
                <w:sz w:val="26"/>
                <w:szCs w:val="26"/>
              </w:rPr>
            </w:pPr>
            <w:r>
              <w:rPr>
                <w:sz w:val="20"/>
                <w:szCs w:val="20"/>
              </w:rPr>
              <w:t>0,0</w:t>
            </w:r>
          </w:p>
        </w:tc>
        <w:tc>
          <w:tcPr>
            <w:tcW w:w="85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 w:eastAsiaTheme="majorEastAsia"/>
                <w:b/>
                <w:b/>
                <w:bCs/>
                <w:sz w:val="26"/>
                <w:szCs w:val="26"/>
              </w:rPr>
            </w:pPr>
            <w:r>
              <w:rPr>
                <w:sz w:val="20"/>
                <w:szCs w:val="20"/>
              </w:rPr>
              <w:t>0,0</w:t>
            </w:r>
          </w:p>
        </w:tc>
        <w:tc>
          <w:tcPr>
            <w:tcW w:w="101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 w:eastAsiaTheme="majorEastAsia"/>
                <w:b/>
                <w:b/>
                <w:bCs/>
                <w:sz w:val="26"/>
                <w:szCs w:val="26"/>
              </w:rPr>
            </w:pPr>
            <w:r>
              <w:rPr>
                <w:sz w:val="20"/>
                <w:szCs w:val="20"/>
              </w:rPr>
              <w:t>0,0</w:t>
            </w:r>
          </w:p>
        </w:tc>
        <w:tc>
          <w:tcPr>
            <w:tcW w:w="100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 w:eastAsiaTheme="majorEastAsia"/>
                <w:b/>
                <w:b/>
                <w:bCs/>
                <w:sz w:val="26"/>
                <w:szCs w:val="26"/>
              </w:rPr>
            </w:pPr>
            <w:r>
              <w:rPr>
                <w:sz w:val="20"/>
                <w:szCs w:val="20"/>
              </w:rPr>
              <w:t>0,0</w:t>
            </w:r>
          </w:p>
        </w:tc>
      </w:tr>
      <w:tr>
        <w:trPr>
          <w:cantSplit w:val="true"/>
        </w:trPr>
        <w:tc>
          <w:tcPr>
            <w:tcW w:w="61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Cs/>
                <w:sz w:val="20"/>
                <w:szCs w:val="20"/>
              </w:rPr>
            </w:pPr>
            <w:r>
              <w:rPr>
                <w:bCs/>
                <w:sz w:val="20"/>
                <w:szCs w:val="20"/>
              </w:rPr>
              <w:t>8</w:t>
            </w:r>
          </w:p>
        </w:tc>
        <w:tc>
          <w:tcPr>
            <w:tcW w:w="509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Необходимая валовая выручка от вида деятельности</w:t>
            </w:r>
          </w:p>
        </w:tc>
        <w:tc>
          <w:tcPr>
            <w:tcW w:w="117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136" w:right="-184" w:hanging="0"/>
              <w:jc w:val="center"/>
              <w:rPr>
                <w:sz w:val="20"/>
                <w:szCs w:val="20"/>
              </w:rPr>
            </w:pPr>
            <w:r>
              <w:rPr>
                <w:bCs/>
                <w:sz w:val="20"/>
                <w:szCs w:val="20"/>
              </w:rPr>
              <w:t>тыс.руб.</w:t>
            </w:r>
          </w:p>
        </w:tc>
        <w:tc>
          <w:tcPr>
            <w:tcW w:w="95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 w:eastAsiaTheme="majorEastAsia"/>
                <w:b/>
                <w:b/>
                <w:bCs/>
                <w:sz w:val="26"/>
                <w:szCs w:val="26"/>
              </w:rPr>
            </w:pPr>
            <w:r>
              <w:rPr>
                <w:sz w:val="20"/>
                <w:szCs w:val="20"/>
              </w:rPr>
              <w:t>84502,40</w:t>
            </w:r>
          </w:p>
        </w:tc>
        <w:tc>
          <w:tcPr>
            <w:tcW w:w="95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 w:eastAsiaTheme="majorEastAsia"/>
                <w:b/>
                <w:b/>
                <w:bCs/>
                <w:sz w:val="26"/>
                <w:szCs w:val="26"/>
              </w:rPr>
            </w:pPr>
            <w:r>
              <w:rPr>
                <w:sz w:val="20"/>
                <w:szCs w:val="20"/>
              </w:rPr>
              <w:t>65668,95</w:t>
            </w:r>
          </w:p>
        </w:tc>
        <w:tc>
          <w:tcPr>
            <w:tcW w:w="95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 w:eastAsiaTheme="majorEastAsia"/>
                <w:b/>
                <w:b/>
                <w:bCs/>
                <w:sz w:val="26"/>
                <w:szCs w:val="26"/>
              </w:rPr>
            </w:pPr>
            <w:r>
              <w:rPr>
                <w:sz w:val="20"/>
                <w:szCs w:val="20"/>
              </w:rPr>
              <w:t>69058,19</w:t>
            </w:r>
          </w:p>
        </w:tc>
        <w:tc>
          <w:tcPr>
            <w:tcW w:w="95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 w:eastAsiaTheme="majorEastAsia"/>
                <w:b/>
                <w:b/>
                <w:bCs/>
                <w:sz w:val="26"/>
                <w:szCs w:val="26"/>
              </w:rPr>
            </w:pPr>
            <w:r>
              <w:rPr>
                <w:sz w:val="20"/>
                <w:szCs w:val="20"/>
              </w:rPr>
              <w:t>70338,26</w:t>
            </w:r>
          </w:p>
        </w:tc>
        <w:tc>
          <w:tcPr>
            <w:tcW w:w="101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 w:eastAsiaTheme="majorEastAsia"/>
                <w:b/>
                <w:b/>
                <w:bCs/>
                <w:sz w:val="26"/>
                <w:szCs w:val="26"/>
              </w:rPr>
            </w:pPr>
            <w:r>
              <w:rPr>
                <w:sz w:val="20"/>
                <w:szCs w:val="20"/>
              </w:rPr>
              <w:t>77372,08</w:t>
            </w:r>
          </w:p>
        </w:tc>
        <w:tc>
          <w:tcPr>
            <w:tcW w:w="85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 w:eastAsiaTheme="majorEastAsia"/>
                <w:b/>
                <w:b/>
                <w:bCs/>
                <w:sz w:val="26"/>
                <w:szCs w:val="26"/>
              </w:rPr>
            </w:pPr>
            <w:r>
              <w:rPr>
                <w:sz w:val="20"/>
                <w:szCs w:val="20"/>
              </w:rPr>
              <w:t>85109,29</w:t>
            </w:r>
          </w:p>
        </w:tc>
        <w:tc>
          <w:tcPr>
            <w:tcW w:w="101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 w:eastAsiaTheme="majorEastAsia"/>
                <w:b/>
                <w:b/>
                <w:bCs/>
                <w:sz w:val="26"/>
                <w:szCs w:val="26"/>
              </w:rPr>
            </w:pPr>
            <w:r>
              <w:rPr>
                <w:sz w:val="20"/>
                <w:szCs w:val="20"/>
              </w:rPr>
              <w:t>93620,21</w:t>
            </w:r>
          </w:p>
        </w:tc>
        <w:tc>
          <w:tcPr>
            <w:tcW w:w="100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 w:eastAsiaTheme="majorEastAsia"/>
                <w:b/>
                <w:b/>
                <w:bCs/>
                <w:sz w:val="26"/>
                <w:szCs w:val="26"/>
              </w:rPr>
            </w:pPr>
            <w:r>
              <w:rPr>
                <w:sz w:val="20"/>
                <w:szCs w:val="20"/>
              </w:rPr>
              <w:t>102982,24</w:t>
            </w:r>
          </w:p>
        </w:tc>
      </w:tr>
      <w:tr>
        <w:trPr>
          <w:cantSplit w:val="true"/>
        </w:trPr>
        <w:tc>
          <w:tcPr>
            <w:tcW w:w="61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Cs/>
                <w:sz w:val="20"/>
                <w:szCs w:val="20"/>
              </w:rPr>
            </w:pPr>
            <w:r>
              <w:rPr>
                <w:bCs/>
                <w:sz w:val="20"/>
                <w:szCs w:val="20"/>
              </w:rPr>
              <w:t>9</w:t>
            </w:r>
          </w:p>
        </w:tc>
        <w:tc>
          <w:tcPr>
            <w:tcW w:w="509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Оценочная стоимость производства тепла</w:t>
            </w:r>
          </w:p>
        </w:tc>
        <w:tc>
          <w:tcPr>
            <w:tcW w:w="117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136" w:right="-184" w:hanging="0"/>
              <w:jc w:val="center"/>
              <w:rPr>
                <w:bCs/>
                <w:sz w:val="20"/>
                <w:szCs w:val="20"/>
              </w:rPr>
            </w:pPr>
            <w:r>
              <w:rPr>
                <w:bCs/>
                <w:sz w:val="20"/>
                <w:szCs w:val="20"/>
              </w:rPr>
              <w:t>руб./Гкал</w:t>
            </w:r>
          </w:p>
        </w:tc>
        <w:tc>
          <w:tcPr>
            <w:tcW w:w="95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 w:eastAsiaTheme="majorEastAsia"/>
                <w:b/>
                <w:b/>
                <w:bCs/>
                <w:sz w:val="26"/>
                <w:szCs w:val="26"/>
              </w:rPr>
            </w:pPr>
            <w:r>
              <w:rPr>
                <w:sz w:val="20"/>
                <w:szCs w:val="20"/>
              </w:rPr>
              <w:t>3837,36</w:t>
            </w:r>
          </w:p>
        </w:tc>
        <w:tc>
          <w:tcPr>
            <w:tcW w:w="95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 w:eastAsiaTheme="majorEastAsia"/>
                <w:b/>
                <w:b/>
                <w:bCs/>
                <w:sz w:val="26"/>
                <w:szCs w:val="26"/>
              </w:rPr>
            </w:pPr>
            <w:r>
              <w:rPr>
                <w:sz w:val="20"/>
                <w:szCs w:val="20"/>
              </w:rPr>
              <w:t>2582,08</w:t>
            </w:r>
          </w:p>
        </w:tc>
        <w:tc>
          <w:tcPr>
            <w:tcW w:w="95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 w:eastAsiaTheme="majorEastAsia"/>
                <w:b/>
                <w:b/>
                <w:bCs/>
                <w:sz w:val="26"/>
                <w:szCs w:val="26"/>
              </w:rPr>
            </w:pPr>
            <w:r>
              <w:rPr>
                <w:sz w:val="20"/>
                <w:szCs w:val="20"/>
              </w:rPr>
              <w:t>2715,34</w:t>
            </w:r>
          </w:p>
        </w:tc>
        <w:tc>
          <w:tcPr>
            <w:tcW w:w="95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 w:eastAsiaTheme="majorEastAsia"/>
                <w:b/>
                <w:b/>
                <w:bCs/>
                <w:sz w:val="26"/>
                <w:szCs w:val="26"/>
              </w:rPr>
            </w:pPr>
            <w:r>
              <w:rPr>
                <w:sz w:val="20"/>
                <w:szCs w:val="20"/>
              </w:rPr>
              <w:t>2765,67</w:t>
            </w:r>
          </w:p>
        </w:tc>
        <w:tc>
          <w:tcPr>
            <w:tcW w:w="101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 w:eastAsiaTheme="majorEastAsia"/>
                <w:b/>
                <w:b/>
                <w:bCs/>
                <w:sz w:val="26"/>
                <w:szCs w:val="26"/>
              </w:rPr>
            </w:pPr>
            <w:r>
              <w:rPr>
                <w:sz w:val="20"/>
                <w:szCs w:val="20"/>
              </w:rPr>
              <w:t>3042,24</w:t>
            </w:r>
          </w:p>
        </w:tc>
        <w:tc>
          <w:tcPr>
            <w:tcW w:w="85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 w:eastAsiaTheme="majorEastAsia"/>
                <w:b/>
                <w:b/>
                <w:bCs/>
                <w:sz w:val="26"/>
                <w:szCs w:val="26"/>
              </w:rPr>
            </w:pPr>
            <w:r>
              <w:rPr>
                <w:sz w:val="20"/>
                <w:szCs w:val="20"/>
              </w:rPr>
              <w:t>3346,46</w:t>
            </w:r>
          </w:p>
        </w:tc>
        <w:tc>
          <w:tcPr>
            <w:tcW w:w="101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 w:eastAsiaTheme="majorEastAsia"/>
                <w:b/>
                <w:b/>
                <w:bCs/>
                <w:sz w:val="26"/>
                <w:szCs w:val="26"/>
              </w:rPr>
            </w:pPr>
            <w:r>
              <w:rPr>
                <w:sz w:val="20"/>
                <w:szCs w:val="20"/>
              </w:rPr>
              <w:t>3681,11</w:t>
            </w:r>
          </w:p>
        </w:tc>
        <w:tc>
          <w:tcPr>
            <w:tcW w:w="100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rFonts w:eastAsia="" w:eastAsiaTheme="majorEastAsia"/>
                <w:b/>
                <w:b/>
                <w:bCs/>
                <w:sz w:val="26"/>
                <w:szCs w:val="26"/>
              </w:rPr>
            </w:pPr>
            <w:r>
              <w:rPr>
                <w:sz w:val="20"/>
                <w:szCs w:val="20"/>
              </w:rPr>
              <w:t>4049,22</w:t>
            </w:r>
          </w:p>
        </w:tc>
      </w:tr>
    </w:tbl>
    <w:p>
      <w:pPr>
        <w:pStyle w:val="Normal"/>
        <w:jc w:val="both"/>
        <w:rPr>
          <w:rFonts w:eastAsia="Calibri" w:cs="Calibri"/>
          <w:iCs/>
          <w:lang w:eastAsia="en-US"/>
        </w:rPr>
      </w:pPr>
      <w:r>
        <w:rPr>
          <w:sz w:val="22"/>
          <w:lang w:eastAsia="ru-RU"/>
        </w:rPr>
        <w:t>*- Прогнозирование финансово-хозяйственной деятельности теплоснабжающей организации проводится на основе фактических показателей финансово-хозяйственной деятельности за базовый период регулирования и утверждённый период регулирования на момент разработки схемы теплоснабжения.             В качестве исходных данных принимаются с данные портала по раскрытию информации, подлежащих свободному доступу (</w:t>
      </w:r>
      <w:hyperlink r:id="rId32">
        <w:r>
          <w:rPr>
            <w:sz w:val="22"/>
            <w:lang w:eastAsia="ru-RU"/>
          </w:rPr>
          <w:t>http://ri.eias.ru</w:t>
        </w:r>
      </w:hyperlink>
      <w:r>
        <w:rPr>
          <w:sz w:val="22"/>
          <w:lang w:eastAsia="ru-RU"/>
        </w:rPr>
        <w:t xml:space="preserve">) и данные                от ТСО. </w:t>
      </w:r>
    </w:p>
    <w:p>
      <w:pPr>
        <w:pStyle w:val="Normal"/>
        <w:jc w:val="right"/>
        <w:rPr>
          <w:rFonts w:eastAsia="Calibri" w:cs="Calibri"/>
          <w:iCs/>
          <w:szCs w:val="18"/>
          <w:lang w:eastAsia="en-US"/>
        </w:rPr>
      </w:pPr>
      <w:r>
        <w:rPr>
          <w:rFonts w:eastAsia="Calibri" w:cs="Calibri"/>
          <w:iCs/>
          <w:szCs w:val="18"/>
          <w:lang w:eastAsia="en-US"/>
        </w:rPr>
        <w:t xml:space="preserve">Таблица </w:t>
      </w:r>
      <w:r>
        <w:rPr>
          <w:rFonts w:eastAsia="Calibri" w:cs="Calibri"/>
          <w:iCs/>
          <w:sz w:val="24"/>
          <w:szCs w:val="18"/>
          <w:lang w:eastAsia="en-US" w:bidi="ar-SA"/>
        </w:rPr>
        <w:t>16</w:t>
      </w:r>
      <w:r>
        <w:rPr>
          <w:rFonts w:eastAsia="Calibri" w:cs="Calibri"/>
          <w:iCs/>
          <w:szCs w:val="18"/>
          <w:lang w:eastAsia="en-US"/>
        </w:rPr>
        <w:t xml:space="preserve"> – Оценка ценовых (тарифных) последствий реализации проектов схемы теплоснабжения</w:t>
      </w:r>
    </w:p>
    <w:tbl>
      <w:tblPr>
        <w:tblW w:w="4950" w:type="pct"/>
        <w:jc w:val="center"/>
        <w:tblInd w:w="0" w:type="dxa"/>
        <w:tblCellMar>
          <w:top w:w="0" w:type="dxa"/>
          <w:left w:w="108" w:type="dxa"/>
          <w:bottom w:w="0" w:type="dxa"/>
          <w:right w:w="108" w:type="dxa"/>
        </w:tblCellMar>
        <w:tblLook w:val="04a0" w:noVBand="1" w:noHBand="0" w:lastColumn="0" w:firstColumn="1" w:lastRow="0" w:firstRow="1"/>
      </w:tblPr>
      <w:tblGrid>
        <w:gridCol w:w="601"/>
        <w:gridCol w:w="6292"/>
        <w:gridCol w:w="1188"/>
        <w:gridCol w:w="933"/>
        <w:gridCol w:w="727"/>
        <w:gridCol w:w="737"/>
        <w:gridCol w:w="838"/>
        <w:gridCol w:w="733"/>
        <w:gridCol w:w="1196"/>
        <w:gridCol w:w="1177"/>
      </w:tblGrid>
      <w:tr>
        <w:trPr>
          <w:cantSplit w:val="true"/>
        </w:trPr>
        <w:tc>
          <w:tcPr>
            <w:tcW w:w="6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Cs/>
                <w:sz w:val="20"/>
                <w:szCs w:val="20"/>
              </w:rPr>
            </w:pPr>
            <w:r>
              <w:rPr>
                <w:bCs/>
                <w:sz w:val="20"/>
                <w:szCs w:val="20"/>
              </w:rPr>
              <w:t xml:space="preserve">№ </w:t>
            </w:r>
            <w:r>
              <w:rPr>
                <w:bCs/>
                <w:sz w:val="20"/>
                <w:szCs w:val="20"/>
              </w:rPr>
              <w:t>п/п</w:t>
            </w:r>
          </w:p>
        </w:tc>
        <w:tc>
          <w:tcPr>
            <w:tcW w:w="62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bCs/>
                <w:sz w:val="20"/>
                <w:szCs w:val="20"/>
              </w:rPr>
            </w:pPr>
            <w:r>
              <w:rPr>
                <w:bCs/>
                <w:sz w:val="20"/>
                <w:szCs w:val="20"/>
              </w:rPr>
              <w:t>Наименование</w:t>
            </w:r>
          </w:p>
        </w:tc>
        <w:tc>
          <w:tcPr>
            <w:tcW w:w="118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38" w:right="-141" w:hanging="0"/>
              <w:jc w:val="center"/>
              <w:rPr>
                <w:bCs/>
                <w:sz w:val="20"/>
                <w:szCs w:val="20"/>
              </w:rPr>
            </w:pPr>
            <w:r>
              <w:rPr>
                <w:bCs/>
                <w:sz w:val="20"/>
                <w:szCs w:val="20"/>
              </w:rPr>
              <w:t>Ед. измерения</w:t>
            </w:r>
          </w:p>
        </w:tc>
        <w:tc>
          <w:tcPr>
            <w:tcW w:w="9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38" w:right="-141" w:hanging="0"/>
              <w:jc w:val="center"/>
              <w:rPr>
                <w:bCs/>
                <w:sz w:val="20"/>
                <w:szCs w:val="20"/>
              </w:rPr>
            </w:pPr>
            <w:r>
              <w:rPr>
                <w:iCs/>
                <w:sz w:val="22"/>
              </w:rPr>
              <w:t>2024 год</w:t>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38" w:right="-141" w:hanging="0"/>
              <w:jc w:val="center"/>
              <w:rPr>
                <w:bCs/>
                <w:sz w:val="20"/>
                <w:szCs w:val="20"/>
              </w:rPr>
            </w:pPr>
            <w:r>
              <w:rPr>
                <w:iCs/>
                <w:sz w:val="22"/>
              </w:rPr>
              <w:t>2025 год</w:t>
            </w:r>
          </w:p>
        </w:tc>
        <w:tc>
          <w:tcPr>
            <w:tcW w:w="7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38" w:right="-141" w:hanging="0"/>
              <w:jc w:val="center"/>
              <w:rPr>
                <w:bCs/>
                <w:sz w:val="20"/>
                <w:szCs w:val="20"/>
              </w:rPr>
            </w:pPr>
            <w:r>
              <w:rPr>
                <w:iCs/>
                <w:sz w:val="22"/>
              </w:rPr>
              <w:t>2026 год</w:t>
            </w:r>
          </w:p>
        </w:tc>
        <w:tc>
          <w:tcPr>
            <w:tcW w:w="83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38" w:right="-141" w:hanging="0"/>
              <w:jc w:val="center"/>
              <w:rPr>
                <w:bCs/>
                <w:sz w:val="20"/>
                <w:szCs w:val="20"/>
              </w:rPr>
            </w:pPr>
            <w:r>
              <w:rPr>
                <w:iCs/>
                <w:sz w:val="22"/>
              </w:rPr>
              <w:t>2027 год</w:t>
            </w:r>
          </w:p>
        </w:tc>
        <w:tc>
          <w:tcPr>
            <w:tcW w:w="7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38" w:right="-141" w:hanging="0"/>
              <w:jc w:val="center"/>
              <w:rPr>
                <w:bCs/>
                <w:sz w:val="20"/>
                <w:szCs w:val="20"/>
              </w:rPr>
            </w:pPr>
            <w:r>
              <w:rPr>
                <w:iCs/>
                <w:sz w:val="22"/>
              </w:rPr>
              <w:t>2028 год</w:t>
            </w:r>
          </w:p>
        </w:tc>
        <w:tc>
          <w:tcPr>
            <w:tcW w:w="119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38" w:right="-141" w:hanging="0"/>
              <w:jc w:val="center"/>
              <w:rPr>
                <w:bCs/>
                <w:sz w:val="20"/>
                <w:szCs w:val="20"/>
              </w:rPr>
            </w:pPr>
            <w:r>
              <w:rPr>
                <w:sz w:val="22"/>
              </w:rPr>
              <w:t>2029-2034 год</w:t>
            </w:r>
          </w:p>
        </w:tc>
        <w:tc>
          <w:tcPr>
            <w:tcW w:w="1177" w:type="dxa"/>
            <w:tcBorders>
              <w:top w:val="single" w:sz="4" w:space="0" w:color="000000"/>
              <w:left w:val="single" w:sz="4" w:space="0" w:color="000000"/>
              <w:bottom w:val="single" w:sz="4" w:space="0" w:color="000000"/>
              <w:right w:val="single" w:sz="4" w:space="0" w:color="000000"/>
            </w:tcBorders>
            <w:vAlign w:val="center"/>
          </w:tcPr>
          <w:p>
            <w:pPr>
              <w:pStyle w:val="Normal"/>
              <w:ind w:left="-38" w:right="-141" w:hanging="0"/>
              <w:jc w:val="center"/>
              <w:rPr>
                <w:bCs/>
                <w:sz w:val="20"/>
                <w:szCs w:val="20"/>
              </w:rPr>
            </w:pPr>
            <w:r>
              <w:rPr>
                <w:sz w:val="22"/>
              </w:rPr>
              <w:t xml:space="preserve">2035 – 2040 </w:t>
            </w:r>
            <w:r>
              <w:rPr>
                <w:iCs/>
                <w:sz w:val="22"/>
              </w:rPr>
              <w:t>годы</w:t>
            </w:r>
          </w:p>
        </w:tc>
      </w:tr>
      <w:tr>
        <w:trPr>
          <w:cantSplit w:val="true"/>
        </w:trPr>
        <w:tc>
          <w:tcPr>
            <w:tcW w:w="6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Cs/>
                <w:sz w:val="20"/>
                <w:szCs w:val="20"/>
              </w:rPr>
            </w:pPr>
            <w:r>
              <w:rPr>
                <w:bCs/>
                <w:sz w:val="20"/>
                <w:szCs w:val="20"/>
              </w:rPr>
              <w:t>1</w:t>
            </w:r>
          </w:p>
        </w:tc>
        <w:tc>
          <w:tcPr>
            <w:tcW w:w="62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bCs/>
                <w:sz w:val="20"/>
                <w:szCs w:val="20"/>
              </w:rPr>
            </w:pPr>
            <w:r>
              <w:rPr>
                <w:bCs/>
                <w:sz w:val="20"/>
                <w:szCs w:val="20"/>
              </w:rPr>
              <w:t>Капитальные затраты на реализацию мероприятий</w:t>
            </w:r>
          </w:p>
        </w:tc>
        <w:tc>
          <w:tcPr>
            <w:tcW w:w="118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38" w:right="-141" w:hanging="0"/>
              <w:jc w:val="center"/>
              <w:rPr>
                <w:bCs/>
                <w:sz w:val="20"/>
                <w:szCs w:val="20"/>
              </w:rPr>
            </w:pPr>
            <w:r>
              <w:rPr>
                <w:bCs/>
                <w:sz w:val="20"/>
                <w:szCs w:val="20"/>
              </w:rPr>
              <w:t>тыс.руб.</w:t>
            </w:r>
          </w:p>
        </w:tc>
        <w:tc>
          <w:tcPr>
            <w:tcW w:w="9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38" w:right="-141" w:hanging="0"/>
              <w:jc w:val="center"/>
              <w:rPr>
                <w:sz w:val="20"/>
                <w:szCs w:val="20"/>
              </w:rPr>
            </w:pPr>
            <w:r>
              <w:rPr>
                <w:sz w:val="20"/>
                <w:szCs w:val="20"/>
              </w:rPr>
              <w:t>198089,2</w:t>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38" w:right="-141" w:hanging="0"/>
              <w:jc w:val="center"/>
              <w:rPr>
                <w:sz w:val="20"/>
                <w:szCs w:val="20"/>
              </w:rPr>
            </w:pPr>
            <w:r>
              <w:rPr>
                <w:sz w:val="20"/>
                <w:szCs w:val="20"/>
              </w:rPr>
              <w:t>15799,6</w:t>
            </w:r>
          </w:p>
        </w:tc>
        <w:tc>
          <w:tcPr>
            <w:tcW w:w="7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38" w:right="-141" w:hanging="0"/>
              <w:jc w:val="center"/>
              <w:rPr>
                <w:sz w:val="20"/>
                <w:szCs w:val="20"/>
              </w:rPr>
            </w:pPr>
            <w:r>
              <w:rPr>
                <w:sz w:val="20"/>
                <w:szCs w:val="20"/>
              </w:rPr>
              <w:t>550</w:t>
            </w:r>
          </w:p>
        </w:tc>
        <w:tc>
          <w:tcPr>
            <w:tcW w:w="83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38" w:right="-141" w:hanging="0"/>
              <w:jc w:val="center"/>
              <w:rPr>
                <w:sz w:val="20"/>
                <w:szCs w:val="20"/>
              </w:rPr>
            </w:pPr>
            <w:r>
              <w:rPr>
                <w:sz w:val="20"/>
                <w:szCs w:val="20"/>
              </w:rPr>
              <w:t>110418,6</w:t>
            </w:r>
          </w:p>
        </w:tc>
        <w:tc>
          <w:tcPr>
            <w:tcW w:w="7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38" w:right="-141" w:hanging="0"/>
              <w:jc w:val="center"/>
              <w:rPr>
                <w:sz w:val="20"/>
                <w:szCs w:val="20"/>
              </w:rPr>
            </w:pPr>
            <w:r>
              <w:rPr>
                <w:sz w:val="20"/>
                <w:szCs w:val="20"/>
              </w:rPr>
              <w:t>18110,2</w:t>
            </w:r>
          </w:p>
        </w:tc>
        <w:tc>
          <w:tcPr>
            <w:tcW w:w="119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38" w:right="-141" w:hanging="0"/>
              <w:jc w:val="center"/>
              <w:rPr>
                <w:sz w:val="20"/>
                <w:szCs w:val="20"/>
              </w:rPr>
            </w:pPr>
            <w:r>
              <w:rPr>
                <w:sz w:val="20"/>
                <w:szCs w:val="20"/>
              </w:rPr>
              <w:t>2200</w:t>
            </w:r>
          </w:p>
        </w:tc>
        <w:tc>
          <w:tcPr>
            <w:tcW w:w="11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38" w:right="-141" w:hanging="0"/>
              <w:jc w:val="center"/>
              <w:rPr>
                <w:sz w:val="22"/>
              </w:rPr>
            </w:pPr>
            <w:r>
              <w:rPr>
                <w:sz w:val="20"/>
                <w:szCs w:val="20"/>
              </w:rPr>
              <w:t>1650</w:t>
            </w:r>
          </w:p>
        </w:tc>
      </w:tr>
      <w:tr>
        <w:trPr>
          <w:cantSplit w:val="true"/>
        </w:trPr>
        <w:tc>
          <w:tcPr>
            <w:tcW w:w="6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Cs/>
                <w:sz w:val="20"/>
                <w:szCs w:val="20"/>
              </w:rPr>
            </w:pPr>
            <w:r>
              <w:rPr>
                <w:bCs/>
                <w:sz w:val="20"/>
                <w:szCs w:val="20"/>
              </w:rPr>
              <w:t>2</w:t>
            </w:r>
          </w:p>
        </w:tc>
        <w:tc>
          <w:tcPr>
            <w:tcW w:w="62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bCs/>
                <w:sz w:val="20"/>
                <w:szCs w:val="20"/>
              </w:rPr>
            </w:pPr>
            <w:r>
              <w:rPr>
                <w:bCs/>
                <w:sz w:val="20"/>
                <w:szCs w:val="20"/>
              </w:rPr>
              <w:t xml:space="preserve">Средневзвешенная оценочная стоимость производства тепла </w:t>
            </w:r>
          </w:p>
        </w:tc>
        <w:tc>
          <w:tcPr>
            <w:tcW w:w="118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38" w:right="-141" w:hanging="0"/>
              <w:jc w:val="center"/>
              <w:rPr>
                <w:bCs/>
                <w:sz w:val="20"/>
                <w:szCs w:val="20"/>
              </w:rPr>
            </w:pPr>
            <w:r>
              <w:rPr>
                <w:bCs/>
                <w:sz w:val="20"/>
                <w:szCs w:val="20"/>
              </w:rPr>
              <w:t>руб./Гкал</w:t>
            </w:r>
          </w:p>
        </w:tc>
        <w:tc>
          <w:tcPr>
            <w:tcW w:w="93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38" w:right="-141" w:hanging="0"/>
              <w:jc w:val="center"/>
              <w:rPr>
                <w:sz w:val="20"/>
                <w:szCs w:val="20"/>
              </w:rPr>
            </w:pPr>
            <w:r>
              <w:rPr>
                <w:sz w:val="20"/>
                <w:szCs w:val="20"/>
              </w:rPr>
              <w:t>4437,67</w:t>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38" w:right="-141" w:hanging="0"/>
              <w:jc w:val="center"/>
              <w:rPr>
                <w:sz w:val="20"/>
                <w:szCs w:val="20"/>
              </w:rPr>
            </w:pPr>
            <w:r>
              <w:rPr>
                <w:sz w:val="20"/>
                <w:szCs w:val="20"/>
              </w:rPr>
              <w:t>4547,70</w:t>
            </w:r>
          </w:p>
        </w:tc>
        <w:tc>
          <w:tcPr>
            <w:tcW w:w="7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38" w:right="-141" w:hanging="0"/>
              <w:jc w:val="center"/>
              <w:rPr>
                <w:sz w:val="20"/>
                <w:szCs w:val="20"/>
              </w:rPr>
            </w:pPr>
            <w:r>
              <w:rPr>
                <w:sz w:val="20"/>
                <w:szCs w:val="20"/>
              </w:rPr>
              <w:t>4652,26</w:t>
            </w:r>
          </w:p>
        </w:tc>
        <w:tc>
          <w:tcPr>
            <w:tcW w:w="83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38" w:right="-141" w:hanging="0"/>
              <w:jc w:val="center"/>
              <w:rPr>
                <w:sz w:val="20"/>
                <w:szCs w:val="20"/>
              </w:rPr>
            </w:pPr>
            <w:r>
              <w:rPr>
                <w:sz w:val="20"/>
                <w:szCs w:val="20"/>
              </w:rPr>
              <w:t>4826,39</w:t>
            </w:r>
          </w:p>
        </w:tc>
        <w:tc>
          <w:tcPr>
            <w:tcW w:w="73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38" w:right="-141" w:hanging="0"/>
              <w:jc w:val="center"/>
              <w:rPr>
                <w:sz w:val="20"/>
                <w:szCs w:val="20"/>
              </w:rPr>
            </w:pPr>
            <w:r>
              <w:rPr>
                <w:sz w:val="20"/>
                <w:szCs w:val="20"/>
              </w:rPr>
              <w:t>4902,64</w:t>
            </w:r>
          </w:p>
        </w:tc>
        <w:tc>
          <w:tcPr>
            <w:tcW w:w="119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38" w:right="-141" w:hanging="0"/>
              <w:jc w:val="center"/>
              <w:rPr>
                <w:sz w:val="20"/>
                <w:szCs w:val="20"/>
              </w:rPr>
            </w:pPr>
            <w:r>
              <w:rPr>
                <w:sz w:val="20"/>
                <w:szCs w:val="20"/>
              </w:rPr>
              <w:t>5223,48</w:t>
            </w:r>
          </w:p>
        </w:tc>
        <w:tc>
          <w:tcPr>
            <w:tcW w:w="117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38" w:right="-141" w:hanging="0"/>
              <w:jc w:val="center"/>
              <w:rPr>
                <w:sz w:val="20"/>
                <w:szCs w:val="20"/>
              </w:rPr>
            </w:pPr>
            <w:r>
              <w:rPr>
                <w:sz w:val="20"/>
                <w:szCs w:val="20"/>
              </w:rPr>
              <w:t>5481,65</w:t>
            </w:r>
          </w:p>
        </w:tc>
      </w:tr>
      <w:tr>
        <w:trPr>
          <w:cantSplit w:val="true"/>
        </w:trPr>
        <w:tc>
          <w:tcPr>
            <w:tcW w:w="6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Cs/>
                <w:sz w:val="20"/>
                <w:szCs w:val="20"/>
              </w:rPr>
            </w:pPr>
            <w:r>
              <w:rPr>
                <w:bCs/>
                <w:sz w:val="20"/>
                <w:szCs w:val="20"/>
              </w:rPr>
              <w:t>3</w:t>
            </w:r>
          </w:p>
        </w:tc>
        <w:tc>
          <w:tcPr>
            <w:tcW w:w="62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bCs/>
                <w:sz w:val="20"/>
                <w:szCs w:val="20"/>
              </w:rPr>
            </w:pPr>
            <w:r>
              <w:rPr>
                <w:bCs/>
                <w:sz w:val="20"/>
                <w:szCs w:val="20"/>
              </w:rPr>
              <w:t xml:space="preserve">Средневзвешенная оценочная стоимость производства тепла с учетом инвестиционной составляющей </w:t>
            </w:r>
          </w:p>
        </w:tc>
        <w:tc>
          <w:tcPr>
            <w:tcW w:w="118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38" w:right="-141" w:hanging="0"/>
              <w:jc w:val="center"/>
              <w:rPr>
                <w:bCs/>
                <w:sz w:val="20"/>
                <w:szCs w:val="20"/>
              </w:rPr>
            </w:pPr>
            <w:r>
              <w:rPr>
                <w:bCs/>
                <w:sz w:val="20"/>
                <w:szCs w:val="20"/>
              </w:rPr>
              <w:t>руб./Гкал</w:t>
            </w:r>
          </w:p>
        </w:tc>
        <w:tc>
          <w:tcPr>
            <w:tcW w:w="93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38" w:right="-141" w:hanging="0"/>
              <w:jc w:val="center"/>
              <w:rPr>
                <w:sz w:val="20"/>
                <w:szCs w:val="20"/>
              </w:rPr>
            </w:pPr>
            <w:r>
              <w:rPr>
                <w:sz w:val="20"/>
                <w:szCs w:val="20"/>
              </w:rPr>
              <w:t>5862,21</w:t>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38" w:right="-141" w:hanging="0"/>
              <w:jc w:val="center"/>
              <w:rPr>
                <w:sz w:val="20"/>
                <w:szCs w:val="20"/>
              </w:rPr>
            </w:pPr>
            <w:r>
              <w:rPr>
                <w:sz w:val="20"/>
                <w:szCs w:val="20"/>
              </w:rPr>
              <w:t>5972,23</w:t>
            </w:r>
          </w:p>
        </w:tc>
        <w:tc>
          <w:tcPr>
            <w:tcW w:w="7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38" w:right="-141" w:hanging="0"/>
              <w:jc w:val="center"/>
              <w:rPr>
                <w:sz w:val="20"/>
                <w:szCs w:val="20"/>
              </w:rPr>
            </w:pPr>
            <w:r>
              <w:rPr>
                <w:sz w:val="20"/>
                <w:szCs w:val="20"/>
              </w:rPr>
              <w:t>6076,80</w:t>
            </w:r>
          </w:p>
        </w:tc>
        <w:tc>
          <w:tcPr>
            <w:tcW w:w="83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38" w:right="-141" w:hanging="0"/>
              <w:jc w:val="center"/>
              <w:rPr>
                <w:sz w:val="20"/>
                <w:szCs w:val="20"/>
              </w:rPr>
            </w:pPr>
            <w:r>
              <w:rPr>
                <w:sz w:val="20"/>
                <w:szCs w:val="20"/>
              </w:rPr>
              <w:t>6523,17</w:t>
            </w:r>
          </w:p>
        </w:tc>
        <w:tc>
          <w:tcPr>
            <w:tcW w:w="73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38" w:right="-141" w:hanging="0"/>
              <w:jc w:val="center"/>
              <w:rPr>
                <w:sz w:val="20"/>
                <w:szCs w:val="20"/>
              </w:rPr>
            </w:pPr>
            <w:r>
              <w:rPr>
                <w:sz w:val="20"/>
                <w:szCs w:val="20"/>
              </w:rPr>
              <w:t>6599,43</w:t>
            </w:r>
          </w:p>
        </w:tc>
        <w:tc>
          <w:tcPr>
            <w:tcW w:w="119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38" w:right="-141" w:hanging="0"/>
              <w:jc w:val="center"/>
              <w:rPr>
                <w:sz w:val="20"/>
                <w:szCs w:val="20"/>
              </w:rPr>
            </w:pPr>
            <w:r>
              <w:rPr>
                <w:sz w:val="20"/>
                <w:szCs w:val="20"/>
              </w:rPr>
              <w:t>6920,27</w:t>
            </w:r>
          </w:p>
        </w:tc>
        <w:tc>
          <w:tcPr>
            <w:tcW w:w="117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38" w:right="-141" w:hanging="0"/>
              <w:jc w:val="center"/>
              <w:rPr>
                <w:sz w:val="20"/>
                <w:szCs w:val="20"/>
              </w:rPr>
            </w:pPr>
            <w:r>
              <w:rPr>
                <w:sz w:val="20"/>
                <w:szCs w:val="20"/>
              </w:rPr>
              <w:t>7178,44</w:t>
            </w:r>
          </w:p>
        </w:tc>
      </w:tr>
      <w:tr>
        <w:trPr>
          <w:cantSplit w:val="true"/>
        </w:trPr>
        <w:tc>
          <w:tcPr>
            <w:tcW w:w="6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Cs/>
                <w:sz w:val="20"/>
                <w:szCs w:val="20"/>
              </w:rPr>
            </w:pPr>
            <w:r>
              <w:rPr>
                <w:bCs/>
                <w:sz w:val="20"/>
                <w:szCs w:val="20"/>
              </w:rPr>
              <w:t>4</w:t>
            </w:r>
          </w:p>
        </w:tc>
        <w:tc>
          <w:tcPr>
            <w:tcW w:w="62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bCs/>
                <w:sz w:val="20"/>
                <w:szCs w:val="20"/>
              </w:rPr>
            </w:pPr>
            <w:r>
              <w:rPr>
                <w:bCs/>
                <w:sz w:val="20"/>
                <w:szCs w:val="20"/>
              </w:rPr>
              <w:t>Оценочная стоимость производства тепла (с использованием индекса роста цен на тепловую энергию)</w:t>
            </w:r>
          </w:p>
        </w:tc>
        <w:tc>
          <w:tcPr>
            <w:tcW w:w="118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38" w:right="-141" w:hanging="0"/>
              <w:jc w:val="center"/>
              <w:rPr>
                <w:bCs/>
                <w:sz w:val="20"/>
                <w:szCs w:val="20"/>
              </w:rPr>
            </w:pPr>
            <w:r>
              <w:rPr>
                <w:bCs/>
                <w:sz w:val="20"/>
                <w:szCs w:val="20"/>
              </w:rPr>
              <w:t>руб./Гкал</w:t>
            </w:r>
          </w:p>
        </w:tc>
        <w:tc>
          <w:tcPr>
            <w:tcW w:w="93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38" w:right="-141" w:hanging="0"/>
              <w:jc w:val="center"/>
              <w:rPr>
                <w:sz w:val="20"/>
                <w:szCs w:val="20"/>
              </w:rPr>
            </w:pPr>
            <w:r>
              <w:rPr>
                <w:sz w:val="20"/>
                <w:szCs w:val="20"/>
              </w:rPr>
              <w:t>4278,88</w:t>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38" w:right="-141" w:hanging="0"/>
              <w:jc w:val="center"/>
              <w:rPr>
                <w:sz w:val="20"/>
                <w:szCs w:val="20"/>
              </w:rPr>
            </w:pPr>
            <w:r>
              <w:rPr>
                <w:sz w:val="20"/>
                <w:szCs w:val="20"/>
              </w:rPr>
              <w:t>4467,15</w:t>
            </w:r>
          </w:p>
        </w:tc>
        <w:tc>
          <w:tcPr>
            <w:tcW w:w="7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38" w:right="-141" w:hanging="0"/>
              <w:jc w:val="center"/>
              <w:rPr>
                <w:sz w:val="20"/>
                <w:szCs w:val="20"/>
              </w:rPr>
            </w:pPr>
            <w:r>
              <w:rPr>
                <w:sz w:val="20"/>
                <w:szCs w:val="20"/>
              </w:rPr>
              <w:t>4641,36</w:t>
            </w:r>
          </w:p>
        </w:tc>
        <w:tc>
          <w:tcPr>
            <w:tcW w:w="83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38" w:right="-141" w:hanging="0"/>
              <w:jc w:val="center"/>
              <w:rPr>
                <w:sz w:val="20"/>
                <w:szCs w:val="20"/>
              </w:rPr>
            </w:pPr>
            <w:r>
              <w:rPr>
                <w:sz w:val="20"/>
                <w:szCs w:val="20"/>
              </w:rPr>
              <w:t>4748,12</w:t>
            </w:r>
          </w:p>
        </w:tc>
        <w:tc>
          <w:tcPr>
            <w:tcW w:w="73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38" w:right="-141" w:hanging="0"/>
              <w:jc w:val="center"/>
              <w:rPr>
                <w:sz w:val="20"/>
                <w:szCs w:val="20"/>
              </w:rPr>
            </w:pPr>
            <w:r>
              <w:rPr>
                <w:sz w:val="20"/>
                <w:szCs w:val="20"/>
              </w:rPr>
              <w:t>4857,32</w:t>
            </w:r>
          </w:p>
        </w:tc>
        <w:tc>
          <w:tcPr>
            <w:tcW w:w="119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38" w:right="-141" w:hanging="0"/>
              <w:jc w:val="center"/>
              <w:rPr>
                <w:sz w:val="20"/>
                <w:szCs w:val="20"/>
              </w:rPr>
            </w:pPr>
            <w:r>
              <w:rPr>
                <w:sz w:val="20"/>
                <w:szCs w:val="20"/>
              </w:rPr>
              <w:t>5487,56</w:t>
            </w:r>
          </w:p>
        </w:tc>
        <w:tc>
          <w:tcPr>
            <w:tcW w:w="117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38" w:right="-141" w:hanging="0"/>
              <w:jc w:val="center"/>
              <w:rPr>
                <w:sz w:val="20"/>
                <w:szCs w:val="20"/>
              </w:rPr>
            </w:pPr>
            <w:r>
              <w:rPr>
                <w:sz w:val="20"/>
                <w:szCs w:val="20"/>
              </w:rPr>
              <w:t>6154,97</w:t>
            </w:r>
          </w:p>
        </w:tc>
      </w:tr>
    </w:tbl>
    <w:p>
      <w:pPr>
        <w:pStyle w:val="Normal"/>
        <w:jc w:val="both"/>
        <w:rPr>
          <w:rFonts w:eastAsia="Calibri" w:cs="Calibri"/>
          <w:iCs/>
          <w:lang w:eastAsia="en-US"/>
        </w:rPr>
      </w:pPr>
      <w:r>
        <w:rPr>
          <w:sz w:val="22"/>
          <w:szCs w:val="28"/>
          <w:lang w:eastAsia="ru-RU"/>
        </w:rPr>
        <w:t>*- Прогнозирование</w:t>
      </w:r>
      <w:r>
        <w:rPr>
          <w:spacing w:val="1"/>
          <w:sz w:val="22"/>
          <w:szCs w:val="28"/>
          <w:lang w:eastAsia="ru-RU"/>
        </w:rPr>
        <w:t xml:space="preserve"> </w:t>
      </w:r>
      <w:r>
        <w:rPr>
          <w:sz w:val="22"/>
          <w:szCs w:val="28"/>
          <w:lang w:eastAsia="ru-RU"/>
        </w:rPr>
        <w:t>финансово-хозяйственной</w:t>
      </w:r>
      <w:r>
        <w:rPr>
          <w:spacing w:val="1"/>
          <w:sz w:val="22"/>
          <w:szCs w:val="28"/>
          <w:lang w:eastAsia="ru-RU"/>
        </w:rPr>
        <w:t xml:space="preserve"> </w:t>
      </w:r>
      <w:r>
        <w:rPr>
          <w:sz w:val="22"/>
          <w:szCs w:val="28"/>
          <w:lang w:eastAsia="ru-RU"/>
        </w:rPr>
        <w:t>деятельности</w:t>
      </w:r>
      <w:r>
        <w:rPr>
          <w:spacing w:val="1"/>
          <w:sz w:val="22"/>
          <w:szCs w:val="28"/>
          <w:lang w:eastAsia="ru-RU"/>
        </w:rPr>
        <w:t xml:space="preserve"> </w:t>
      </w:r>
      <w:r>
        <w:rPr>
          <w:sz w:val="22"/>
          <w:szCs w:val="28"/>
          <w:lang w:eastAsia="ru-RU"/>
        </w:rPr>
        <w:t>теплоснабжающей</w:t>
      </w:r>
      <w:r>
        <w:rPr>
          <w:spacing w:val="1"/>
          <w:sz w:val="22"/>
          <w:szCs w:val="28"/>
          <w:lang w:eastAsia="ru-RU"/>
        </w:rPr>
        <w:t xml:space="preserve"> </w:t>
      </w:r>
      <w:r>
        <w:rPr>
          <w:sz w:val="22"/>
          <w:szCs w:val="28"/>
          <w:lang w:eastAsia="ru-RU"/>
        </w:rPr>
        <w:t>организации</w:t>
      </w:r>
      <w:r>
        <w:rPr>
          <w:spacing w:val="1"/>
          <w:sz w:val="22"/>
          <w:szCs w:val="28"/>
          <w:lang w:eastAsia="ru-RU"/>
        </w:rPr>
        <w:t xml:space="preserve"> </w:t>
      </w:r>
      <w:r>
        <w:rPr>
          <w:sz w:val="22"/>
          <w:szCs w:val="28"/>
          <w:lang w:eastAsia="ru-RU"/>
        </w:rPr>
        <w:t>проводится на основе фактических</w:t>
      </w:r>
      <w:r>
        <w:rPr>
          <w:spacing w:val="1"/>
          <w:sz w:val="22"/>
          <w:szCs w:val="28"/>
          <w:lang w:eastAsia="ru-RU"/>
        </w:rPr>
        <w:t xml:space="preserve"> </w:t>
      </w:r>
      <w:r>
        <w:rPr>
          <w:sz w:val="22"/>
          <w:szCs w:val="28"/>
          <w:lang w:eastAsia="ru-RU"/>
        </w:rPr>
        <w:t>показателей</w:t>
      </w:r>
      <w:r>
        <w:rPr>
          <w:spacing w:val="1"/>
          <w:sz w:val="22"/>
          <w:szCs w:val="28"/>
          <w:lang w:eastAsia="ru-RU"/>
        </w:rPr>
        <w:t xml:space="preserve"> </w:t>
      </w:r>
      <w:r>
        <w:rPr>
          <w:sz w:val="22"/>
          <w:szCs w:val="28"/>
          <w:lang w:eastAsia="ru-RU"/>
        </w:rPr>
        <w:t>финансово-хозяйственной</w:t>
      </w:r>
      <w:r>
        <w:rPr>
          <w:spacing w:val="1"/>
          <w:sz w:val="22"/>
          <w:szCs w:val="28"/>
          <w:lang w:eastAsia="ru-RU"/>
        </w:rPr>
        <w:t xml:space="preserve"> </w:t>
      </w:r>
      <w:r>
        <w:rPr>
          <w:sz w:val="22"/>
          <w:szCs w:val="28"/>
          <w:lang w:eastAsia="ru-RU"/>
        </w:rPr>
        <w:t xml:space="preserve">деятельности за базовый период регулирования и утверждённый период регулирования на </w:t>
      </w:r>
      <w:r>
        <w:rPr>
          <w:spacing w:val="-57"/>
          <w:sz w:val="22"/>
          <w:szCs w:val="28"/>
          <w:lang w:eastAsia="ru-RU"/>
        </w:rPr>
        <w:t xml:space="preserve">  </w:t>
      </w:r>
      <w:r>
        <w:rPr>
          <w:sz w:val="22"/>
          <w:szCs w:val="28"/>
          <w:lang w:eastAsia="ru-RU"/>
        </w:rPr>
        <w:t>момент разработки схемы теплоснабжения.              В качестве исходных данных принимаются с данные портала по</w:t>
      </w:r>
      <w:r>
        <w:rPr>
          <w:spacing w:val="1"/>
          <w:sz w:val="22"/>
          <w:szCs w:val="28"/>
          <w:lang w:eastAsia="ru-RU"/>
        </w:rPr>
        <w:t xml:space="preserve"> </w:t>
      </w:r>
      <w:r>
        <w:rPr>
          <w:sz w:val="22"/>
          <w:szCs w:val="28"/>
          <w:lang w:eastAsia="ru-RU"/>
        </w:rPr>
        <w:t>раскрытию информации, подлежащих свободному доступу (</w:t>
      </w:r>
      <w:hyperlink r:id="rId33">
        <w:r>
          <w:rPr>
            <w:sz w:val="22"/>
            <w:szCs w:val="28"/>
            <w:u w:val="single"/>
            <w:lang w:eastAsia="ru-RU"/>
          </w:rPr>
          <w:t>http://ri.eias.ru</w:t>
        </w:r>
      </w:hyperlink>
      <w:r>
        <w:rPr>
          <w:sz w:val="22"/>
          <w:szCs w:val="28"/>
          <w:lang w:eastAsia="ru-RU"/>
        </w:rPr>
        <w:t>) и данные              от</w:t>
      </w:r>
      <w:r>
        <w:rPr>
          <w:spacing w:val="1"/>
          <w:sz w:val="22"/>
          <w:szCs w:val="28"/>
          <w:lang w:eastAsia="ru-RU"/>
        </w:rPr>
        <w:t xml:space="preserve"> </w:t>
      </w:r>
      <w:r>
        <w:rPr>
          <w:sz w:val="22"/>
          <w:szCs w:val="28"/>
          <w:lang w:eastAsia="ru-RU"/>
        </w:rPr>
        <w:t>ТСО.</w:t>
      </w:r>
      <w:r>
        <w:rPr>
          <w:spacing w:val="1"/>
          <w:sz w:val="22"/>
          <w:szCs w:val="28"/>
          <w:lang w:eastAsia="ru-RU"/>
        </w:rPr>
        <w:t xml:space="preserve"> </w:t>
      </w:r>
    </w:p>
    <w:p>
      <w:pPr>
        <w:pStyle w:val="Normal"/>
        <w:ind w:firstLine="709"/>
        <w:jc w:val="both"/>
        <w:rPr>
          <w:rFonts w:eastAsia="Calibri" w:cs="Calibri"/>
          <w:iCs/>
          <w:lang w:eastAsia="en-US"/>
        </w:rPr>
      </w:pPr>
      <w:r>
        <w:rPr/>
        <w:t xml:space="preserve">По данным таблицы видно, что реализация мероприятий по реконструкции объектов системы теплоснабжения позволит снизить оценочную стоимость производства тепла к 2035 году на 12.2%, по сравнению с оценочной стоимостью производства тепла, рассчитанной с использованием индекса роста цен на тепловую энергию. </w:t>
      </w:r>
    </w:p>
    <w:p>
      <w:pPr>
        <w:pStyle w:val="Normal"/>
        <w:spacing w:before="0" w:after="0"/>
        <w:ind w:firstLine="567"/>
        <w:contextualSpacing/>
        <w:jc w:val="both"/>
        <w:rPr>
          <w:b/>
          <w:b/>
          <w:bCs/>
          <w:sz w:val="26"/>
          <w:szCs w:val="26"/>
          <w:lang w:eastAsia="ru-RU"/>
        </w:rPr>
      </w:pPr>
      <w:r>
        <w:rPr>
          <w:b/>
          <w:bCs/>
          <w:sz w:val="26"/>
          <w:szCs w:val="26"/>
          <w:lang w:eastAsia="ru-RU"/>
        </w:rPr>
      </w:r>
    </w:p>
    <w:p>
      <w:pPr>
        <w:pStyle w:val="Normal"/>
        <w:widowControl w:val="false"/>
        <w:tabs>
          <w:tab w:val="clear" w:pos="408"/>
          <w:tab w:val="left" w:pos="720" w:leader="none"/>
        </w:tabs>
        <w:ind w:left="720" w:hanging="0"/>
        <w:rPr>
          <w:rFonts w:eastAsia="Calibri" w:cs="Calibri"/>
          <w:szCs w:val="22"/>
          <w:lang w:eastAsia="en-US"/>
        </w:rPr>
      </w:pPr>
      <w:r>
        <w:rPr>
          <w:rFonts w:eastAsia="Calibri" w:cs="Calibri"/>
          <w:szCs w:val="22"/>
          <w:lang w:eastAsia="en-US"/>
        </w:rPr>
      </w:r>
    </w:p>
    <w:p>
      <w:pPr>
        <w:pStyle w:val="Normal"/>
        <w:widowControl w:val="false"/>
        <w:tabs>
          <w:tab w:val="clear" w:pos="408"/>
          <w:tab w:val="left" w:pos="720" w:leader="none"/>
        </w:tabs>
        <w:ind w:left="720" w:hanging="0"/>
        <w:rPr>
          <w:rFonts w:eastAsia="Calibri" w:cs="Calibri"/>
          <w:szCs w:val="22"/>
          <w:lang w:eastAsia="en-US"/>
        </w:rPr>
      </w:pPr>
      <w:r>
        <w:rPr>
          <w:rFonts w:eastAsia="Calibri" w:cs="Calibri"/>
          <w:szCs w:val="22"/>
          <w:lang w:eastAsia="en-US"/>
        </w:rPr>
      </w:r>
    </w:p>
    <w:p>
      <w:pPr>
        <w:pStyle w:val="Normal"/>
        <w:widowControl w:val="false"/>
        <w:tabs>
          <w:tab w:val="clear" w:pos="408"/>
          <w:tab w:val="left" w:pos="720" w:leader="none"/>
        </w:tabs>
        <w:ind w:left="720" w:hanging="0"/>
        <w:rPr>
          <w:rFonts w:eastAsia="Calibri" w:cs="Calibri"/>
          <w:szCs w:val="22"/>
          <w:lang w:eastAsia="en-US"/>
        </w:rPr>
      </w:pPr>
      <w:r>
        <w:rPr>
          <w:rFonts w:eastAsia="Calibri" w:cs="Calibri"/>
          <w:szCs w:val="22"/>
          <w:lang w:eastAsia="en-US"/>
        </w:rPr>
      </w:r>
    </w:p>
    <w:p>
      <w:pPr>
        <w:sectPr>
          <w:headerReference w:type="default" r:id="rId34"/>
          <w:footerReference w:type="default" r:id="rId35"/>
          <w:type w:val="nextPage"/>
          <w:pgSz w:orient="landscape" w:w="16838" w:h="11906"/>
          <w:pgMar w:left="1701" w:right="567" w:header="0" w:top="1588" w:footer="0" w:bottom="680" w:gutter="0"/>
          <w:pgNumType w:fmt="decimal"/>
          <w:formProt w:val="false"/>
          <w:textDirection w:val="lrTb"/>
          <w:docGrid w:type="default" w:linePitch="326" w:charSpace="0"/>
        </w:sectPr>
        <w:pStyle w:val="Normal"/>
        <w:widowControl w:val="false"/>
        <w:tabs>
          <w:tab w:val="clear" w:pos="408"/>
          <w:tab w:val="left" w:pos="720" w:leader="none"/>
        </w:tabs>
        <w:ind w:left="720" w:hanging="0"/>
        <w:rPr>
          <w:rFonts w:eastAsia="Calibri" w:cs="Calibri"/>
          <w:szCs w:val="22"/>
          <w:lang w:eastAsia="en-US"/>
        </w:rPr>
      </w:pPr>
      <w:r>
        <w:rPr>
          <w:rFonts w:eastAsia="Calibri" w:cs="Calibri"/>
          <w:szCs w:val="22"/>
          <w:lang w:eastAsia="en-US"/>
        </w:rPr>
      </w:r>
    </w:p>
    <w:p>
      <w:pPr>
        <w:pStyle w:val="Normal"/>
        <w:widowControl w:val="false"/>
        <w:tabs>
          <w:tab w:val="clear" w:pos="408"/>
          <w:tab w:val="left" w:pos="720" w:leader="none"/>
        </w:tabs>
        <w:rPr>
          <w:rFonts w:eastAsia="Calibri" w:cs="Calibri"/>
          <w:szCs w:val="22"/>
          <w:lang w:eastAsia="en-US"/>
        </w:rPr>
      </w:pPr>
      <w:r>
        <w:rPr>
          <w:rFonts w:eastAsia="Calibri" w:cs="Calibri"/>
          <w:szCs w:val="22"/>
          <w:lang w:eastAsia="en-US"/>
        </w:rPr>
      </w:r>
    </w:p>
    <w:p>
      <w:pPr>
        <w:pStyle w:val="Normal"/>
        <w:ind w:firstLine="709"/>
        <w:jc w:val="right"/>
        <w:rPr>
          <w:rFonts w:eastAsia="Calibri" w:cs="Calibri"/>
          <w:bCs/>
          <w:szCs w:val="22"/>
          <w:lang w:eastAsia="en-US"/>
        </w:rPr>
      </w:pPr>
      <w:bookmarkStart w:id="503" w:name="_Toc525814278"/>
      <w:bookmarkEnd w:id="503"/>
      <w:r>
        <w:rPr>
          <w:rFonts w:eastAsia="Calibri" w:cs="Calibri"/>
          <w:bCs/>
          <w:szCs w:val="22"/>
          <w:lang w:eastAsia="en-US"/>
        </w:rPr>
        <w:t xml:space="preserve">Приложение № 2 </w:t>
      </w:r>
    </w:p>
    <w:p>
      <w:pPr>
        <w:pStyle w:val="Normal"/>
        <w:ind w:firstLine="709"/>
        <w:jc w:val="right"/>
        <w:rPr>
          <w:rFonts w:eastAsia="Calibri" w:cs="Calibri"/>
          <w:bCs/>
          <w:szCs w:val="22"/>
          <w:lang w:eastAsia="en-US"/>
        </w:rPr>
      </w:pPr>
      <w:r>
        <w:rPr>
          <w:rFonts w:eastAsia="Calibri" w:cs="Calibri"/>
          <w:bCs/>
          <w:szCs w:val="22"/>
          <w:lang w:eastAsia="en-US"/>
        </w:rPr>
        <w:t>к постановлению администрации Октябрьского района</w:t>
      </w:r>
    </w:p>
    <w:p>
      <w:pPr>
        <w:pStyle w:val="Normal"/>
        <w:ind w:firstLine="709"/>
        <w:jc w:val="right"/>
        <w:rPr>
          <w:rFonts w:eastAsia="Calibri" w:cs="Calibri"/>
          <w:bCs/>
          <w:szCs w:val="22"/>
          <w:lang w:eastAsia="en-US"/>
        </w:rPr>
      </w:pPr>
      <w:r>
        <w:rPr>
          <w:rFonts w:eastAsia="Calibri" w:cs="Calibri"/>
          <w:bCs/>
          <w:szCs w:val="22"/>
          <w:lang w:eastAsia="en-US"/>
        </w:rPr>
        <w:t>от «____»___________ 2025 г. № ____</w:t>
      </w:r>
    </w:p>
    <w:p>
      <w:pPr>
        <w:pStyle w:val="Normal"/>
        <w:keepNext w:val="true"/>
        <w:keepLines/>
        <w:ind w:firstLine="709"/>
        <w:jc w:val="center"/>
        <w:rPr>
          <w:rFonts w:eastAsia="Calibri" w:cs="Calibri"/>
          <w:bCs/>
          <w:szCs w:val="22"/>
          <w:lang w:eastAsia="en-US"/>
        </w:rPr>
      </w:pPr>
      <w:r>
        <w:rPr>
          <w:rFonts w:eastAsia="Calibri" w:cs="Calibri"/>
          <w:bCs/>
          <w:szCs w:val="22"/>
          <w:lang w:eastAsia="en-US"/>
        </w:rPr>
      </w:r>
    </w:p>
    <w:p>
      <w:pPr>
        <w:pStyle w:val="Normal"/>
        <w:keepNext w:val="true"/>
        <w:keepLines/>
        <w:ind w:firstLine="709"/>
        <w:jc w:val="center"/>
        <w:rPr>
          <w:b/>
          <w:b/>
        </w:rPr>
      </w:pPr>
      <w:r>
        <w:rPr>
          <w:b/>
        </w:rPr>
        <w:t>Схема теплоснабжения городского поселения Октябрьское</w:t>
      </w:r>
    </w:p>
    <w:p>
      <w:pPr>
        <w:pStyle w:val="Normal"/>
        <w:keepNext w:val="true"/>
        <w:keepLines/>
        <w:ind w:firstLine="709"/>
        <w:jc w:val="center"/>
        <w:rPr>
          <w:b/>
          <w:b/>
        </w:rPr>
      </w:pPr>
      <w:r>
        <w:rPr>
          <w:b/>
        </w:rPr>
        <w:t xml:space="preserve">на период до 2035 года (актуализация на 2025 год) </w:t>
      </w:r>
    </w:p>
    <w:p>
      <w:pPr>
        <w:pStyle w:val="Normal"/>
        <w:jc w:val="center"/>
        <w:rPr>
          <w:rFonts w:eastAsia="Calibri"/>
          <w:lang w:eastAsia="en-US"/>
        </w:rPr>
      </w:pPr>
      <w:bookmarkStart w:id="504" w:name="_Hlk1612120771"/>
      <w:bookmarkStart w:id="505" w:name="_Toc5258142781"/>
      <w:bookmarkEnd w:id="504"/>
      <w:bookmarkEnd w:id="505"/>
      <w:r>
        <w:rPr>
          <w:b/>
          <w:bCs/>
          <w:lang w:eastAsia="ru-RU"/>
        </w:rPr>
        <w:t>Том 2 «Обосновывающие материалы»</w:t>
      </w:r>
    </w:p>
    <w:p>
      <w:pPr>
        <w:pStyle w:val="Normal"/>
        <w:jc w:val="center"/>
        <w:rPr>
          <w:rFonts w:eastAsia="Calibri"/>
          <w:lang w:eastAsia="en-US"/>
        </w:rPr>
      </w:pPr>
      <w:r>
        <w:rPr>
          <w:rFonts w:eastAsia="Calibri"/>
          <w:lang w:eastAsia="en-US"/>
        </w:rPr>
      </w:r>
    </w:p>
    <w:p>
      <w:pPr>
        <w:pStyle w:val="Normal"/>
        <w:keepNext w:val="true"/>
        <w:keepLines/>
        <w:numPr>
          <w:ilvl w:val="0"/>
          <w:numId w:val="0"/>
        </w:numPr>
        <w:ind w:left="0" w:hanging="0"/>
        <w:jc w:val="center"/>
        <w:outlineLvl w:val="0"/>
        <w:rPr>
          <w:rFonts w:eastAsia="Calibri Light" w:cs="Calibri Light"/>
          <w:b/>
          <w:b/>
          <w:lang w:eastAsia="en-US"/>
        </w:rPr>
      </w:pPr>
      <w:bookmarkStart w:id="506" w:name="_Toc160529875"/>
      <w:bookmarkStart w:id="507" w:name="_Toc181340342"/>
      <w:r>
        <w:rPr>
          <w:rFonts w:eastAsia="Calibri Light" w:cs="Calibri Light"/>
          <w:b/>
          <w:lang w:eastAsia="en-US"/>
        </w:rPr>
        <w:t xml:space="preserve">Глава 1 «Существующее положение в сфере производства, </w:t>
      </w:r>
    </w:p>
    <w:p>
      <w:pPr>
        <w:pStyle w:val="Normal"/>
        <w:keepNext w:val="true"/>
        <w:keepLines/>
        <w:numPr>
          <w:ilvl w:val="0"/>
          <w:numId w:val="0"/>
        </w:numPr>
        <w:ind w:left="0" w:hanging="0"/>
        <w:jc w:val="center"/>
        <w:outlineLvl w:val="0"/>
        <w:rPr>
          <w:rFonts w:eastAsia="Calibri Light" w:cs="Calibri Light"/>
          <w:b/>
          <w:b/>
          <w:lang w:eastAsia="en-US"/>
        </w:rPr>
      </w:pPr>
      <w:r>
        <w:rPr>
          <w:rFonts w:eastAsia="Calibri Light" w:cs="Calibri Light"/>
          <w:b/>
          <w:lang w:eastAsia="en-US"/>
        </w:rPr>
        <w:t>передачи и потребления тепловой энергии для целей теплоснабжения»</w:t>
      </w:r>
    </w:p>
    <w:p>
      <w:pPr>
        <w:pStyle w:val="Normal"/>
        <w:keepNext w:val="true"/>
        <w:keepLines/>
        <w:numPr>
          <w:ilvl w:val="0"/>
          <w:numId w:val="0"/>
        </w:numPr>
        <w:ind w:left="0" w:hanging="0"/>
        <w:jc w:val="center"/>
        <w:outlineLvl w:val="0"/>
        <w:rPr>
          <w:rFonts w:eastAsia="Calibri Light" w:cs="Calibri Light"/>
          <w:b/>
          <w:b/>
          <w:color w:val="000000"/>
          <w:lang w:eastAsia="en-US"/>
        </w:rPr>
      </w:pPr>
      <w:r>
        <w:rPr>
          <w:rFonts w:eastAsia="Calibri Light" w:cs="Calibri Light"/>
          <w:b/>
          <w:color w:val="000000"/>
          <w:lang w:eastAsia="en-US"/>
        </w:rPr>
      </w:r>
    </w:p>
    <w:p>
      <w:pPr>
        <w:pStyle w:val="2"/>
        <w:spacing w:before="0" w:after="0"/>
        <w:ind w:firstLine="567"/>
        <w:rPr>
          <w:rFonts w:cs="Times New Roman"/>
          <w:color w:val="auto"/>
        </w:rPr>
      </w:pPr>
      <w:bookmarkStart w:id="508" w:name="_Toc181365629"/>
      <w:r>
        <w:rPr>
          <w:rFonts w:cs="Times New Roman"/>
          <w:color w:val="auto"/>
        </w:rPr>
        <w:t>Часть 1 «Функциональная структура теплоснабжения»</w:t>
      </w:r>
      <w:bookmarkStart w:id="509" w:name="_Toc181365630"/>
      <w:bookmarkStart w:id="510" w:name="_Hlk160628026"/>
      <w:bookmarkStart w:id="511" w:name="_Hlk160628121"/>
      <w:bookmarkEnd w:id="508"/>
    </w:p>
    <w:p>
      <w:pPr>
        <w:pStyle w:val="2"/>
        <w:spacing w:before="0" w:after="0"/>
        <w:ind w:firstLine="567"/>
        <w:rPr>
          <w:rFonts w:cs="Times New Roman"/>
          <w:bCs/>
          <w:szCs w:val="24"/>
        </w:rPr>
      </w:pPr>
      <w:r>
        <w:rPr>
          <w:rFonts w:cs="Times New Roman"/>
          <w:color w:val="auto"/>
        </w:rPr>
        <w:t xml:space="preserve">1.1.1. </w:t>
      </w:r>
      <w:bookmarkStart w:id="512" w:name="_Toc171585141"/>
      <w:bookmarkStart w:id="513" w:name="_Toc524614736"/>
      <w:bookmarkStart w:id="514" w:name="_Toc524614952"/>
      <w:r>
        <w:rPr>
          <w:rFonts w:cs="Times New Roman"/>
          <w:szCs w:val="28"/>
        </w:rPr>
        <w:t xml:space="preserve">Описание </w:t>
      </w:r>
      <w:bookmarkEnd w:id="513"/>
      <w:bookmarkEnd w:id="514"/>
      <w:r>
        <w:rPr>
          <w:rFonts w:cs="Times New Roman"/>
          <w:szCs w:val="28"/>
        </w:rPr>
        <w:t xml:space="preserve">зон деятельности (эксплуатационной ответственности) теплоснабжающих и теплосетевых организаций и описание структуры договорных отношений между </w:t>
      </w:r>
      <w:bookmarkEnd w:id="509"/>
      <w:bookmarkEnd w:id="510"/>
      <w:bookmarkEnd w:id="511"/>
      <w:bookmarkEnd w:id="512"/>
      <w:r>
        <w:rPr>
          <w:rFonts w:cs="Times New Roman"/>
          <w:bCs/>
          <w:szCs w:val="24"/>
        </w:rPr>
        <w:t>ними, в том числе:</w:t>
      </w:r>
    </w:p>
    <w:p>
      <w:pPr>
        <w:pStyle w:val="2"/>
        <w:spacing w:before="0" w:after="0"/>
        <w:ind w:firstLine="567"/>
        <w:rPr>
          <w:rFonts w:cs="Times New Roman"/>
          <w:bCs/>
          <w:szCs w:val="24"/>
        </w:rPr>
      </w:pPr>
      <w:r>
        <w:rPr>
          <w:rFonts w:cs="Times New Roman"/>
          <w:bCs/>
          <w:szCs w:val="24"/>
        </w:rPr>
        <w:t>а) в зонах действия производственных котельных;</w:t>
      </w:r>
    </w:p>
    <w:p>
      <w:pPr>
        <w:pStyle w:val="2"/>
        <w:spacing w:before="0" w:after="0"/>
        <w:ind w:firstLine="567"/>
        <w:rPr>
          <w:rFonts w:cs="Times New Roman"/>
          <w:bCs/>
          <w:szCs w:val="24"/>
        </w:rPr>
      </w:pPr>
      <w:r>
        <w:rPr>
          <w:rFonts w:cs="Times New Roman"/>
          <w:bCs/>
          <w:szCs w:val="24"/>
        </w:rPr>
        <w:t>б) в зонах действия индивидуального теплоснабжения</w:t>
      </w:r>
    </w:p>
    <w:p>
      <w:pPr>
        <w:pStyle w:val="2"/>
        <w:spacing w:before="0" w:after="0"/>
        <w:ind w:firstLine="567"/>
        <w:rPr>
          <w:b w:val="false"/>
          <w:b w:val="false"/>
        </w:rPr>
      </w:pPr>
      <w:r>
        <w:rPr>
          <w:b w:val="false"/>
        </w:rPr>
        <w:t xml:space="preserve">На территории городского поселения Октябрьское </w:t>
      </w:r>
      <w:r>
        <w:rPr>
          <w:b w:val="false"/>
          <w:szCs w:val="24"/>
        </w:rPr>
        <w:t xml:space="preserve">(далее – городское поселение, поселение) </w:t>
      </w:r>
      <w:r>
        <w:rPr>
          <w:b w:val="false"/>
        </w:rPr>
        <w:t xml:space="preserve">теплоснабжение потребителей осуществляется 7 котельными, </w:t>
      </w:r>
      <w:r>
        <w:rPr>
          <w:b w:val="false"/>
          <w:szCs w:val="24"/>
        </w:rPr>
        <w:t xml:space="preserve">находящимися в хозяйственном ведении </w:t>
      </w:r>
      <w:r>
        <w:rPr>
          <w:rFonts w:eastAsia="Calibri" w:cs="Calibri"/>
          <w:b w:val="false"/>
          <w:color w:themeColor="text1"/>
          <w:szCs w:val="22"/>
          <w:lang w:eastAsia="en-US"/>
        </w:rPr>
        <w:t>муниципального предприятия муниципального образования Октябрьский район «</w:t>
      </w:r>
      <w:r>
        <w:rPr>
          <w:rFonts w:eastAsia="Calibri" w:cs="Calibri"/>
          <w:b w:val="false"/>
          <w:color w:themeColor="text1"/>
          <w:sz w:val="24"/>
          <w:szCs w:val="22"/>
          <w:lang w:eastAsia="en-US" w:bidi="ar-SA"/>
        </w:rPr>
        <w:t>Октябрьские</w:t>
      </w:r>
      <w:r>
        <w:rPr>
          <w:rFonts w:eastAsia="Calibri" w:cs="Calibri"/>
          <w:b w:val="false"/>
          <w:color w:themeColor="text1"/>
          <w:szCs w:val="22"/>
          <w:lang w:eastAsia="en-US"/>
        </w:rPr>
        <w:t xml:space="preserve"> коммунальные системы» (далее – МП МО Октябрьский район «ОКС»)</w:t>
      </w:r>
      <w:r>
        <w:rPr>
          <w:b w:val="false"/>
          <w:szCs w:val="24"/>
        </w:rPr>
        <w:t xml:space="preserve">. </w:t>
      </w:r>
      <w:r>
        <w:rPr>
          <w:b w:val="false"/>
        </w:rPr>
        <w:t>Данная система теплоснабжения, обеспечивает централизованное теплоснабжение населения, а также объектов социальной сферы и административных зданий. В качестве основного топлива на котельных используется природный газ. Существующие тепловые сети – подземные, надземные, в четырехтрубном и трехтрубном исполнении. Подземные тепловые сети проложены в непроходных каналах из различных материалов (кирпич, ж/бетон). Для транспортировки теплоносителя используются стальные изолированные трубопроводы диаметром 32 – 325 мм. Общая протяженность сетей составляет 27,931 км в двухтрубном исполнении. Схема присоединения потребителей тепловой энергии осуществлена по закрытой схеме теплоснабжения.</w:t>
      </w:r>
      <w:bookmarkStart w:id="515" w:name="_Hlk501234171"/>
      <w:bookmarkStart w:id="516" w:name="_Hlk343836691"/>
      <w:bookmarkEnd w:id="515"/>
      <w:bookmarkEnd w:id="516"/>
    </w:p>
    <w:p>
      <w:pPr>
        <w:pStyle w:val="2"/>
        <w:spacing w:before="0" w:after="0"/>
        <w:ind w:firstLine="567"/>
        <w:rPr>
          <w:rFonts w:cs="Times New Roman"/>
          <w:b w:val="false"/>
          <w:b w:val="false"/>
          <w:szCs w:val="24"/>
        </w:rPr>
      </w:pPr>
      <w:r>
        <w:rPr>
          <w:rFonts w:cs="Times New Roman"/>
          <w:b w:val="false"/>
          <w:szCs w:val="24"/>
        </w:rPr>
        <w:t xml:space="preserve">Поставщиком тепла и горячей воды для населения и предприятий городского поселения является МП МО Октябрьский район «ОКС», выступая для абонентов, подключённых к тепловым сетям их котельных теплоснабжающей организацией. </w:t>
      </w:r>
      <w:bookmarkStart w:id="517" w:name="_Toc5354094752"/>
      <w:bookmarkStart w:id="518" w:name="_Hlk5012341711"/>
      <w:bookmarkEnd w:id="517"/>
      <w:bookmarkEnd w:id="518"/>
    </w:p>
    <w:p>
      <w:pPr>
        <w:pStyle w:val="2"/>
        <w:spacing w:before="0" w:after="0"/>
        <w:ind w:firstLine="567"/>
        <w:rPr>
          <w:b w:val="false"/>
          <w:b w:val="false"/>
        </w:rPr>
      </w:pPr>
      <w:r>
        <w:rPr>
          <w:b w:val="false"/>
        </w:rPr>
        <w:t>В системе теплоснабжения городского поселения производственные котельные, предназначенные для обеспечения технологических процессов промышленных</w:t>
      </w:r>
      <w:r>
        <w:rPr/>
        <w:t xml:space="preserve"> </w:t>
      </w:r>
      <w:r>
        <w:rPr>
          <w:b w:val="false"/>
        </w:rPr>
        <w:t>предприятий отсутствуют.</w:t>
      </w:r>
      <w:bookmarkStart w:id="519" w:name="_Hlk160645093"/>
      <w:bookmarkStart w:id="520" w:name="_Hlk50123417"/>
      <w:bookmarkStart w:id="521" w:name="_Ref32485865"/>
      <w:bookmarkEnd w:id="506"/>
      <w:bookmarkEnd w:id="507"/>
      <w:bookmarkEnd w:id="520"/>
      <w:bookmarkEnd w:id="521"/>
    </w:p>
    <w:p>
      <w:pPr>
        <w:pStyle w:val="2"/>
        <w:spacing w:before="0" w:after="0"/>
        <w:ind w:firstLine="567"/>
        <w:rPr>
          <w:rFonts w:eastAsia="Calibri" w:cs="Calibri"/>
          <w:b w:val="false"/>
          <w:b w:val="false"/>
          <w:szCs w:val="22"/>
        </w:rPr>
      </w:pPr>
      <w:r>
        <w:rPr>
          <w:rFonts w:eastAsia="Calibri" w:cs="Calibri"/>
          <w:b w:val="false"/>
          <w:szCs w:val="22"/>
        </w:rPr>
        <w:t xml:space="preserve">Зоны действия индивидуального теплоснабжения сформированы в микрорайонах с коттеджной и усадебной застройкой. Подключение существующей индивидуальной застройки к сетям централизованного теплоснабжения не планируется. </w:t>
      </w:r>
    </w:p>
    <w:p>
      <w:pPr>
        <w:pStyle w:val="2"/>
        <w:spacing w:before="0" w:after="0"/>
        <w:ind w:firstLine="567"/>
        <w:rPr>
          <w:rFonts w:eastAsia="Calibri" w:cs="Calibri"/>
          <w:b w:val="false"/>
          <w:b w:val="false"/>
          <w:szCs w:val="22"/>
        </w:rPr>
      </w:pPr>
      <w:r>
        <w:rPr>
          <w:rFonts w:eastAsia="Calibri" w:cs="Calibri"/>
          <w:b w:val="false"/>
          <w:szCs w:val="22"/>
        </w:rPr>
        <w:t>При отсутствии централизованного теплоснабжения отопление осуществляется                         от индивидуальных источников тепла, работающих на природном газе, твердом топливе (дрова, уголь), а также электроэнергии. Индивидуальное отопление осуществляется                       от теплоснабжающих устройств без потерь при передаче, так как нет внешних систем транспортировки тепла. Поэтому потребление тепла при теплоснабжении                                          от индивидуальных установок можно принять равным его производству.</w:t>
      </w:r>
      <w:bookmarkStart w:id="522" w:name="_Toc181340346"/>
      <w:bookmarkStart w:id="523" w:name="_Toc160454997"/>
      <w:bookmarkStart w:id="524" w:name="_Toc160529879"/>
    </w:p>
    <w:p>
      <w:pPr>
        <w:pStyle w:val="2"/>
        <w:spacing w:before="0" w:after="0"/>
        <w:ind w:firstLine="567"/>
        <w:rPr>
          <w:rFonts w:eastAsia="Calibri" w:cs="Calibri"/>
          <w:szCs w:val="22"/>
          <w:lang w:eastAsia="en-US"/>
        </w:rPr>
      </w:pPr>
      <w:r>
        <w:rPr/>
        <w:t>1.1.2. Описание изменений, произошедших в функциональной структуре теплоснабжения поселения за период, предшествующий актуализации схемы теплоснабжения</w:t>
      </w:r>
    </w:p>
    <w:p>
      <w:pPr>
        <w:pStyle w:val="2"/>
        <w:spacing w:before="0" w:after="0"/>
        <w:ind w:firstLine="567"/>
        <w:rPr>
          <w:b w:val="false"/>
          <w:b w:val="false"/>
        </w:rPr>
      </w:pPr>
      <w:r>
        <w:rPr>
          <w:rStyle w:val="Style69"/>
          <w:rFonts w:eastAsia="Calibri" w:eastAsiaTheme="minorHAnsi"/>
          <w:b w:val="false"/>
        </w:rPr>
        <w:t>За период с момента утверждения ранее актуализированной Схемы теплоснабжения                  в функциональной структуре системы теплоснабжения поселения изменений не произошло</w:t>
      </w:r>
      <w:r>
        <w:rPr>
          <w:b w:val="false"/>
        </w:rPr>
        <w:t>.</w:t>
      </w:r>
      <w:bookmarkStart w:id="525" w:name="_Toc181340347"/>
      <w:bookmarkStart w:id="526" w:name="_Toc160529880"/>
      <w:bookmarkEnd w:id="519"/>
      <w:bookmarkEnd w:id="522"/>
      <w:bookmarkEnd w:id="523"/>
      <w:bookmarkEnd w:id="524"/>
    </w:p>
    <w:p>
      <w:pPr>
        <w:pStyle w:val="Normal"/>
        <w:ind w:firstLine="709"/>
        <w:jc w:val="both"/>
        <w:rPr>
          <w:rFonts w:eastAsia="Calibri" w:cs="Calibri"/>
          <w:szCs w:val="22"/>
          <w:lang w:eastAsia="en-US"/>
        </w:rPr>
      </w:pPr>
      <w:r>
        <w:rPr>
          <w:rFonts w:eastAsia="Calibri" w:cs="Calibri"/>
          <w:szCs w:val="22"/>
          <w:lang w:eastAsia="en-US"/>
        </w:rPr>
      </w:r>
    </w:p>
    <w:p>
      <w:pPr>
        <w:pStyle w:val="Normal"/>
        <w:ind w:firstLine="709"/>
        <w:jc w:val="both"/>
        <w:rPr>
          <w:rFonts w:eastAsia="Calibri" w:cs="Calibri"/>
          <w:b/>
          <w:b/>
          <w:bCs/>
          <w:szCs w:val="22"/>
          <w:lang w:eastAsia="en-US"/>
        </w:rPr>
      </w:pPr>
      <w:r>
        <w:rPr>
          <w:rFonts w:eastAsia="Calibri" w:cs="Calibri"/>
          <w:b/>
          <w:bCs/>
          <w:szCs w:val="22"/>
          <w:lang w:eastAsia="en-US"/>
        </w:rPr>
      </w:r>
    </w:p>
    <w:p>
      <w:pPr>
        <w:pStyle w:val="Normal"/>
        <w:ind w:firstLine="709"/>
        <w:jc w:val="both"/>
        <w:rPr>
          <w:rFonts w:eastAsia="Calibri" w:cs="Calibri"/>
          <w:szCs w:val="22"/>
          <w:lang w:eastAsia="en-US"/>
        </w:rPr>
      </w:pPr>
      <w:r>
        <w:rPr>
          <w:rFonts w:eastAsia="Calibri" w:cs="Calibri"/>
          <w:b/>
          <w:bCs/>
          <w:szCs w:val="22"/>
          <w:lang w:eastAsia="en-US"/>
        </w:rPr>
        <w:t>Часть 2 «Источники тепловой энергии»</w:t>
      </w:r>
      <w:bookmarkStart w:id="527" w:name="_Toc181340348"/>
      <w:bookmarkStart w:id="528" w:name="_Toc160529881"/>
      <w:bookmarkStart w:id="529" w:name="_Toc535409477"/>
      <w:bookmarkEnd w:id="525"/>
      <w:bookmarkEnd w:id="526"/>
    </w:p>
    <w:p>
      <w:pPr>
        <w:pStyle w:val="Normal"/>
        <w:ind w:firstLine="709"/>
        <w:jc w:val="both"/>
        <w:rPr>
          <w:rFonts w:eastAsia="Calibri" w:cs="Calibri"/>
          <w:szCs w:val="22"/>
          <w:lang w:eastAsia="en-US"/>
        </w:rPr>
      </w:pPr>
      <w:r>
        <w:rPr>
          <w:rFonts w:eastAsia="Calibri Light" w:cs="Calibri Light"/>
          <w:b/>
          <w:lang w:eastAsia="en-US"/>
        </w:rPr>
        <w:t>1.2.1. Структура и технические характеристики основного оборудования</w:t>
      </w:r>
      <w:bookmarkStart w:id="530" w:name="_Hlk160645154"/>
      <w:bookmarkEnd w:id="527"/>
      <w:bookmarkEnd w:id="528"/>
      <w:bookmarkEnd w:id="529"/>
      <w:bookmarkEnd w:id="530"/>
    </w:p>
    <w:p>
      <w:pPr>
        <w:pStyle w:val="Normal"/>
        <w:ind w:firstLine="709"/>
        <w:jc w:val="both"/>
        <w:rPr>
          <w:rFonts w:eastAsia="Calibri" w:cs="Calibri"/>
          <w:szCs w:val="22"/>
          <w:lang w:eastAsia="en-US"/>
        </w:rPr>
      </w:pPr>
      <w:r>
        <w:rPr>
          <w:rFonts w:eastAsia="Calibri" w:cs="Calibri"/>
          <w:szCs w:val="22"/>
          <w:lang w:eastAsia="en-US"/>
        </w:rPr>
        <w:t>Централизованное теплоснабжение поселения осуществляется от 7 котельных, а также от тепловых сетей, состоящих в реестре муниципальной собственности и находящихся в хозяйственном ведении МП МО Октябрьский район «ОКС».</w:t>
      </w:r>
    </w:p>
    <w:p>
      <w:pPr>
        <w:pStyle w:val="Normal"/>
        <w:ind w:firstLine="709"/>
        <w:jc w:val="both"/>
        <w:rPr>
          <w:rFonts w:eastAsia="Calibri" w:cs="Calibri"/>
          <w:szCs w:val="22"/>
          <w:lang w:eastAsia="en-US"/>
        </w:rPr>
      </w:pPr>
      <w:r>
        <w:rPr>
          <w:rFonts w:eastAsia="Calibri" w:cs="Calibri"/>
          <w:szCs w:val="22"/>
          <w:lang w:eastAsia="en-US"/>
        </w:rPr>
        <w:t>Система теплоснабжения является закрытой. Состав и технические характеристики основного оборудования котельных приведены в таблице 1.</w:t>
      </w:r>
    </w:p>
    <w:p>
      <w:pPr>
        <w:pStyle w:val="Normal"/>
        <w:jc w:val="right"/>
        <w:rPr>
          <w:rFonts w:eastAsia="Calibri" w:cs="Calibri"/>
          <w:iCs/>
          <w:szCs w:val="18"/>
          <w:lang w:eastAsia="en-US"/>
        </w:rPr>
      </w:pPr>
      <w:r>
        <w:rPr>
          <w:rFonts w:eastAsia="Calibri" w:cs="Calibri"/>
          <w:iCs/>
          <w:szCs w:val="18"/>
          <w:lang w:eastAsia="en-US"/>
        </w:rPr>
        <w:t>Таблица 1 – Состав и технические характеристики основного оборудования котельных в зоне деятельности теплоснабжающей организации по данным на 2024 год</w:t>
      </w:r>
    </w:p>
    <w:tbl>
      <w:tblPr>
        <w:tblW w:w="5000" w:type="pct"/>
        <w:jc w:val="left"/>
        <w:tblInd w:w="0" w:type="dxa"/>
        <w:tblCellMar>
          <w:top w:w="0" w:type="dxa"/>
          <w:left w:w="5" w:type="dxa"/>
          <w:bottom w:w="0" w:type="dxa"/>
          <w:right w:w="5" w:type="dxa"/>
        </w:tblCellMar>
        <w:tblLook w:val="04a0" w:noVBand="1" w:noHBand="0" w:lastColumn="0" w:firstColumn="1" w:lastRow="0" w:firstRow="1"/>
      </w:tblPr>
      <w:tblGrid>
        <w:gridCol w:w="456"/>
        <w:gridCol w:w="1607"/>
        <w:gridCol w:w="1553"/>
        <w:gridCol w:w="430"/>
        <w:gridCol w:w="960"/>
        <w:gridCol w:w="1134"/>
        <w:gridCol w:w="965"/>
        <w:gridCol w:w="938"/>
        <w:gridCol w:w="984"/>
        <w:gridCol w:w="610"/>
      </w:tblGrid>
      <w:tr>
        <w:trPr>
          <w:tblHeader w:val="true"/>
          <w:trHeight w:val="20" w:hRule="atLeast"/>
        </w:trPr>
        <w:tc>
          <w:tcPr>
            <w:tcW w:w="4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xml:space="preserve">№ </w:t>
            </w:r>
            <w:r>
              <w:rPr>
                <w:sz w:val="20"/>
                <w:szCs w:val="20"/>
                <w:lang w:eastAsia="ru-RU"/>
              </w:rPr>
              <w:t>п/п</w:t>
            </w:r>
          </w:p>
        </w:tc>
        <w:tc>
          <w:tcPr>
            <w:tcW w:w="160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Наименование теплоснабжающей организации</w:t>
            </w:r>
          </w:p>
        </w:tc>
        <w:tc>
          <w:tcPr>
            <w:tcW w:w="1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Наименование и адрес котельной</w:t>
            </w:r>
          </w:p>
        </w:tc>
        <w:tc>
          <w:tcPr>
            <w:tcW w:w="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ст. №</w:t>
            </w:r>
          </w:p>
        </w:tc>
        <w:tc>
          <w:tcPr>
            <w:tcW w:w="9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Марка котла</w:t>
            </w:r>
          </w:p>
        </w:tc>
        <w:tc>
          <w:tcPr>
            <w:tcW w:w="11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Тип котла</w:t>
            </w:r>
          </w:p>
        </w:tc>
        <w:tc>
          <w:tcPr>
            <w:tcW w:w="96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Мощность, Гкал/ч</w:t>
            </w:r>
          </w:p>
        </w:tc>
        <w:tc>
          <w:tcPr>
            <w:tcW w:w="93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Мощность котельной, Гкал/ч</w:t>
            </w:r>
          </w:p>
        </w:tc>
        <w:tc>
          <w:tcPr>
            <w:tcW w:w="98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УРУТ по котлам, кг.у.т./Гкал</w:t>
            </w:r>
          </w:p>
        </w:tc>
        <w:tc>
          <w:tcPr>
            <w:tcW w:w="61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КПД котла, %</w:t>
            </w:r>
          </w:p>
        </w:tc>
      </w:tr>
      <w:tr>
        <w:trPr>
          <w:trHeight w:val="20" w:hRule="atLeast"/>
        </w:trPr>
        <w:tc>
          <w:tcPr>
            <w:tcW w:w="9637" w:type="dxa"/>
            <w:gridSpan w:val="10"/>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городское поселение Октябрьское</w:t>
            </w:r>
          </w:p>
        </w:tc>
      </w:tr>
      <w:tr>
        <w:trPr>
          <w:trHeight w:val="20" w:hRule="atLeast"/>
        </w:trPr>
        <w:tc>
          <w:tcPr>
            <w:tcW w:w="456"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w:t>
            </w:r>
          </w:p>
        </w:tc>
        <w:tc>
          <w:tcPr>
            <w:tcW w:w="1607"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МП МО Октябрьский район «ОКС»</w:t>
            </w:r>
          </w:p>
        </w:tc>
        <w:tc>
          <w:tcPr>
            <w:tcW w:w="1553"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xml:space="preserve">котельная № 1, </w:t>
            </w:r>
          </w:p>
          <w:p>
            <w:pPr>
              <w:pStyle w:val="Normal"/>
              <w:jc w:val="center"/>
              <w:rPr>
                <w:sz w:val="20"/>
                <w:szCs w:val="20"/>
                <w:lang w:eastAsia="ru-RU"/>
              </w:rPr>
            </w:pPr>
            <w:r>
              <w:rPr>
                <w:sz w:val="20"/>
                <w:szCs w:val="20"/>
                <w:lang w:eastAsia="ru-RU"/>
              </w:rPr>
              <w:t>пгт.Октябрьское, ул.Сенькина, 46б</w:t>
            </w:r>
          </w:p>
        </w:tc>
        <w:tc>
          <w:tcPr>
            <w:tcW w:w="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w:t>
            </w:r>
          </w:p>
        </w:tc>
        <w:tc>
          <w:tcPr>
            <w:tcW w:w="9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UNIMAT UT-L30</w:t>
            </w:r>
          </w:p>
        </w:tc>
        <w:tc>
          <w:tcPr>
            <w:tcW w:w="11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водогрейный</w:t>
            </w:r>
          </w:p>
        </w:tc>
        <w:tc>
          <w:tcPr>
            <w:tcW w:w="96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3,44</w:t>
            </w:r>
          </w:p>
        </w:tc>
        <w:tc>
          <w:tcPr>
            <w:tcW w:w="938"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10,32</w:t>
            </w:r>
          </w:p>
        </w:tc>
        <w:tc>
          <w:tcPr>
            <w:tcW w:w="984" w:type="dxa"/>
            <w:vMerge w:val="restart"/>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176,52</w:t>
            </w:r>
          </w:p>
        </w:tc>
        <w:tc>
          <w:tcPr>
            <w:tcW w:w="610" w:type="dxa"/>
            <w:vMerge w:val="restart"/>
            <w:tcBorders>
              <w:bottom w:val="single" w:sz="4" w:space="0" w:color="000000"/>
              <w:right w:val="single" w:sz="8" w:space="0" w:color="000000"/>
            </w:tcBorders>
            <w:shd w:color="auto" w:fill="auto" w:val="clear"/>
            <w:vAlign w:val="center"/>
          </w:tcPr>
          <w:p>
            <w:pPr>
              <w:pStyle w:val="Normal"/>
              <w:jc w:val="center"/>
              <w:rPr>
                <w:sz w:val="20"/>
                <w:szCs w:val="20"/>
                <w:lang w:eastAsia="ru-RU"/>
              </w:rPr>
            </w:pPr>
            <w:r>
              <w:rPr>
                <w:sz w:val="20"/>
                <w:szCs w:val="20"/>
              </w:rPr>
              <w:t>81,0</w:t>
            </w:r>
          </w:p>
        </w:tc>
      </w:tr>
      <w:tr>
        <w:trPr>
          <w:trHeight w:val="20" w:hRule="atLeast"/>
        </w:trPr>
        <w:tc>
          <w:tcPr>
            <w:tcW w:w="45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r>
          </w:p>
        </w:tc>
        <w:tc>
          <w:tcPr>
            <w:tcW w:w="160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r>
          </w:p>
        </w:tc>
        <w:tc>
          <w:tcPr>
            <w:tcW w:w="155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r>
          </w:p>
        </w:tc>
        <w:tc>
          <w:tcPr>
            <w:tcW w:w="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2</w:t>
            </w:r>
          </w:p>
        </w:tc>
        <w:tc>
          <w:tcPr>
            <w:tcW w:w="96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t>UNIMAT UT-L30</w:t>
            </w:r>
          </w:p>
        </w:tc>
        <w:tc>
          <w:tcPr>
            <w:tcW w:w="11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водогрейный</w:t>
            </w:r>
          </w:p>
        </w:tc>
        <w:tc>
          <w:tcPr>
            <w:tcW w:w="96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3,44</w:t>
            </w:r>
          </w:p>
        </w:tc>
        <w:tc>
          <w:tcPr>
            <w:tcW w:w="93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r>
          </w:p>
        </w:tc>
        <w:tc>
          <w:tcPr>
            <w:tcW w:w="984"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r>
          </w:p>
        </w:tc>
        <w:tc>
          <w:tcPr>
            <w:tcW w:w="610" w:type="dxa"/>
            <w:vMerge w:val="continue"/>
            <w:tcBorders>
              <w:top w:val="single" w:sz="4" w:space="0" w:color="000000"/>
              <w:left w:val="single" w:sz="4" w:space="0" w:color="000000"/>
              <w:bottom w:val="single" w:sz="4" w:space="0" w:color="000000"/>
              <w:right w:val="single" w:sz="8" w:space="0" w:color="000000"/>
            </w:tcBorders>
            <w:shd w:color="auto" w:fill="auto" w:val="clear"/>
            <w:vAlign w:val="center"/>
          </w:tcPr>
          <w:p>
            <w:pPr>
              <w:pStyle w:val="Normal"/>
              <w:jc w:val="center"/>
              <w:rPr>
                <w:sz w:val="20"/>
                <w:szCs w:val="20"/>
                <w:lang w:eastAsia="ru-RU"/>
              </w:rPr>
            </w:pPr>
            <w:r>
              <w:rPr>
                <w:sz w:val="20"/>
                <w:szCs w:val="20"/>
                <w:lang w:eastAsia="ru-RU"/>
              </w:rPr>
            </w:r>
          </w:p>
        </w:tc>
      </w:tr>
      <w:tr>
        <w:trPr>
          <w:trHeight w:val="20" w:hRule="atLeast"/>
        </w:trPr>
        <w:tc>
          <w:tcPr>
            <w:tcW w:w="45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r>
          </w:p>
        </w:tc>
        <w:tc>
          <w:tcPr>
            <w:tcW w:w="160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r>
          </w:p>
        </w:tc>
        <w:tc>
          <w:tcPr>
            <w:tcW w:w="155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r>
          </w:p>
        </w:tc>
        <w:tc>
          <w:tcPr>
            <w:tcW w:w="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3</w:t>
            </w:r>
          </w:p>
        </w:tc>
        <w:tc>
          <w:tcPr>
            <w:tcW w:w="9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val="en-US" w:eastAsia="ru-RU"/>
              </w:rPr>
            </w:pPr>
            <w:r>
              <w:rPr>
                <w:sz w:val="20"/>
                <w:szCs w:val="20"/>
                <w:lang w:val="en-US" w:eastAsia="ru-RU"/>
              </w:rPr>
              <w:t>ARCUS IGNIS F-4000(</w:t>
            </w:r>
            <w:r>
              <w:rPr>
                <w:sz w:val="20"/>
                <w:szCs w:val="20"/>
                <w:lang w:eastAsia="ru-RU"/>
              </w:rPr>
              <w:t>КВа</w:t>
            </w:r>
            <w:r>
              <w:rPr>
                <w:sz w:val="20"/>
                <w:szCs w:val="20"/>
                <w:lang w:val="en-US" w:eastAsia="ru-RU"/>
              </w:rPr>
              <w:t>-4.0</w:t>
            </w:r>
            <w:r>
              <w:rPr>
                <w:sz w:val="20"/>
                <w:szCs w:val="20"/>
                <w:lang w:eastAsia="ru-RU"/>
              </w:rPr>
              <w:t>ГМ</w:t>
            </w:r>
            <w:r>
              <w:rPr>
                <w:sz w:val="20"/>
                <w:szCs w:val="20"/>
                <w:lang w:val="en-US" w:eastAsia="ru-RU"/>
              </w:rPr>
              <w:t>)</w:t>
            </w:r>
          </w:p>
        </w:tc>
        <w:tc>
          <w:tcPr>
            <w:tcW w:w="11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водогрейный</w:t>
            </w:r>
          </w:p>
        </w:tc>
        <w:tc>
          <w:tcPr>
            <w:tcW w:w="96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3,44</w:t>
            </w:r>
          </w:p>
        </w:tc>
        <w:tc>
          <w:tcPr>
            <w:tcW w:w="93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r>
          </w:p>
        </w:tc>
        <w:tc>
          <w:tcPr>
            <w:tcW w:w="984"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r>
          </w:p>
        </w:tc>
        <w:tc>
          <w:tcPr>
            <w:tcW w:w="610" w:type="dxa"/>
            <w:vMerge w:val="continue"/>
            <w:tcBorders>
              <w:top w:val="single" w:sz="4" w:space="0" w:color="000000"/>
              <w:left w:val="single" w:sz="4" w:space="0" w:color="000000"/>
              <w:bottom w:val="single" w:sz="4" w:space="0" w:color="000000"/>
              <w:right w:val="single" w:sz="8" w:space="0" w:color="000000"/>
            </w:tcBorders>
            <w:shd w:color="auto" w:fill="auto" w:val="clear"/>
            <w:vAlign w:val="center"/>
          </w:tcPr>
          <w:p>
            <w:pPr>
              <w:pStyle w:val="Normal"/>
              <w:jc w:val="center"/>
              <w:rPr>
                <w:sz w:val="20"/>
                <w:szCs w:val="20"/>
                <w:lang w:eastAsia="ru-RU"/>
              </w:rPr>
            </w:pPr>
            <w:r>
              <w:rPr>
                <w:sz w:val="20"/>
                <w:szCs w:val="20"/>
                <w:lang w:eastAsia="ru-RU"/>
              </w:rPr>
            </w:r>
          </w:p>
        </w:tc>
      </w:tr>
      <w:tr>
        <w:trPr>
          <w:trHeight w:val="20" w:hRule="atLeast"/>
        </w:trPr>
        <w:tc>
          <w:tcPr>
            <w:tcW w:w="456"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t>2</w:t>
            </w:r>
          </w:p>
        </w:tc>
        <w:tc>
          <w:tcPr>
            <w:tcW w:w="160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r>
          </w:p>
        </w:tc>
        <w:tc>
          <w:tcPr>
            <w:tcW w:w="1553"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t xml:space="preserve">котельная № 2, </w:t>
            </w:r>
          </w:p>
          <w:p>
            <w:pPr>
              <w:pStyle w:val="Normal"/>
              <w:jc w:val="center"/>
              <w:rPr>
                <w:sz w:val="20"/>
                <w:szCs w:val="20"/>
                <w:lang w:eastAsia="ru-RU"/>
              </w:rPr>
            </w:pPr>
            <w:r>
              <w:rPr>
                <w:sz w:val="20"/>
                <w:szCs w:val="20"/>
                <w:lang w:eastAsia="ru-RU"/>
              </w:rPr>
              <w:t>пгт.Октябрьское, ул.Пионерская, 17б</w:t>
            </w:r>
          </w:p>
        </w:tc>
        <w:tc>
          <w:tcPr>
            <w:tcW w:w="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w:t>
            </w:r>
          </w:p>
        </w:tc>
        <w:tc>
          <w:tcPr>
            <w:tcW w:w="9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val="en-US" w:eastAsia="ru-RU"/>
              </w:rPr>
            </w:pPr>
            <w:r>
              <w:rPr>
                <w:sz w:val="20"/>
                <w:szCs w:val="20"/>
                <w:lang w:val="en-US" w:eastAsia="ru-RU"/>
              </w:rPr>
              <w:t>ARCUS IGNIS F-2000(</w:t>
            </w:r>
            <w:r>
              <w:rPr>
                <w:sz w:val="20"/>
                <w:szCs w:val="20"/>
                <w:lang w:eastAsia="ru-RU"/>
              </w:rPr>
              <w:t>КВа</w:t>
            </w:r>
            <w:r>
              <w:rPr>
                <w:sz w:val="20"/>
                <w:szCs w:val="20"/>
                <w:lang w:val="en-US" w:eastAsia="ru-RU"/>
              </w:rPr>
              <w:t>-2.0</w:t>
            </w:r>
            <w:r>
              <w:rPr>
                <w:sz w:val="20"/>
                <w:szCs w:val="20"/>
                <w:lang w:eastAsia="ru-RU"/>
              </w:rPr>
              <w:t>ГМ</w:t>
            </w:r>
            <w:r>
              <w:rPr>
                <w:sz w:val="20"/>
                <w:szCs w:val="20"/>
                <w:lang w:val="en-US" w:eastAsia="ru-RU"/>
              </w:rPr>
              <w:t>)</w:t>
            </w:r>
          </w:p>
        </w:tc>
        <w:tc>
          <w:tcPr>
            <w:tcW w:w="1134"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sz w:val="20"/>
                <w:szCs w:val="20"/>
                <w:lang w:eastAsia="ru-RU"/>
              </w:rPr>
            </w:pPr>
            <w:r>
              <w:rPr>
                <w:sz w:val="20"/>
                <w:szCs w:val="20"/>
                <w:lang w:eastAsia="ru-RU"/>
              </w:rPr>
              <w:t>водогрейный</w:t>
            </w:r>
          </w:p>
        </w:tc>
        <w:tc>
          <w:tcPr>
            <w:tcW w:w="96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1,72</w:t>
            </w:r>
          </w:p>
        </w:tc>
        <w:tc>
          <w:tcPr>
            <w:tcW w:w="938"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t>7,12</w:t>
            </w:r>
          </w:p>
        </w:tc>
        <w:tc>
          <w:tcPr>
            <w:tcW w:w="984"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176,52</w:t>
            </w:r>
          </w:p>
        </w:tc>
        <w:tc>
          <w:tcPr>
            <w:tcW w:w="610"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81,0</w:t>
            </w:r>
          </w:p>
        </w:tc>
      </w:tr>
      <w:tr>
        <w:trPr>
          <w:trHeight w:val="20" w:hRule="atLeast"/>
        </w:trPr>
        <w:tc>
          <w:tcPr>
            <w:tcW w:w="45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r>
          </w:p>
        </w:tc>
        <w:tc>
          <w:tcPr>
            <w:tcW w:w="160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r>
          </w:p>
        </w:tc>
        <w:tc>
          <w:tcPr>
            <w:tcW w:w="155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r>
          </w:p>
        </w:tc>
        <w:tc>
          <w:tcPr>
            <w:tcW w:w="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2</w:t>
            </w:r>
          </w:p>
        </w:tc>
        <w:tc>
          <w:tcPr>
            <w:tcW w:w="9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val="en-US" w:eastAsia="ru-RU"/>
              </w:rPr>
            </w:pPr>
            <w:r>
              <w:rPr>
                <w:sz w:val="20"/>
                <w:szCs w:val="20"/>
                <w:lang w:eastAsia="ru-RU"/>
              </w:rPr>
              <w:t>ВВД-1,8</w:t>
            </w:r>
          </w:p>
        </w:tc>
        <w:tc>
          <w:tcPr>
            <w:tcW w:w="1134"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sz w:val="20"/>
                <w:szCs w:val="20"/>
                <w:lang w:eastAsia="ru-RU"/>
              </w:rPr>
            </w:pPr>
            <w:r>
              <w:rPr>
                <w:sz w:val="20"/>
                <w:szCs w:val="20"/>
                <w:lang w:eastAsia="ru-RU"/>
              </w:rPr>
              <w:t>водогрейный</w:t>
            </w:r>
          </w:p>
        </w:tc>
        <w:tc>
          <w:tcPr>
            <w:tcW w:w="96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1,8</w:t>
            </w:r>
          </w:p>
        </w:tc>
        <w:tc>
          <w:tcPr>
            <w:tcW w:w="93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r>
          </w:p>
        </w:tc>
        <w:tc>
          <w:tcPr>
            <w:tcW w:w="984"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r>
          </w:p>
        </w:tc>
        <w:tc>
          <w:tcPr>
            <w:tcW w:w="61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r>
          </w:p>
        </w:tc>
      </w:tr>
      <w:tr>
        <w:trPr>
          <w:trHeight w:val="20" w:hRule="atLeast"/>
        </w:trPr>
        <w:tc>
          <w:tcPr>
            <w:tcW w:w="45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r>
          </w:p>
        </w:tc>
        <w:tc>
          <w:tcPr>
            <w:tcW w:w="160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r>
          </w:p>
        </w:tc>
        <w:tc>
          <w:tcPr>
            <w:tcW w:w="155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r>
          </w:p>
        </w:tc>
        <w:tc>
          <w:tcPr>
            <w:tcW w:w="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3</w:t>
            </w:r>
          </w:p>
        </w:tc>
        <w:tc>
          <w:tcPr>
            <w:tcW w:w="9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ВВД-1,8</w:t>
            </w:r>
          </w:p>
        </w:tc>
        <w:tc>
          <w:tcPr>
            <w:tcW w:w="1134"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sz w:val="20"/>
                <w:szCs w:val="20"/>
                <w:lang w:eastAsia="ru-RU"/>
              </w:rPr>
            </w:pPr>
            <w:r>
              <w:rPr>
                <w:sz w:val="20"/>
                <w:szCs w:val="20"/>
                <w:lang w:eastAsia="ru-RU"/>
              </w:rPr>
              <w:t>водогрейный</w:t>
            </w:r>
          </w:p>
        </w:tc>
        <w:tc>
          <w:tcPr>
            <w:tcW w:w="96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1,8</w:t>
            </w:r>
          </w:p>
        </w:tc>
        <w:tc>
          <w:tcPr>
            <w:tcW w:w="93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r>
          </w:p>
        </w:tc>
        <w:tc>
          <w:tcPr>
            <w:tcW w:w="984"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r>
          </w:p>
        </w:tc>
        <w:tc>
          <w:tcPr>
            <w:tcW w:w="61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r>
          </w:p>
        </w:tc>
      </w:tr>
      <w:tr>
        <w:trPr>
          <w:trHeight w:val="20" w:hRule="atLeast"/>
        </w:trPr>
        <w:tc>
          <w:tcPr>
            <w:tcW w:w="45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r>
          </w:p>
        </w:tc>
        <w:tc>
          <w:tcPr>
            <w:tcW w:w="160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r>
          </w:p>
        </w:tc>
        <w:tc>
          <w:tcPr>
            <w:tcW w:w="155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r>
          </w:p>
        </w:tc>
        <w:tc>
          <w:tcPr>
            <w:tcW w:w="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4</w:t>
            </w:r>
          </w:p>
        </w:tc>
        <w:tc>
          <w:tcPr>
            <w:tcW w:w="9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ВВД-1,8</w:t>
            </w:r>
          </w:p>
        </w:tc>
        <w:tc>
          <w:tcPr>
            <w:tcW w:w="1134"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sz w:val="20"/>
                <w:szCs w:val="20"/>
                <w:lang w:eastAsia="ru-RU"/>
              </w:rPr>
            </w:pPr>
            <w:r>
              <w:rPr>
                <w:sz w:val="20"/>
                <w:szCs w:val="20"/>
                <w:lang w:eastAsia="ru-RU"/>
              </w:rPr>
              <w:t>водогрейный</w:t>
            </w:r>
          </w:p>
        </w:tc>
        <w:tc>
          <w:tcPr>
            <w:tcW w:w="96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1,8</w:t>
            </w:r>
          </w:p>
        </w:tc>
        <w:tc>
          <w:tcPr>
            <w:tcW w:w="93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r>
          </w:p>
        </w:tc>
        <w:tc>
          <w:tcPr>
            <w:tcW w:w="984"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r>
          </w:p>
        </w:tc>
        <w:tc>
          <w:tcPr>
            <w:tcW w:w="61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r>
          </w:p>
        </w:tc>
      </w:tr>
      <w:tr>
        <w:trPr>
          <w:trHeight w:val="20" w:hRule="atLeast"/>
        </w:trPr>
        <w:tc>
          <w:tcPr>
            <w:tcW w:w="456"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t>3</w:t>
            </w:r>
          </w:p>
        </w:tc>
        <w:tc>
          <w:tcPr>
            <w:tcW w:w="160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r>
          </w:p>
        </w:tc>
        <w:tc>
          <w:tcPr>
            <w:tcW w:w="1553"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t>котельная № 3,</w:t>
            </w:r>
          </w:p>
          <w:p>
            <w:pPr>
              <w:pStyle w:val="Normal"/>
              <w:jc w:val="center"/>
              <w:rPr>
                <w:sz w:val="20"/>
                <w:szCs w:val="20"/>
                <w:lang w:eastAsia="ru-RU"/>
              </w:rPr>
            </w:pPr>
            <w:r>
              <w:rPr>
                <w:sz w:val="20"/>
                <w:szCs w:val="20"/>
                <w:lang w:eastAsia="ru-RU"/>
              </w:rPr>
              <w:t xml:space="preserve"> </w:t>
            </w:r>
            <w:r>
              <w:rPr>
                <w:sz w:val="20"/>
                <w:szCs w:val="20"/>
                <w:lang w:eastAsia="ru-RU"/>
              </w:rPr>
              <w:t>пгт.Октябрьское, ул.Чапаева, 6б</w:t>
            </w:r>
          </w:p>
        </w:tc>
        <w:tc>
          <w:tcPr>
            <w:tcW w:w="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w:t>
            </w:r>
          </w:p>
        </w:tc>
        <w:tc>
          <w:tcPr>
            <w:tcW w:w="9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КСВА-2,0</w:t>
            </w:r>
          </w:p>
        </w:tc>
        <w:tc>
          <w:tcPr>
            <w:tcW w:w="1134"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sz w:val="20"/>
                <w:szCs w:val="20"/>
                <w:lang w:eastAsia="ru-RU"/>
              </w:rPr>
            </w:pPr>
            <w:r>
              <w:rPr>
                <w:sz w:val="20"/>
                <w:szCs w:val="20"/>
                <w:lang w:eastAsia="ru-RU"/>
              </w:rPr>
              <w:t>водогрейный</w:t>
            </w:r>
          </w:p>
        </w:tc>
        <w:tc>
          <w:tcPr>
            <w:tcW w:w="96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1,72</w:t>
            </w:r>
          </w:p>
        </w:tc>
        <w:tc>
          <w:tcPr>
            <w:tcW w:w="938"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t>5,32</w:t>
            </w:r>
          </w:p>
        </w:tc>
        <w:tc>
          <w:tcPr>
            <w:tcW w:w="984"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176,52</w:t>
            </w:r>
          </w:p>
        </w:tc>
        <w:tc>
          <w:tcPr>
            <w:tcW w:w="610"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81,0</w:t>
            </w:r>
          </w:p>
        </w:tc>
      </w:tr>
      <w:tr>
        <w:trPr>
          <w:trHeight w:val="20" w:hRule="atLeast"/>
        </w:trPr>
        <w:tc>
          <w:tcPr>
            <w:tcW w:w="45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r>
          </w:p>
        </w:tc>
        <w:tc>
          <w:tcPr>
            <w:tcW w:w="160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r>
          </w:p>
        </w:tc>
        <w:tc>
          <w:tcPr>
            <w:tcW w:w="155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r>
          </w:p>
        </w:tc>
        <w:tc>
          <w:tcPr>
            <w:tcW w:w="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2</w:t>
            </w:r>
          </w:p>
        </w:tc>
        <w:tc>
          <w:tcPr>
            <w:tcW w:w="9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ВВД-1,8</w:t>
            </w:r>
          </w:p>
        </w:tc>
        <w:tc>
          <w:tcPr>
            <w:tcW w:w="1134"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sz w:val="20"/>
                <w:szCs w:val="20"/>
                <w:lang w:eastAsia="ru-RU"/>
              </w:rPr>
            </w:pPr>
            <w:r>
              <w:rPr>
                <w:sz w:val="20"/>
                <w:szCs w:val="20"/>
                <w:lang w:eastAsia="ru-RU"/>
              </w:rPr>
              <w:t>водогрейный</w:t>
            </w:r>
          </w:p>
        </w:tc>
        <w:tc>
          <w:tcPr>
            <w:tcW w:w="96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1,8</w:t>
            </w:r>
          </w:p>
        </w:tc>
        <w:tc>
          <w:tcPr>
            <w:tcW w:w="93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r>
          </w:p>
        </w:tc>
        <w:tc>
          <w:tcPr>
            <w:tcW w:w="984"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r>
          </w:p>
        </w:tc>
        <w:tc>
          <w:tcPr>
            <w:tcW w:w="61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r>
          </w:p>
        </w:tc>
      </w:tr>
      <w:tr>
        <w:trPr>
          <w:trHeight w:val="20" w:hRule="atLeast"/>
        </w:trPr>
        <w:tc>
          <w:tcPr>
            <w:tcW w:w="45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r>
          </w:p>
        </w:tc>
        <w:tc>
          <w:tcPr>
            <w:tcW w:w="160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r>
          </w:p>
        </w:tc>
        <w:tc>
          <w:tcPr>
            <w:tcW w:w="155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r>
          </w:p>
        </w:tc>
        <w:tc>
          <w:tcPr>
            <w:tcW w:w="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3</w:t>
            </w:r>
          </w:p>
        </w:tc>
        <w:tc>
          <w:tcPr>
            <w:tcW w:w="9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ВВД-1,8</w:t>
            </w:r>
          </w:p>
        </w:tc>
        <w:tc>
          <w:tcPr>
            <w:tcW w:w="1134"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sz w:val="20"/>
                <w:szCs w:val="20"/>
                <w:lang w:eastAsia="ru-RU"/>
              </w:rPr>
            </w:pPr>
            <w:r>
              <w:rPr>
                <w:sz w:val="20"/>
                <w:szCs w:val="20"/>
                <w:lang w:eastAsia="ru-RU"/>
              </w:rPr>
              <w:t>водогрейный</w:t>
            </w:r>
          </w:p>
        </w:tc>
        <w:tc>
          <w:tcPr>
            <w:tcW w:w="96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1,8</w:t>
            </w:r>
          </w:p>
        </w:tc>
        <w:tc>
          <w:tcPr>
            <w:tcW w:w="93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r>
          </w:p>
        </w:tc>
        <w:tc>
          <w:tcPr>
            <w:tcW w:w="984"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r>
          </w:p>
        </w:tc>
        <w:tc>
          <w:tcPr>
            <w:tcW w:w="61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r>
          </w:p>
        </w:tc>
      </w:tr>
      <w:tr>
        <w:trPr>
          <w:trHeight w:val="20" w:hRule="atLeast"/>
        </w:trPr>
        <w:tc>
          <w:tcPr>
            <w:tcW w:w="456"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t>4</w:t>
            </w:r>
          </w:p>
        </w:tc>
        <w:tc>
          <w:tcPr>
            <w:tcW w:w="160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r>
          </w:p>
        </w:tc>
        <w:tc>
          <w:tcPr>
            <w:tcW w:w="1553"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t xml:space="preserve">котельная № 6, </w:t>
            </w:r>
          </w:p>
          <w:p>
            <w:pPr>
              <w:pStyle w:val="Normal"/>
              <w:jc w:val="center"/>
              <w:rPr>
                <w:sz w:val="20"/>
                <w:szCs w:val="20"/>
                <w:lang w:eastAsia="ru-RU"/>
              </w:rPr>
            </w:pPr>
            <w:r>
              <w:rPr>
                <w:sz w:val="20"/>
                <w:szCs w:val="20"/>
                <w:lang w:eastAsia="ru-RU"/>
              </w:rPr>
              <w:t>пгт.Октябрьское, ул.Дзержинского, 2б</w:t>
            </w:r>
          </w:p>
        </w:tc>
        <w:tc>
          <w:tcPr>
            <w:tcW w:w="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w:t>
            </w:r>
          </w:p>
        </w:tc>
        <w:tc>
          <w:tcPr>
            <w:tcW w:w="9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ВВД-1,8</w:t>
            </w:r>
          </w:p>
        </w:tc>
        <w:tc>
          <w:tcPr>
            <w:tcW w:w="1134"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sz w:val="20"/>
                <w:szCs w:val="20"/>
                <w:lang w:eastAsia="ru-RU"/>
              </w:rPr>
            </w:pPr>
            <w:r>
              <w:rPr>
                <w:sz w:val="20"/>
                <w:szCs w:val="20"/>
                <w:lang w:eastAsia="ru-RU"/>
              </w:rPr>
              <w:t>водогрейный</w:t>
            </w:r>
          </w:p>
        </w:tc>
        <w:tc>
          <w:tcPr>
            <w:tcW w:w="96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1,8</w:t>
            </w:r>
          </w:p>
        </w:tc>
        <w:tc>
          <w:tcPr>
            <w:tcW w:w="938"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t>5,4</w:t>
            </w:r>
          </w:p>
        </w:tc>
        <w:tc>
          <w:tcPr>
            <w:tcW w:w="984"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176,52</w:t>
            </w:r>
          </w:p>
        </w:tc>
        <w:tc>
          <w:tcPr>
            <w:tcW w:w="610"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81,0</w:t>
            </w:r>
          </w:p>
        </w:tc>
      </w:tr>
      <w:tr>
        <w:trPr>
          <w:trHeight w:val="20" w:hRule="atLeast"/>
        </w:trPr>
        <w:tc>
          <w:tcPr>
            <w:tcW w:w="45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r>
          </w:p>
        </w:tc>
        <w:tc>
          <w:tcPr>
            <w:tcW w:w="160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r>
          </w:p>
        </w:tc>
        <w:tc>
          <w:tcPr>
            <w:tcW w:w="155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r>
          </w:p>
        </w:tc>
        <w:tc>
          <w:tcPr>
            <w:tcW w:w="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2</w:t>
            </w:r>
          </w:p>
        </w:tc>
        <w:tc>
          <w:tcPr>
            <w:tcW w:w="9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ВВД-1,8</w:t>
            </w:r>
          </w:p>
        </w:tc>
        <w:tc>
          <w:tcPr>
            <w:tcW w:w="1134"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sz w:val="20"/>
                <w:szCs w:val="20"/>
                <w:lang w:eastAsia="ru-RU"/>
              </w:rPr>
            </w:pPr>
            <w:r>
              <w:rPr>
                <w:sz w:val="20"/>
                <w:szCs w:val="20"/>
                <w:lang w:eastAsia="ru-RU"/>
              </w:rPr>
              <w:t>водогрейный</w:t>
            </w:r>
          </w:p>
        </w:tc>
        <w:tc>
          <w:tcPr>
            <w:tcW w:w="96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1,8</w:t>
            </w:r>
          </w:p>
        </w:tc>
        <w:tc>
          <w:tcPr>
            <w:tcW w:w="93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r>
          </w:p>
        </w:tc>
        <w:tc>
          <w:tcPr>
            <w:tcW w:w="984"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r>
          </w:p>
        </w:tc>
        <w:tc>
          <w:tcPr>
            <w:tcW w:w="61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r>
          </w:p>
        </w:tc>
      </w:tr>
      <w:tr>
        <w:trPr>
          <w:trHeight w:val="20" w:hRule="atLeast"/>
        </w:trPr>
        <w:tc>
          <w:tcPr>
            <w:tcW w:w="45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r>
          </w:p>
        </w:tc>
        <w:tc>
          <w:tcPr>
            <w:tcW w:w="160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r>
          </w:p>
        </w:tc>
        <w:tc>
          <w:tcPr>
            <w:tcW w:w="155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r>
          </w:p>
        </w:tc>
        <w:tc>
          <w:tcPr>
            <w:tcW w:w="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3</w:t>
            </w:r>
          </w:p>
        </w:tc>
        <w:tc>
          <w:tcPr>
            <w:tcW w:w="9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ВВД-1,8</w:t>
            </w:r>
          </w:p>
        </w:tc>
        <w:tc>
          <w:tcPr>
            <w:tcW w:w="1134"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sz w:val="20"/>
                <w:szCs w:val="20"/>
                <w:lang w:eastAsia="ru-RU"/>
              </w:rPr>
            </w:pPr>
            <w:r>
              <w:rPr>
                <w:sz w:val="20"/>
                <w:szCs w:val="20"/>
                <w:lang w:eastAsia="ru-RU"/>
              </w:rPr>
              <w:t>водогрейный</w:t>
            </w:r>
          </w:p>
        </w:tc>
        <w:tc>
          <w:tcPr>
            <w:tcW w:w="96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1,8</w:t>
            </w:r>
          </w:p>
        </w:tc>
        <w:tc>
          <w:tcPr>
            <w:tcW w:w="93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r>
          </w:p>
        </w:tc>
        <w:tc>
          <w:tcPr>
            <w:tcW w:w="984"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r>
          </w:p>
        </w:tc>
        <w:tc>
          <w:tcPr>
            <w:tcW w:w="61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r>
          </w:p>
        </w:tc>
      </w:tr>
      <w:tr>
        <w:trPr>
          <w:trHeight w:val="20" w:hRule="atLeast"/>
        </w:trPr>
        <w:tc>
          <w:tcPr>
            <w:tcW w:w="456"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t>5</w:t>
            </w:r>
          </w:p>
        </w:tc>
        <w:tc>
          <w:tcPr>
            <w:tcW w:w="160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r>
          </w:p>
        </w:tc>
        <w:tc>
          <w:tcPr>
            <w:tcW w:w="1553"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t>котельная № 7,</w:t>
            </w:r>
          </w:p>
          <w:p>
            <w:pPr>
              <w:pStyle w:val="Normal"/>
              <w:jc w:val="center"/>
              <w:rPr>
                <w:sz w:val="20"/>
                <w:szCs w:val="20"/>
                <w:lang w:eastAsia="ru-RU"/>
              </w:rPr>
            </w:pPr>
            <w:r>
              <w:rPr>
                <w:sz w:val="20"/>
                <w:szCs w:val="20"/>
                <w:lang w:eastAsia="ru-RU"/>
              </w:rPr>
              <w:t>пгт.Октябрьское, ул.Медицинская, 3Б</w:t>
            </w:r>
          </w:p>
        </w:tc>
        <w:tc>
          <w:tcPr>
            <w:tcW w:w="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w:t>
            </w:r>
          </w:p>
        </w:tc>
        <w:tc>
          <w:tcPr>
            <w:tcW w:w="9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Sermet-S3V-120-10</w:t>
            </w:r>
          </w:p>
        </w:tc>
        <w:tc>
          <w:tcPr>
            <w:tcW w:w="1134"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sz w:val="20"/>
                <w:szCs w:val="20"/>
                <w:lang w:eastAsia="ru-RU"/>
              </w:rPr>
            </w:pPr>
            <w:r>
              <w:rPr>
                <w:sz w:val="20"/>
                <w:szCs w:val="20"/>
                <w:lang w:eastAsia="ru-RU"/>
              </w:rPr>
              <w:t>водогрейный</w:t>
            </w:r>
          </w:p>
        </w:tc>
        <w:tc>
          <w:tcPr>
            <w:tcW w:w="96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2,58</w:t>
            </w:r>
          </w:p>
        </w:tc>
        <w:tc>
          <w:tcPr>
            <w:tcW w:w="938"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t>5,16</w:t>
            </w:r>
          </w:p>
        </w:tc>
        <w:tc>
          <w:tcPr>
            <w:tcW w:w="984"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176,52</w:t>
            </w:r>
          </w:p>
        </w:tc>
        <w:tc>
          <w:tcPr>
            <w:tcW w:w="610"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81,0</w:t>
            </w:r>
          </w:p>
        </w:tc>
      </w:tr>
      <w:tr>
        <w:trPr>
          <w:trHeight w:val="20" w:hRule="atLeast"/>
        </w:trPr>
        <w:tc>
          <w:tcPr>
            <w:tcW w:w="45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r>
          </w:p>
        </w:tc>
        <w:tc>
          <w:tcPr>
            <w:tcW w:w="160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r>
          </w:p>
        </w:tc>
        <w:tc>
          <w:tcPr>
            <w:tcW w:w="155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r>
          </w:p>
        </w:tc>
        <w:tc>
          <w:tcPr>
            <w:tcW w:w="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2</w:t>
            </w:r>
          </w:p>
        </w:tc>
        <w:tc>
          <w:tcPr>
            <w:tcW w:w="9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Sermet-S3V-120-10</w:t>
            </w:r>
          </w:p>
        </w:tc>
        <w:tc>
          <w:tcPr>
            <w:tcW w:w="1134"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sz w:val="20"/>
                <w:szCs w:val="20"/>
                <w:lang w:eastAsia="ru-RU"/>
              </w:rPr>
            </w:pPr>
            <w:r>
              <w:rPr>
                <w:sz w:val="20"/>
                <w:szCs w:val="20"/>
                <w:lang w:eastAsia="ru-RU"/>
              </w:rPr>
              <w:t>водогрейный</w:t>
            </w:r>
          </w:p>
        </w:tc>
        <w:tc>
          <w:tcPr>
            <w:tcW w:w="96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2,58</w:t>
            </w:r>
          </w:p>
        </w:tc>
        <w:tc>
          <w:tcPr>
            <w:tcW w:w="93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r>
          </w:p>
        </w:tc>
        <w:tc>
          <w:tcPr>
            <w:tcW w:w="984"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r>
          </w:p>
        </w:tc>
        <w:tc>
          <w:tcPr>
            <w:tcW w:w="61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r>
          </w:p>
        </w:tc>
      </w:tr>
      <w:tr>
        <w:trPr>
          <w:trHeight w:val="20" w:hRule="atLeast"/>
        </w:trPr>
        <w:tc>
          <w:tcPr>
            <w:tcW w:w="456"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t>6</w:t>
            </w:r>
          </w:p>
        </w:tc>
        <w:tc>
          <w:tcPr>
            <w:tcW w:w="1607"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rPr>
              <w:t>МП МО Октябрьский район «ОКС»</w:t>
            </w:r>
          </w:p>
        </w:tc>
        <w:tc>
          <w:tcPr>
            <w:tcW w:w="1553"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t xml:space="preserve">котельная № 12, </w:t>
            </w:r>
          </w:p>
          <w:p>
            <w:pPr>
              <w:pStyle w:val="Normal"/>
              <w:jc w:val="center"/>
              <w:rPr>
                <w:sz w:val="20"/>
                <w:szCs w:val="20"/>
                <w:lang w:eastAsia="ru-RU"/>
              </w:rPr>
            </w:pPr>
            <w:r>
              <w:rPr>
                <w:sz w:val="20"/>
                <w:szCs w:val="20"/>
                <w:lang w:eastAsia="ru-RU"/>
              </w:rPr>
              <w:t>пгт.Октябрьское, ул.Медицинская, 3к</w:t>
            </w:r>
          </w:p>
        </w:tc>
        <w:tc>
          <w:tcPr>
            <w:tcW w:w="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w:t>
            </w:r>
          </w:p>
        </w:tc>
        <w:tc>
          <w:tcPr>
            <w:tcW w:w="9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val="en-US" w:eastAsia="ru-RU"/>
              </w:rPr>
            </w:pPr>
            <w:r>
              <w:rPr>
                <w:sz w:val="20"/>
                <w:szCs w:val="20"/>
                <w:lang w:val="en-US" w:eastAsia="ru-RU"/>
              </w:rPr>
              <w:t>ARCUS IGNIS F-3000(</w:t>
            </w:r>
            <w:r>
              <w:rPr>
                <w:sz w:val="20"/>
                <w:szCs w:val="20"/>
                <w:lang w:eastAsia="ru-RU"/>
              </w:rPr>
              <w:t>КВа</w:t>
            </w:r>
            <w:r>
              <w:rPr>
                <w:sz w:val="20"/>
                <w:szCs w:val="20"/>
                <w:lang w:val="en-US" w:eastAsia="ru-RU"/>
              </w:rPr>
              <w:t>-3.0</w:t>
            </w:r>
            <w:r>
              <w:rPr>
                <w:sz w:val="20"/>
                <w:szCs w:val="20"/>
                <w:lang w:eastAsia="ru-RU"/>
              </w:rPr>
              <w:t>ГМ</w:t>
            </w:r>
            <w:r>
              <w:rPr>
                <w:sz w:val="20"/>
                <w:szCs w:val="20"/>
                <w:lang w:val="en-US" w:eastAsia="ru-RU"/>
              </w:rPr>
              <w:t>)</w:t>
            </w:r>
          </w:p>
        </w:tc>
        <w:tc>
          <w:tcPr>
            <w:tcW w:w="1134"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sz w:val="20"/>
                <w:szCs w:val="20"/>
                <w:lang w:eastAsia="ru-RU"/>
              </w:rPr>
            </w:pPr>
            <w:r>
              <w:rPr>
                <w:sz w:val="20"/>
                <w:szCs w:val="20"/>
                <w:lang w:eastAsia="ru-RU"/>
              </w:rPr>
              <w:t>водогрейный</w:t>
            </w:r>
          </w:p>
        </w:tc>
        <w:tc>
          <w:tcPr>
            <w:tcW w:w="96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2,56</w:t>
            </w:r>
          </w:p>
        </w:tc>
        <w:tc>
          <w:tcPr>
            <w:tcW w:w="938"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t>5,16</w:t>
            </w:r>
          </w:p>
        </w:tc>
        <w:tc>
          <w:tcPr>
            <w:tcW w:w="984"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176,52</w:t>
            </w:r>
          </w:p>
        </w:tc>
        <w:tc>
          <w:tcPr>
            <w:tcW w:w="610"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81,0</w:t>
            </w:r>
          </w:p>
        </w:tc>
      </w:tr>
      <w:tr>
        <w:trPr>
          <w:trHeight w:val="20" w:hRule="atLeast"/>
        </w:trPr>
        <w:tc>
          <w:tcPr>
            <w:tcW w:w="45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r>
          </w:p>
        </w:tc>
        <w:tc>
          <w:tcPr>
            <w:tcW w:w="160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sz w:val="20"/>
                <w:szCs w:val="20"/>
                <w:lang w:eastAsia="ru-RU"/>
              </w:rPr>
            </w:pPr>
            <w:r>
              <w:rPr>
                <w:sz w:val="20"/>
                <w:szCs w:val="20"/>
                <w:lang w:eastAsia="ru-RU"/>
              </w:rPr>
            </w:r>
          </w:p>
        </w:tc>
        <w:tc>
          <w:tcPr>
            <w:tcW w:w="155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r>
          </w:p>
        </w:tc>
        <w:tc>
          <w:tcPr>
            <w:tcW w:w="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2</w:t>
            </w:r>
          </w:p>
        </w:tc>
        <w:tc>
          <w:tcPr>
            <w:tcW w:w="9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val="en-US" w:eastAsia="ru-RU"/>
              </w:rPr>
            </w:pPr>
            <w:r>
              <w:rPr>
                <w:sz w:val="20"/>
                <w:szCs w:val="20"/>
                <w:lang w:val="en-US" w:eastAsia="ru-RU"/>
              </w:rPr>
              <w:t>ARCUS IGNIS F-2000(</w:t>
            </w:r>
            <w:r>
              <w:rPr>
                <w:sz w:val="20"/>
                <w:szCs w:val="20"/>
                <w:lang w:eastAsia="ru-RU"/>
              </w:rPr>
              <w:t>КВа</w:t>
            </w:r>
            <w:r>
              <w:rPr>
                <w:sz w:val="20"/>
                <w:szCs w:val="20"/>
                <w:lang w:val="en-US" w:eastAsia="ru-RU"/>
              </w:rPr>
              <w:t>-2.0</w:t>
            </w:r>
            <w:r>
              <w:rPr>
                <w:sz w:val="20"/>
                <w:szCs w:val="20"/>
                <w:lang w:eastAsia="ru-RU"/>
              </w:rPr>
              <w:t>ГМ</w:t>
            </w:r>
            <w:r>
              <w:rPr>
                <w:sz w:val="20"/>
                <w:szCs w:val="20"/>
                <w:lang w:val="en-US" w:eastAsia="ru-RU"/>
              </w:rPr>
              <w:t>)</w:t>
            </w:r>
          </w:p>
        </w:tc>
        <w:tc>
          <w:tcPr>
            <w:tcW w:w="1134"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sz w:val="20"/>
                <w:szCs w:val="20"/>
                <w:lang w:eastAsia="ru-RU"/>
              </w:rPr>
            </w:pPr>
            <w:r>
              <w:rPr>
                <w:sz w:val="20"/>
                <w:szCs w:val="20"/>
                <w:lang w:eastAsia="ru-RU"/>
              </w:rPr>
              <w:t>водогрейный</w:t>
            </w:r>
          </w:p>
        </w:tc>
        <w:tc>
          <w:tcPr>
            <w:tcW w:w="96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1,72</w:t>
            </w:r>
          </w:p>
        </w:tc>
        <w:tc>
          <w:tcPr>
            <w:tcW w:w="93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r>
          </w:p>
        </w:tc>
        <w:tc>
          <w:tcPr>
            <w:tcW w:w="984"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r>
          </w:p>
        </w:tc>
        <w:tc>
          <w:tcPr>
            <w:tcW w:w="61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r>
          </w:p>
        </w:tc>
      </w:tr>
      <w:tr>
        <w:trPr>
          <w:trHeight w:val="20" w:hRule="atLeast"/>
        </w:trPr>
        <w:tc>
          <w:tcPr>
            <w:tcW w:w="45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r>
          </w:p>
        </w:tc>
        <w:tc>
          <w:tcPr>
            <w:tcW w:w="160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sz w:val="20"/>
                <w:szCs w:val="20"/>
                <w:lang w:eastAsia="ru-RU"/>
              </w:rPr>
            </w:pPr>
            <w:r>
              <w:rPr>
                <w:sz w:val="20"/>
                <w:szCs w:val="20"/>
                <w:lang w:eastAsia="ru-RU"/>
              </w:rPr>
            </w:r>
          </w:p>
        </w:tc>
        <w:tc>
          <w:tcPr>
            <w:tcW w:w="155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r>
          </w:p>
        </w:tc>
        <w:tc>
          <w:tcPr>
            <w:tcW w:w="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3</w:t>
            </w:r>
          </w:p>
        </w:tc>
        <w:tc>
          <w:tcPr>
            <w:tcW w:w="9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val="en-US" w:eastAsia="ru-RU"/>
              </w:rPr>
            </w:pPr>
            <w:r>
              <w:rPr>
                <w:sz w:val="20"/>
                <w:szCs w:val="20"/>
                <w:lang w:eastAsia="ru-RU"/>
              </w:rPr>
              <w:t>КСВ-1</w:t>
            </w:r>
          </w:p>
        </w:tc>
        <w:tc>
          <w:tcPr>
            <w:tcW w:w="1134"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sz w:val="20"/>
                <w:szCs w:val="20"/>
                <w:lang w:eastAsia="ru-RU"/>
              </w:rPr>
            </w:pPr>
            <w:r>
              <w:rPr>
                <w:sz w:val="20"/>
                <w:szCs w:val="20"/>
                <w:lang w:eastAsia="ru-RU"/>
              </w:rPr>
              <w:t>водогрейный</w:t>
            </w:r>
          </w:p>
        </w:tc>
        <w:tc>
          <w:tcPr>
            <w:tcW w:w="96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0,86</w:t>
            </w:r>
          </w:p>
        </w:tc>
        <w:tc>
          <w:tcPr>
            <w:tcW w:w="93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r>
          </w:p>
        </w:tc>
        <w:tc>
          <w:tcPr>
            <w:tcW w:w="984"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r>
          </w:p>
        </w:tc>
        <w:tc>
          <w:tcPr>
            <w:tcW w:w="61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r>
          </w:p>
        </w:tc>
      </w:tr>
      <w:tr>
        <w:trPr>
          <w:trHeight w:val="20" w:hRule="atLeast"/>
        </w:trPr>
        <w:tc>
          <w:tcPr>
            <w:tcW w:w="456"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t>7</w:t>
            </w:r>
          </w:p>
        </w:tc>
        <w:tc>
          <w:tcPr>
            <w:tcW w:w="160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sz w:val="20"/>
                <w:szCs w:val="20"/>
                <w:lang w:eastAsia="ru-RU"/>
              </w:rPr>
            </w:pPr>
            <w:r>
              <w:rPr>
                <w:sz w:val="20"/>
                <w:szCs w:val="20"/>
                <w:lang w:eastAsia="ru-RU"/>
              </w:rPr>
            </w:r>
          </w:p>
        </w:tc>
        <w:tc>
          <w:tcPr>
            <w:tcW w:w="1553"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t xml:space="preserve">котельная № 8, </w:t>
            </w:r>
          </w:p>
          <w:p>
            <w:pPr>
              <w:pStyle w:val="Normal"/>
              <w:jc w:val="center"/>
              <w:rPr>
                <w:sz w:val="20"/>
                <w:szCs w:val="20"/>
                <w:lang w:eastAsia="ru-RU"/>
              </w:rPr>
            </w:pPr>
            <w:r>
              <w:rPr>
                <w:sz w:val="20"/>
                <w:szCs w:val="20"/>
                <w:lang w:eastAsia="ru-RU"/>
              </w:rPr>
              <w:t>пгт.Октябрьское, ул.50 лет, 38А</w:t>
            </w:r>
          </w:p>
        </w:tc>
        <w:tc>
          <w:tcPr>
            <w:tcW w:w="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w:t>
            </w:r>
          </w:p>
        </w:tc>
        <w:tc>
          <w:tcPr>
            <w:tcW w:w="9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ЗиОСаБ -250М,КВа-0,25 ЛЖ</w:t>
            </w:r>
          </w:p>
        </w:tc>
        <w:tc>
          <w:tcPr>
            <w:tcW w:w="1134"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sz w:val="20"/>
                <w:szCs w:val="20"/>
                <w:lang w:eastAsia="ru-RU"/>
              </w:rPr>
            </w:pPr>
            <w:r>
              <w:rPr>
                <w:sz w:val="20"/>
                <w:szCs w:val="20"/>
                <w:lang w:eastAsia="ru-RU"/>
              </w:rPr>
              <w:t>водогрейный</w:t>
            </w:r>
          </w:p>
        </w:tc>
        <w:tc>
          <w:tcPr>
            <w:tcW w:w="96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0,215</w:t>
            </w:r>
          </w:p>
        </w:tc>
        <w:tc>
          <w:tcPr>
            <w:tcW w:w="938"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t>0,43</w:t>
            </w:r>
          </w:p>
        </w:tc>
        <w:tc>
          <w:tcPr>
            <w:tcW w:w="984"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176,52</w:t>
            </w:r>
          </w:p>
        </w:tc>
        <w:tc>
          <w:tcPr>
            <w:tcW w:w="610"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81,0</w:t>
            </w:r>
          </w:p>
        </w:tc>
      </w:tr>
      <w:tr>
        <w:trPr>
          <w:trHeight w:val="20" w:hRule="atLeast"/>
        </w:trPr>
        <w:tc>
          <w:tcPr>
            <w:tcW w:w="45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r>
          </w:p>
        </w:tc>
        <w:tc>
          <w:tcPr>
            <w:tcW w:w="160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sz w:val="20"/>
                <w:szCs w:val="20"/>
                <w:lang w:eastAsia="ru-RU"/>
              </w:rPr>
            </w:pPr>
            <w:r>
              <w:rPr>
                <w:sz w:val="20"/>
                <w:szCs w:val="20"/>
                <w:lang w:eastAsia="ru-RU"/>
              </w:rPr>
            </w:r>
          </w:p>
        </w:tc>
        <w:tc>
          <w:tcPr>
            <w:tcW w:w="155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sz w:val="20"/>
                <w:szCs w:val="20"/>
                <w:lang w:eastAsia="ru-RU"/>
              </w:rPr>
            </w:pPr>
            <w:r>
              <w:rPr>
                <w:sz w:val="20"/>
                <w:szCs w:val="20"/>
                <w:lang w:eastAsia="ru-RU"/>
              </w:rPr>
            </w:r>
          </w:p>
        </w:tc>
        <w:tc>
          <w:tcPr>
            <w:tcW w:w="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2</w:t>
            </w:r>
          </w:p>
        </w:tc>
        <w:tc>
          <w:tcPr>
            <w:tcW w:w="9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ЗиОСаБ -250М,КВа-0,25 ЛЖ</w:t>
            </w:r>
          </w:p>
        </w:tc>
        <w:tc>
          <w:tcPr>
            <w:tcW w:w="1134"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sz w:val="20"/>
                <w:szCs w:val="20"/>
                <w:lang w:eastAsia="ru-RU"/>
              </w:rPr>
            </w:pPr>
            <w:r>
              <w:rPr>
                <w:sz w:val="20"/>
                <w:szCs w:val="20"/>
                <w:lang w:eastAsia="ru-RU"/>
              </w:rPr>
              <w:t>водогрейный</w:t>
            </w:r>
          </w:p>
        </w:tc>
        <w:tc>
          <w:tcPr>
            <w:tcW w:w="96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0,215</w:t>
            </w:r>
          </w:p>
        </w:tc>
        <w:tc>
          <w:tcPr>
            <w:tcW w:w="93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sz w:val="20"/>
                <w:szCs w:val="20"/>
                <w:lang w:eastAsia="ru-RU"/>
              </w:rPr>
            </w:pPr>
            <w:r>
              <w:rPr>
                <w:sz w:val="20"/>
                <w:szCs w:val="20"/>
                <w:lang w:eastAsia="ru-RU"/>
              </w:rPr>
            </w:r>
          </w:p>
        </w:tc>
        <w:tc>
          <w:tcPr>
            <w:tcW w:w="984"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r>
          </w:p>
        </w:tc>
        <w:tc>
          <w:tcPr>
            <w:tcW w:w="61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r>
          </w:p>
        </w:tc>
      </w:tr>
    </w:tbl>
    <w:p>
      <w:pPr>
        <w:pStyle w:val="Normal"/>
        <w:jc w:val="right"/>
        <w:rPr>
          <w:rFonts w:eastAsia="Calibri" w:cs="Calibri"/>
          <w:iCs/>
          <w:szCs w:val="18"/>
          <w:lang w:eastAsia="en-US"/>
        </w:rPr>
      </w:pPr>
      <w:r>
        <w:rPr>
          <w:rFonts w:eastAsia="Calibri" w:cs="Calibri"/>
          <w:iCs/>
          <w:szCs w:val="18"/>
          <w:lang w:eastAsia="en-US"/>
        </w:rPr>
      </w:r>
    </w:p>
    <w:p>
      <w:pPr>
        <w:pStyle w:val="Normal"/>
        <w:jc w:val="right"/>
        <w:rPr>
          <w:rFonts w:eastAsia="Calibri" w:cs="Calibri"/>
          <w:iCs/>
          <w:szCs w:val="18"/>
          <w:lang w:eastAsia="en-US"/>
        </w:rPr>
      </w:pPr>
      <w:r>
        <w:rPr>
          <w:rFonts w:eastAsia="Calibri" w:cs="Calibri"/>
          <w:iCs/>
          <w:szCs w:val="18"/>
          <w:lang w:eastAsia="en-US"/>
        </w:rPr>
      </w:r>
    </w:p>
    <w:p>
      <w:pPr>
        <w:pStyle w:val="Normal"/>
        <w:jc w:val="right"/>
        <w:rPr>
          <w:rFonts w:eastAsia="Calibri" w:cs="Calibri"/>
          <w:iCs/>
          <w:szCs w:val="18"/>
          <w:lang w:eastAsia="en-US"/>
        </w:rPr>
      </w:pPr>
      <w:r>
        <w:rPr>
          <w:rFonts w:eastAsia="Calibri" w:cs="Calibri"/>
          <w:iCs/>
          <w:szCs w:val="18"/>
          <w:lang w:eastAsia="en-US"/>
        </w:rPr>
      </w:r>
    </w:p>
    <w:p>
      <w:pPr>
        <w:pStyle w:val="Normal"/>
        <w:spacing w:lineRule="auto" w:line="360"/>
        <w:ind w:firstLine="567"/>
        <w:jc w:val="both"/>
        <w:rPr>
          <w:rFonts w:ascii="Arial" w:hAnsi="Arial" w:cs="Arial"/>
          <w:lang w:eastAsia="ru-RU"/>
        </w:rPr>
      </w:pPr>
      <w:r>
        <w:rPr>
          <w:rFonts w:cs="Arial" w:ascii="Arial" w:hAnsi="Arial"/>
          <w:lang w:eastAsia="ru-RU"/>
        </w:rPr>
      </w:r>
      <w:bookmarkStart w:id="531" w:name="_Hlk26186745"/>
      <w:bookmarkStart w:id="532" w:name="_Hlk20403889"/>
      <w:bookmarkStart w:id="533" w:name="_Hlk25229690"/>
      <w:bookmarkStart w:id="534" w:name="sub_1281"/>
      <w:bookmarkStart w:id="535" w:name="_Hlk26186745"/>
      <w:bookmarkStart w:id="536" w:name="_Hlk20403889"/>
      <w:bookmarkStart w:id="537" w:name="_Hlk25229690"/>
      <w:bookmarkStart w:id="538" w:name="sub_1281"/>
      <w:bookmarkEnd w:id="535"/>
      <w:bookmarkEnd w:id="536"/>
      <w:bookmarkEnd w:id="537"/>
      <w:bookmarkEnd w:id="538"/>
    </w:p>
    <w:p>
      <w:pPr>
        <w:pStyle w:val="Normal"/>
        <w:keepNext w:val="true"/>
        <w:keepLines/>
        <w:numPr>
          <w:ilvl w:val="0"/>
          <w:numId w:val="0"/>
        </w:numPr>
        <w:ind w:left="0" w:firstLine="709"/>
        <w:jc w:val="both"/>
        <w:outlineLvl w:val="2"/>
        <w:rPr>
          <w:rFonts w:eastAsia="Calibri Light" w:cs="Calibri Light"/>
          <w:b/>
          <w:b/>
          <w:lang w:eastAsia="en-US"/>
        </w:rPr>
      </w:pPr>
      <w:bookmarkStart w:id="539" w:name="_Toc181340349"/>
      <w:r>
        <w:rPr>
          <w:rFonts w:eastAsia="Calibri Light" w:cs="Calibri Light"/>
          <w:b/>
          <w:lang w:eastAsia="en-US"/>
        </w:rPr>
        <w:t>1.2.2. Параметры установленной тепловой мощности источника тепловой энергии, в том числе теплофикационного оборудования и теплофикационной установки</w:t>
      </w:r>
      <w:bookmarkEnd w:id="539"/>
    </w:p>
    <w:p>
      <w:pPr>
        <w:pStyle w:val="Normal"/>
        <w:ind w:firstLine="709"/>
        <w:jc w:val="both"/>
        <w:rPr>
          <w:rFonts w:eastAsia="Calibri" w:cs="Calibri"/>
          <w:szCs w:val="22"/>
          <w:lang w:eastAsia="en-US"/>
        </w:rPr>
      </w:pPr>
      <w:r>
        <w:rPr>
          <w:rFonts w:eastAsia="Calibri" w:cs="Calibri"/>
          <w:szCs w:val="22"/>
          <w:lang w:eastAsia="en-US"/>
        </w:rPr>
        <w:t>Установленная тепловая мощность, ограничения тепловой мощности, располагаемая тепловая мощность котельных приведены в таблице 2.</w:t>
      </w:r>
    </w:p>
    <w:p>
      <w:pPr>
        <w:pStyle w:val="Normal"/>
        <w:jc w:val="right"/>
        <w:rPr>
          <w:rFonts w:eastAsia="Calibri" w:cs="Calibri"/>
          <w:szCs w:val="22"/>
          <w:lang w:eastAsia="en-US"/>
        </w:rPr>
      </w:pPr>
      <w:bookmarkStart w:id="540" w:name="_Ref32241576"/>
      <w:bookmarkStart w:id="541" w:name="_Ref34055014"/>
      <w:r>
        <w:rPr>
          <w:rFonts w:eastAsia="Calibri" w:cs="Calibri"/>
          <w:szCs w:val="22"/>
          <w:lang w:eastAsia="en-US"/>
        </w:rPr>
        <w:t xml:space="preserve">Таблица </w:t>
      </w:r>
      <w:bookmarkEnd w:id="540"/>
      <w:bookmarkEnd w:id="541"/>
      <w:r>
        <w:rPr>
          <w:rFonts w:eastAsia="Calibri" w:cs="Calibri"/>
          <w:szCs w:val="22"/>
          <w:lang w:eastAsia="en-US"/>
        </w:rPr>
        <w:t>2 – Установленная тепловая мощность, ограничения тепловой мощности, располагаемая тепловая мощность котельных в зоне деятельности теплоснабжающей организации, Гкал/ч</w:t>
      </w:r>
    </w:p>
    <w:tbl>
      <w:tblPr>
        <w:tblW w:w="5000" w:type="pct"/>
        <w:jc w:val="left"/>
        <w:tblInd w:w="0" w:type="dxa"/>
        <w:tblCellMar>
          <w:top w:w="0" w:type="dxa"/>
          <w:left w:w="5" w:type="dxa"/>
          <w:bottom w:w="0" w:type="dxa"/>
          <w:right w:w="5" w:type="dxa"/>
        </w:tblCellMar>
        <w:tblLook w:val="04a0" w:noVBand="1" w:noHBand="0" w:lastColumn="0" w:firstColumn="1" w:lastRow="0" w:firstRow="1"/>
      </w:tblPr>
      <w:tblGrid>
        <w:gridCol w:w="558"/>
        <w:gridCol w:w="1995"/>
        <w:gridCol w:w="1563"/>
        <w:gridCol w:w="1544"/>
        <w:gridCol w:w="1572"/>
        <w:gridCol w:w="1040"/>
        <w:gridCol w:w="1365"/>
      </w:tblGrid>
      <w:tr>
        <w:trPr>
          <w:tblHeader w:val="true"/>
        </w:trPr>
        <w:tc>
          <w:tcPr>
            <w:tcW w:w="5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xml:space="preserve">№ </w:t>
            </w:r>
            <w:r>
              <w:rPr>
                <w:sz w:val="20"/>
                <w:szCs w:val="20"/>
                <w:lang w:eastAsia="ru-RU"/>
              </w:rPr>
              <w:t>п/п</w:t>
            </w:r>
          </w:p>
        </w:tc>
        <w:tc>
          <w:tcPr>
            <w:tcW w:w="1995" w:type="dxa"/>
            <w:tcBorders>
              <w:top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Наименование и адрес котельной</w:t>
            </w:r>
          </w:p>
        </w:tc>
        <w:tc>
          <w:tcPr>
            <w:tcW w:w="1563" w:type="dxa"/>
            <w:tcBorders>
              <w:top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Установленная мощность, Гкал/ч</w:t>
            </w:r>
          </w:p>
        </w:tc>
        <w:tc>
          <w:tcPr>
            <w:tcW w:w="1544" w:type="dxa"/>
            <w:tcBorders>
              <w:top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Ограничения установленной тепловой мощности, Гкал/ч</w:t>
            </w:r>
          </w:p>
        </w:tc>
        <w:tc>
          <w:tcPr>
            <w:tcW w:w="1572" w:type="dxa"/>
            <w:tcBorders>
              <w:top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Располагаемая, Гкал/ч</w:t>
            </w:r>
          </w:p>
        </w:tc>
        <w:tc>
          <w:tcPr>
            <w:tcW w:w="1040" w:type="dxa"/>
            <w:tcBorders>
              <w:top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Тепловая мощность нетто, Гкал/ч</w:t>
            </w:r>
          </w:p>
        </w:tc>
        <w:tc>
          <w:tcPr>
            <w:tcW w:w="1365" w:type="dxa"/>
            <w:tcBorders>
              <w:top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Собственные нужды, Гкал/ч</w:t>
            </w:r>
          </w:p>
        </w:tc>
      </w:tr>
      <w:tr>
        <w:trPr/>
        <w:tc>
          <w:tcPr>
            <w:tcW w:w="558" w:type="dxa"/>
            <w:tcBorders>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r>
          </w:p>
        </w:tc>
        <w:tc>
          <w:tcPr>
            <w:tcW w:w="9079" w:type="dxa"/>
            <w:gridSpan w:val="6"/>
            <w:tcBorders>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городское поселение Октябрьское</w:t>
            </w:r>
          </w:p>
        </w:tc>
      </w:tr>
      <w:tr>
        <w:trPr/>
        <w:tc>
          <w:tcPr>
            <w:tcW w:w="558" w:type="dxa"/>
            <w:tcBorders>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w:t>
            </w:r>
          </w:p>
        </w:tc>
        <w:tc>
          <w:tcPr>
            <w:tcW w:w="1995" w:type="dxa"/>
            <w:tcBorders>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xml:space="preserve">котельная № 1, </w:t>
            </w:r>
          </w:p>
          <w:p>
            <w:pPr>
              <w:pStyle w:val="Normal"/>
              <w:jc w:val="center"/>
              <w:rPr>
                <w:sz w:val="20"/>
                <w:szCs w:val="20"/>
                <w:lang w:eastAsia="ru-RU"/>
              </w:rPr>
            </w:pPr>
            <w:r>
              <w:rPr>
                <w:sz w:val="20"/>
                <w:szCs w:val="20"/>
                <w:lang w:eastAsia="ru-RU"/>
              </w:rPr>
              <w:t>пгт.Октябрьское, ул.Сенькина, 46б</w:t>
            </w:r>
          </w:p>
        </w:tc>
        <w:tc>
          <w:tcPr>
            <w:tcW w:w="1563" w:type="dxa"/>
            <w:tcBorders>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10,32</w:t>
            </w:r>
          </w:p>
        </w:tc>
        <w:tc>
          <w:tcPr>
            <w:tcW w:w="1544" w:type="dxa"/>
            <w:tcBorders>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val="en-US" w:eastAsia="ru-RU"/>
              </w:rPr>
              <w:t>0</w:t>
            </w:r>
            <w:r>
              <w:rPr>
                <w:sz w:val="20"/>
                <w:szCs w:val="20"/>
                <w:lang w:eastAsia="ru-RU"/>
              </w:rPr>
              <w:t>,0</w:t>
            </w:r>
          </w:p>
        </w:tc>
        <w:tc>
          <w:tcPr>
            <w:tcW w:w="1572"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10,32</w:t>
            </w:r>
          </w:p>
        </w:tc>
        <w:tc>
          <w:tcPr>
            <w:tcW w:w="1040"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0,232</w:t>
            </w:r>
          </w:p>
        </w:tc>
        <w:tc>
          <w:tcPr>
            <w:tcW w:w="1365"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10,09</w:t>
            </w:r>
          </w:p>
        </w:tc>
      </w:tr>
      <w:tr>
        <w:trPr/>
        <w:tc>
          <w:tcPr>
            <w:tcW w:w="558" w:type="dxa"/>
            <w:tcBorders>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2</w:t>
            </w:r>
          </w:p>
        </w:tc>
        <w:tc>
          <w:tcPr>
            <w:tcW w:w="1995" w:type="dxa"/>
            <w:tcBorders>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xml:space="preserve">котельная № 2, </w:t>
            </w:r>
          </w:p>
          <w:p>
            <w:pPr>
              <w:pStyle w:val="Normal"/>
              <w:jc w:val="center"/>
              <w:rPr>
                <w:sz w:val="20"/>
                <w:szCs w:val="20"/>
                <w:lang w:eastAsia="ru-RU"/>
              </w:rPr>
            </w:pPr>
            <w:r>
              <w:rPr>
                <w:sz w:val="20"/>
                <w:szCs w:val="20"/>
                <w:lang w:eastAsia="ru-RU"/>
              </w:rPr>
              <w:t>пгт.Октябрьское, ул.Пионерская, 17б</w:t>
            </w:r>
          </w:p>
        </w:tc>
        <w:tc>
          <w:tcPr>
            <w:tcW w:w="1563" w:type="dxa"/>
            <w:tcBorders>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7,12</w:t>
            </w:r>
          </w:p>
        </w:tc>
        <w:tc>
          <w:tcPr>
            <w:tcW w:w="1544" w:type="dxa"/>
            <w:tcBorders>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val="en-US" w:eastAsia="ru-RU"/>
              </w:rPr>
              <w:t>0</w:t>
            </w:r>
            <w:r>
              <w:rPr>
                <w:sz w:val="20"/>
                <w:szCs w:val="20"/>
                <w:lang w:eastAsia="ru-RU"/>
              </w:rPr>
              <w:t>,0</w:t>
            </w:r>
          </w:p>
        </w:tc>
        <w:tc>
          <w:tcPr>
            <w:tcW w:w="1572"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7,12</w:t>
            </w:r>
          </w:p>
        </w:tc>
        <w:tc>
          <w:tcPr>
            <w:tcW w:w="1040"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0,156</w:t>
            </w:r>
          </w:p>
        </w:tc>
        <w:tc>
          <w:tcPr>
            <w:tcW w:w="1365"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6,96</w:t>
            </w:r>
          </w:p>
        </w:tc>
      </w:tr>
      <w:tr>
        <w:trPr/>
        <w:tc>
          <w:tcPr>
            <w:tcW w:w="558" w:type="dxa"/>
            <w:tcBorders>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3</w:t>
            </w:r>
          </w:p>
        </w:tc>
        <w:tc>
          <w:tcPr>
            <w:tcW w:w="1995" w:type="dxa"/>
            <w:tcBorders>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xml:space="preserve">котельная № 3, </w:t>
            </w:r>
          </w:p>
          <w:p>
            <w:pPr>
              <w:pStyle w:val="Normal"/>
              <w:jc w:val="center"/>
              <w:rPr>
                <w:sz w:val="20"/>
                <w:szCs w:val="20"/>
                <w:lang w:eastAsia="ru-RU"/>
              </w:rPr>
            </w:pPr>
            <w:r>
              <w:rPr>
                <w:sz w:val="20"/>
                <w:szCs w:val="20"/>
                <w:lang w:eastAsia="ru-RU"/>
              </w:rPr>
              <w:t>пгт.Октябрьское, ул.Чапаева, 6б</w:t>
            </w:r>
          </w:p>
        </w:tc>
        <w:tc>
          <w:tcPr>
            <w:tcW w:w="1563" w:type="dxa"/>
            <w:tcBorders>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5,32</w:t>
            </w:r>
          </w:p>
        </w:tc>
        <w:tc>
          <w:tcPr>
            <w:tcW w:w="1544" w:type="dxa"/>
            <w:tcBorders>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val="en-US" w:eastAsia="ru-RU"/>
              </w:rPr>
              <w:t>0</w:t>
            </w:r>
            <w:r>
              <w:rPr>
                <w:sz w:val="20"/>
                <w:szCs w:val="20"/>
                <w:lang w:eastAsia="ru-RU"/>
              </w:rPr>
              <w:t>,0</w:t>
            </w:r>
          </w:p>
        </w:tc>
        <w:tc>
          <w:tcPr>
            <w:tcW w:w="1572"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lang w:eastAsia="ru-RU"/>
              </w:rPr>
              <w:t>5,32</w:t>
            </w:r>
          </w:p>
        </w:tc>
        <w:tc>
          <w:tcPr>
            <w:tcW w:w="1040"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lang w:eastAsia="ru-RU"/>
              </w:rPr>
              <w:t>0,060</w:t>
            </w:r>
          </w:p>
        </w:tc>
        <w:tc>
          <w:tcPr>
            <w:tcW w:w="1365"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lang w:eastAsia="ru-RU"/>
              </w:rPr>
              <w:t>5,26</w:t>
            </w:r>
          </w:p>
        </w:tc>
      </w:tr>
      <w:tr>
        <w:trPr/>
        <w:tc>
          <w:tcPr>
            <w:tcW w:w="558" w:type="dxa"/>
            <w:tcBorders>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4</w:t>
            </w:r>
          </w:p>
        </w:tc>
        <w:tc>
          <w:tcPr>
            <w:tcW w:w="1995" w:type="dxa"/>
            <w:tcBorders>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xml:space="preserve">котельная № 6, </w:t>
            </w:r>
          </w:p>
          <w:p>
            <w:pPr>
              <w:pStyle w:val="Normal"/>
              <w:jc w:val="center"/>
              <w:rPr>
                <w:sz w:val="20"/>
                <w:szCs w:val="20"/>
                <w:lang w:eastAsia="ru-RU"/>
              </w:rPr>
            </w:pPr>
            <w:r>
              <w:rPr>
                <w:sz w:val="20"/>
                <w:szCs w:val="20"/>
                <w:lang w:eastAsia="ru-RU"/>
              </w:rPr>
              <w:t>пгт.Октябрьское, ул.Дзержинского, 2б</w:t>
            </w:r>
          </w:p>
        </w:tc>
        <w:tc>
          <w:tcPr>
            <w:tcW w:w="1563" w:type="dxa"/>
            <w:tcBorders>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5,4</w:t>
            </w:r>
          </w:p>
        </w:tc>
        <w:tc>
          <w:tcPr>
            <w:tcW w:w="1544" w:type="dxa"/>
            <w:tcBorders>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val="en-US" w:eastAsia="ru-RU"/>
              </w:rPr>
              <w:t>0</w:t>
            </w:r>
            <w:r>
              <w:rPr>
                <w:sz w:val="20"/>
                <w:szCs w:val="20"/>
                <w:lang w:eastAsia="ru-RU"/>
              </w:rPr>
              <w:t>,0</w:t>
            </w:r>
          </w:p>
        </w:tc>
        <w:tc>
          <w:tcPr>
            <w:tcW w:w="1572"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5,4</w:t>
            </w:r>
          </w:p>
        </w:tc>
        <w:tc>
          <w:tcPr>
            <w:tcW w:w="1040"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0,090</w:t>
            </w:r>
          </w:p>
        </w:tc>
        <w:tc>
          <w:tcPr>
            <w:tcW w:w="1365"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5,31</w:t>
            </w:r>
          </w:p>
        </w:tc>
      </w:tr>
      <w:tr>
        <w:trPr/>
        <w:tc>
          <w:tcPr>
            <w:tcW w:w="558" w:type="dxa"/>
            <w:tcBorders>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5</w:t>
            </w:r>
          </w:p>
        </w:tc>
        <w:tc>
          <w:tcPr>
            <w:tcW w:w="1995" w:type="dxa"/>
            <w:tcBorders>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котельная № 7,</w:t>
            </w:r>
          </w:p>
          <w:p>
            <w:pPr>
              <w:pStyle w:val="Normal"/>
              <w:jc w:val="center"/>
              <w:rPr>
                <w:sz w:val="20"/>
                <w:szCs w:val="20"/>
                <w:lang w:eastAsia="ru-RU"/>
              </w:rPr>
            </w:pPr>
            <w:r>
              <w:rPr>
                <w:sz w:val="20"/>
                <w:szCs w:val="20"/>
                <w:lang w:eastAsia="ru-RU"/>
              </w:rPr>
              <w:t>пгт.Октябрьское, ул.Медицинская, 3Б</w:t>
            </w:r>
          </w:p>
        </w:tc>
        <w:tc>
          <w:tcPr>
            <w:tcW w:w="1563" w:type="dxa"/>
            <w:tcBorders>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5,16</w:t>
            </w:r>
          </w:p>
        </w:tc>
        <w:tc>
          <w:tcPr>
            <w:tcW w:w="1544" w:type="dxa"/>
            <w:tcBorders>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val="en-US" w:eastAsia="ru-RU"/>
              </w:rPr>
              <w:t>0</w:t>
            </w:r>
            <w:r>
              <w:rPr>
                <w:sz w:val="20"/>
                <w:szCs w:val="20"/>
                <w:lang w:eastAsia="ru-RU"/>
              </w:rPr>
              <w:t>,0</w:t>
            </w:r>
          </w:p>
        </w:tc>
        <w:tc>
          <w:tcPr>
            <w:tcW w:w="1572"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5,16</w:t>
            </w:r>
          </w:p>
        </w:tc>
        <w:tc>
          <w:tcPr>
            <w:tcW w:w="1040"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0,110</w:t>
            </w:r>
          </w:p>
        </w:tc>
        <w:tc>
          <w:tcPr>
            <w:tcW w:w="1365"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5,05</w:t>
            </w:r>
          </w:p>
        </w:tc>
      </w:tr>
      <w:tr>
        <w:trPr/>
        <w:tc>
          <w:tcPr>
            <w:tcW w:w="558" w:type="dxa"/>
            <w:tcBorders>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6</w:t>
            </w:r>
          </w:p>
        </w:tc>
        <w:tc>
          <w:tcPr>
            <w:tcW w:w="1995" w:type="dxa"/>
            <w:tcBorders>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xml:space="preserve">котельная № 12, </w:t>
            </w:r>
          </w:p>
          <w:p>
            <w:pPr>
              <w:pStyle w:val="Normal"/>
              <w:jc w:val="center"/>
              <w:rPr>
                <w:sz w:val="20"/>
                <w:szCs w:val="20"/>
                <w:lang w:eastAsia="ru-RU"/>
              </w:rPr>
            </w:pPr>
            <w:r>
              <w:rPr>
                <w:sz w:val="20"/>
                <w:szCs w:val="20"/>
                <w:lang w:eastAsia="ru-RU"/>
              </w:rPr>
              <w:t>пгт.Октябрьское, ул.Медицинская, 3к</w:t>
            </w:r>
          </w:p>
        </w:tc>
        <w:tc>
          <w:tcPr>
            <w:tcW w:w="1563" w:type="dxa"/>
            <w:tcBorders>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5,16</w:t>
            </w:r>
          </w:p>
        </w:tc>
        <w:tc>
          <w:tcPr>
            <w:tcW w:w="1544" w:type="dxa"/>
            <w:tcBorders>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val="en-US" w:eastAsia="ru-RU"/>
              </w:rPr>
              <w:t>0</w:t>
            </w:r>
            <w:r>
              <w:rPr>
                <w:sz w:val="20"/>
                <w:szCs w:val="20"/>
                <w:lang w:eastAsia="ru-RU"/>
              </w:rPr>
              <w:t>,0</w:t>
            </w:r>
          </w:p>
        </w:tc>
        <w:tc>
          <w:tcPr>
            <w:tcW w:w="1572"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5,16</w:t>
            </w:r>
          </w:p>
        </w:tc>
        <w:tc>
          <w:tcPr>
            <w:tcW w:w="1040"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0,045</w:t>
            </w:r>
          </w:p>
        </w:tc>
        <w:tc>
          <w:tcPr>
            <w:tcW w:w="1365"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5,11</w:t>
            </w:r>
          </w:p>
        </w:tc>
      </w:tr>
      <w:tr>
        <w:trPr/>
        <w:tc>
          <w:tcPr>
            <w:tcW w:w="558" w:type="dxa"/>
            <w:tcBorders>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7</w:t>
            </w:r>
          </w:p>
        </w:tc>
        <w:tc>
          <w:tcPr>
            <w:tcW w:w="1995" w:type="dxa"/>
            <w:tcBorders>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xml:space="preserve">котельная № 8, </w:t>
            </w:r>
          </w:p>
          <w:p>
            <w:pPr>
              <w:pStyle w:val="Normal"/>
              <w:jc w:val="center"/>
              <w:rPr>
                <w:sz w:val="20"/>
                <w:szCs w:val="20"/>
                <w:lang w:eastAsia="ru-RU"/>
              </w:rPr>
            </w:pPr>
            <w:r>
              <w:rPr>
                <w:sz w:val="20"/>
                <w:szCs w:val="20"/>
                <w:lang w:eastAsia="ru-RU"/>
              </w:rPr>
              <w:t xml:space="preserve">пгт.Октябрьское, </w:t>
            </w:r>
          </w:p>
          <w:p>
            <w:pPr>
              <w:pStyle w:val="Normal"/>
              <w:jc w:val="center"/>
              <w:rPr>
                <w:sz w:val="20"/>
                <w:szCs w:val="20"/>
                <w:lang w:eastAsia="ru-RU"/>
              </w:rPr>
            </w:pPr>
            <w:r>
              <w:rPr>
                <w:sz w:val="20"/>
                <w:szCs w:val="20"/>
                <w:lang w:eastAsia="ru-RU"/>
              </w:rPr>
              <w:t>ул.50 лет, 38А</w:t>
            </w:r>
          </w:p>
        </w:tc>
        <w:tc>
          <w:tcPr>
            <w:tcW w:w="1563" w:type="dxa"/>
            <w:tcBorders>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0,43</w:t>
            </w:r>
          </w:p>
        </w:tc>
        <w:tc>
          <w:tcPr>
            <w:tcW w:w="1544" w:type="dxa"/>
            <w:tcBorders>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val="en-US" w:eastAsia="ru-RU"/>
              </w:rPr>
              <w:t>0</w:t>
            </w:r>
            <w:r>
              <w:rPr>
                <w:sz w:val="20"/>
                <w:szCs w:val="20"/>
                <w:lang w:eastAsia="ru-RU"/>
              </w:rPr>
              <w:t>,0</w:t>
            </w:r>
          </w:p>
        </w:tc>
        <w:tc>
          <w:tcPr>
            <w:tcW w:w="1572"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0,43</w:t>
            </w:r>
          </w:p>
        </w:tc>
        <w:tc>
          <w:tcPr>
            <w:tcW w:w="1040"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0,004</w:t>
            </w:r>
          </w:p>
        </w:tc>
        <w:tc>
          <w:tcPr>
            <w:tcW w:w="1365"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0,43</w:t>
            </w:r>
          </w:p>
        </w:tc>
      </w:tr>
    </w:tbl>
    <w:p>
      <w:pPr>
        <w:pStyle w:val="Normal"/>
        <w:rPr>
          <w:lang w:eastAsia="ar-SA" w:bidi="en-US"/>
        </w:rPr>
      </w:pPr>
      <w:r>
        <w:rPr>
          <w:lang w:eastAsia="ar-SA" w:bidi="en-US"/>
        </w:rPr>
      </w:r>
    </w:p>
    <w:p>
      <w:pPr>
        <w:pStyle w:val="Normal"/>
        <w:keepNext w:val="true"/>
        <w:keepLines/>
        <w:numPr>
          <w:ilvl w:val="0"/>
          <w:numId w:val="0"/>
        </w:numPr>
        <w:ind w:left="0" w:firstLine="709"/>
        <w:jc w:val="both"/>
        <w:outlineLvl w:val="2"/>
        <w:rPr>
          <w:rFonts w:eastAsia="Calibri Light" w:cs="Calibri Light"/>
          <w:b/>
          <w:b/>
          <w:i/>
          <w:i/>
          <w:lang w:eastAsia="en-US"/>
        </w:rPr>
      </w:pPr>
      <w:bookmarkStart w:id="542" w:name="_Toc181340350"/>
      <w:r>
        <w:rPr>
          <w:rFonts w:eastAsia="Calibri Light" w:cs="Calibri Light"/>
          <w:b/>
          <w:lang w:eastAsia="en-US"/>
        </w:rPr>
        <w:t>1.2.3. Ограничения тепловой мощности и параметров располагаемой тепловой мощности</w:t>
      </w:r>
      <w:bookmarkEnd w:id="542"/>
    </w:p>
    <w:p>
      <w:pPr>
        <w:pStyle w:val="Normal"/>
        <w:ind w:firstLine="709"/>
        <w:jc w:val="both"/>
        <w:rPr>
          <w:rFonts w:eastAsia="Calibri" w:cs="Calibri"/>
          <w:szCs w:val="22"/>
          <w:lang w:eastAsia="en-US"/>
        </w:rPr>
      </w:pPr>
      <w:r>
        <w:rPr>
          <w:rFonts w:eastAsia="Calibri" w:cs="Calibri"/>
          <w:szCs w:val="22"/>
          <w:lang w:eastAsia="en-US"/>
        </w:rPr>
        <w:t>Сводный перечень теплоисточников с указанием ограничений тепловой мощности, параметров располагаемой тепловой мощности представлен в таблице 2.</w:t>
      </w:r>
      <w:bookmarkStart w:id="543" w:name="_Hlk160708878"/>
      <w:bookmarkEnd w:id="543"/>
    </w:p>
    <w:p>
      <w:pPr>
        <w:pStyle w:val="Normal"/>
        <w:keepNext w:val="true"/>
        <w:keepLines/>
        <w:numPr>
          <w:ilvl w:val="0"/>
          <w:numId w:val="0"/>
        </w:numPr>
        <w:ind w:left="0" w:firstLine="709"/>
        <w:jc w:val="both"/>
        <w:outlineLvl w:val="2"/>
        <w:rPr>
          <w:rFonts w:eastAsia="Calibri Light" w:cs="Calibri Light"/>
          <w:b/>
          <w:b/>
          <w:lang w:eastAsia="en-US"/>
        </w:rPr>
      </w:pPr>
      <w:bookmarkStart w:id="544" w:name="_Toc181340351"/>
      <w:bookmarkStart w:id="545" w:name="_Toc160529884"/>
      <w:bookmarkStart w:id="546" w:name="_Toc535409480"/>
      <w:r>
        <w:rPr>
          <w:rFonts w:eastAsia="Calibri Light" w:cs="Calibri Light"/>
          <w:b/>
          <w:lang w:eastAsia="en-US"/>
        </w:rPr>
        <w:t>1.2.4. Объем потребления тепловой энергии (мощности) на собственные и хозяйственные нужды теплоснабжающей организации в отношении источников тепловой энергии и параметры тепловой мощности нетто</w:t>
      </w:r>
      <w:bookmarkEnd w:id="544"/>
      <w:bookmarkEnd w:id="545"/>
      <w:bookmarkEnd w:id="546"/>
    </w:p>
    <w:p>
      <w:pPr>
        <w:pStyle w:val="Normal"/>
        <w:ind w:firstLine="709"/>
        <w:jc w:val="both"/>
        <w:rPr>
          <w:rFonts w:eastAsia="Calibri" w:cs="Calibri"/>
          <w:szCs w:val="22"/>
          <w:lang w:eastAsia="en-US"/>
        </w:rPr>
      </w:pPr>
      <w:r>
        <w:rPr>
          <w:rFonts w:eastAsia="Calibri" w:cs="Calibri"/>
          <w:szCs w:val="22"/>
          <w:lang w:eastAsia="en-US"/>
        </w:rPr>
        <w:t xml:space="preserve">Информация о собственных нуждах котельных определена на основе анализа отчетных данных представленных ТСО. </w:t>
      </w:r>
    </w:p>
    <w:p>
      <w:pPr>
        <w:pStyle w:val="Normal"/>
        <w:ind w:firstLine="709"/>
        <w:jc w:val="both"/>
        <w:rPr>
          <w:rFonts w:eastAsia="Calibri" w:cs="Calibri"/>
          <w:szCs w:val="22"/>
          <w:lang w:eastAsia="en-US"/>
        </w:rPr>
      </w:pPr>
      <w:r>
        <w:rPr>
          <w:rFonts w:eastAsia="Calibri" w:cs="Calibri"/>
          <w:szCs w:val="22"/>
          <w:lang w:eastAsia="en-US"/>
        </w:rPr>
        <w:t>Выработка, отпуск тепловой энергии и расход условного топлива по источникам приведены в таблице 3.</w:t>
      </w:r>
      <w:bookmarkStart w:id="547" w:name="_Hlk160708885"/>
      <w:bookmarkEnd w:id="547"/>
    </w:p>
    <w:p>
      <w:pPr>
        <w:pStyle w:val="Normal"/>
        <w:jc w:val="right"/>
        <w:rPr>
          <w:rFonts w:eastAsia="Calibri" w:cs="Calibri"/>
          <w:szCs w:val="22"/>
          <w:lang w:eastAsia="en-US"/>
        </w:rPr>
      </w:pPr>
      <w:bookmarkStart w:id="548" w:name="_Ref32247983"/>
      <w:r>
        <w:rPr>
          <w:rFonts w:eastAsia="Calibri" w:cs="Calibri"/>
          <w:szCs w:val="22"/>
          <w:lang w:eastAsia="en-US"/>
        </w:rPr>
        <w:t xml:space="preserve">Таблица </w:t>
      </w:r>
      <w:bookmarkEnd w:id="548"/>
      <w:r>
        <w:rPr>
          <w:rFonts w:eastAsia="Calibri" w:cs="Calibri"/>
          <w:szCs w:val="22"/>
          <w:lang w:eastAsia="en-US"/>
        </w:rPr>
        <w:t>3 – Выработка, отпуск тепловой энергии расход условного топлива по источникам в зоне деятельности теплоснабжающей организации</w:t>
      </w:r>
    </w:p>
    <w:tbl>
      <w:tblPr>
        <w:tblW w:w="5000" w:type="pct"/>
        <w:jc w:val="left"/>
        <w:tblInd w:w="0" w:type="dxa"/>
        <w:tblCellMar>
          <w:top w:w="0" w:type="dxa"/>
          <w:left w:w="5" w:type="dxa"/>
          <w:bottom w:w="0" w:type="dxa"/>
          <w:right w:w="5" w:type="dxa"/>
        </w:tblCellMar>
        <w:tblLook w:val="04a0" w:noVBand="1" w:noHBand="0" w:lastColumn="0" w:firstColumn="1" w:lastRow="0" w:firstRow="1"/>
      </w:tblPr>
      <w:tblGrid>
        <w:gridCol w:w="450"/>
        <w:gridCol w:w="2402"/>
        <w:gridCol w:w="1218"/>
        <w:gridCol w:w="1093"/>
        <w:gridCol w:w="1135"/>
        <w:gridCol w:w="1316"/>
        <w:gridCol w:w="960"/>
        <w:gridCol w:w="1062"/>
      </w:tblGrid>
      <w:tr>
        <w:trPr>
          <w:tblHeader w:val="true"/>
        </w:trPr>
        <w:tc>
          <w:tcPr>
            <w:tcW w:w="45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xml:space="preserve">№ </w:t>
            </w:r>
            <w:r>
              <w:rPr>
                <w:sz w:val="20"/>
                <w:szCs w:val="20"/>
                <w:lang w:eastAsia="ru-RU"/>
              </w:rPr>
              <w:t>п/п</w:t>
            </w:r>
          </w:p>
        </w:tc>
        <w:tc>
          <w:tcPr>
            <w:tcW w:w="2402" w:type="dxa"/>
            <w:tcBorders>
              <w:top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Наименование и адрес котельной</w:t>
            </w:r>
          </w:p>
        </w:tc>
        <w:tc>
          <w:tcPr>
            <w:tcW w:w="1218" w:type="dxa"/>
            <w:tcBorders>
              <w:top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Основное топливо</w:t>
            </w:r>
          </w:p>
        </w:tc>
        <w:tc>
          <w:tcPr>
            <w:tcW w:w="1093" w:type="dxa"/>
            <w:tcBorders>
              <w:top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Резервное топливо</w:t>
            </w:r>
          </w:p>
        </w:tc>
        <w:tc>
          <w:tcPr>
            <w:tcW w:w="1135" w:type="dxa"/>
            <w:tcBorders>
              <w:top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Выработка тепловой энергии за год, Гкал/год</w:t>
            </w:r>
          </w:p>
        </w:tc>
        <w:tc>
          <w:tcPr>
            <w:tcW w:w="1316" w:type="dxa"/>
            <w:tcBorders>
              <w:top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Затраты тепловой энергии на собственные нужды, Гкал/год</w:t>
            </w:r>
          </w:p>
        </w:tc>
        <w:tc>
          <w:tcPr>
            <w:tcW w:w="960" w:type="dxa"/>
            <w:tcBorders>
              <w:top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Отпуск тепловой энергии, Гкал/год</w:t>
            </w:r>
          </w:p>
        </w:tc>
        <w:tc>
          <w:tcPr>
            <w:tcW w:w="1062" w:type="dxa"/>
            <w:tcBorders>
              <w:top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Годовой расход условного топлива, т.у.т.</w:t>
            </w:r>
          </w:p>
        </w:tc>
      </w:tr>
      <w:tr>
        <w:trPr/>
        <w:tc>
          <w:tcPr>
            <w:tcW w:w="450" w:type="dxa"/>
            <w:tcBorders>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r>
          </w:p>
        </w:tc>
        <w:tc>
          <w:tcPr>
            <w:tcW w:w="9186" w:type="dxa"/>
            <w:gridSpan w:val="7"/>
            <w:tcBorders>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городское поселение Октябрьское</w:t>
            </w:r>
          </w:p>
        </w:tc>
      </w:tr>
      <w:tr>
        <w:trPr/>
        <w:tc>
          <w:tcPr>
            <w:tcW w:w="450" w:type="dxa"/>
            <w:tcBorders>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w:t>
            </w:r>
          </w:p>
        </w:tc>
        <w:tc>
          <w:tcPr>
            <w:tcW w:w="2402" w:type="dxa"/>
            <w:tcBorders>
              <w:top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 xml:space="preserve">котельная № 1, </w:t>
            </w:r>
          </w:p>
          <w:p>
            <w:pPr>
              <w:pStyle w:val="Normal"/>
              <w:jc w:val="center"/>
              <w:rPr>
                <w:sz w:val="20"/>
                <w:szCs w:val="20"/>
                <w:lang w:eastAsia="ru-RU"/>
              </w:rPr>
            </w:pPr>
            <w:r>
              <w:rPr>
                <w:sz w:val="20"/>
                <w:szCs w:val="20"/>
              </w:rPr>
              <w:t>пгт.Октябрьское, ул.Сенькина, 46б</w:t>
            </w:r>
          </w:p>
        </w:tc>
        <w:tc>
          <w:tcPr>
            <w:tcW w:w="121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0</w:t>
            </w:r>
          </w:p>
        </w:tc>
        <w:tc>
          <w:tcPr>
            <w:tcW w:w="109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дизельное топливо</w:t>
            </w:r>
          </w:p>
        </w:tc>
        <w:tc>
          <w:tcPr>
            <w:tcW w:w="11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7951,2</w:t>
            </w:r>
          </w:p>
        </w:tc>
        <w:tc>
          <w:tcPr>
            <w:tcW w:w="13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722,8</w:t>
            </w:r>
          </w:p>
        </w:tc>
        <w:tc>
          <w:tcPr>
            <w:tcW w:w="9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7228,4</w:t>
            </w:r>
          </w:p>
        </w:tc>
        <w:tc>
          <w:tcPr>
            <w:tcW w:w="10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1909,5</w:t>
            </w:r>
          </w:p>
        </w:tc>
      </w:tr>
      <w:tr>
        <w:trPr/>
        <w:tc>
          <w:tcPr>
            <w:tcW w:w="450" w:type="dxa"/>
            <w:tcBorders>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2</w:t>
            </w:r>
          </w:p>
        </w:tc>
        <w:tc>
          <w:tcPr>
            <w:tcW w:w="2402" w:type="dxa"/>
            <w:tcBorders>
              <w:top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 xml:space="preserve">котельная № 2, </w:t>
            </w:r>
          </w:p>
          <w:p>
            <w:pPr>
              <w:pStyle w:val="Normal"/>
              <w:jc w:val="center"/>
              <w:rPr>
                <w:sz w:val="20"/>
                <w:szCs w:val="20"/>
                <w:lang w:eastAsia="ru-RU"/>
              </w:rPr>
            </w:pPr>
            <w:r>
              <w:rPr>
                <w:sz w:val="20"/>
                <w:szCs w:val="20"/>
              </w:rPr>
              <w:t>пгт.Октябрьское, ул.Пионерская, 17б</w:t>
            </w:r>
          </w:p>
        </w:tc>
        <w:tc>
          <w:tcPr>
            <w:tcW w:w="121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0</w:t>
            </w:r>
          </w:p>
        </w:tc>
        <w:tc>
          <w:tcPr>
            <w:tcW w:w="109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 </w:t>
            </w:r>
          </w:p>
        </w:tc>
        <w:tc>
          <w:tcPr>
            <w:tcW w:w="11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5354,8</w:t>
            </w:r>
          </w:p>
        </w:tc>
        <w:tc>
          <w:tcPr>
            <w:tcW w:w="13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486,8</w:t>
            </w:r>
          </w:p>
        </w:tc>
        <w:tc>
          <w:tcPr>
            <w:tcW w:w="9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4868,0</w:t>
            </w:r>
          </w:p>
        </w:tc>
        <w:tc>
          <w:tcPr>
            <w:tcW w:w="10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1285,9</w:t>
            </w:r>
          </w:p>
        </w:tc>
      </w:tr>
      <w:tr>
        <w:trPr/>
        <w:tc>
          <w:tcPr>
            <w:tcW w:w="450" w:type="dxa"/>
            <w:tcBorders>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3</w:t>
            </w:r>
          </w:p>
        </w:tc>
        <w:tc>
          <w:tcPr>
            <w:tcW w:w="2402" w:type="dxa"/>
            <w:tcBorders>
              <w:top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 xml:space="preserve">котельная № 3, </w:t>
            </w:r>
          </w:p>
          <w:p>
            <w:pPr>
              <w:pStyle w:val="Normal"/>
              <w:jc w:val="center"/>
              <w:rPr>
                <w:sz w:val="20"/>
                <w:szCs w:val="20"/>
                <w:lang w:eastAsia="ru-RU"/>
              </w:rPr>
            </w:pPr>
            <w:r>
              <w:rPr>
                <w:sz w:val="20"/>
                <w:szCs w:val="20"/>
              </w:rPr>
              <w:t>пгт.Октябрьское, ул.Чапаева, 6б</w:t>
            </w:r>
          </w:p>
        </w:tc>
        <w:tc>
          <w:tcPr>
            <w:tcW w:w="121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0</w:t>
            </w:r>
          </w:p>
        </w:tc>
        <w:tc>
          <w:tcPr>
            <w:tcW w:w="109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r>
          </w:p>
        </w:tc>
        <w:tc>
          <w:tcPr>
            <w:tcW w:w="11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4955,3</w:t>
            </w:r>
          </w:p>
        </w:tc>
        <w:tc>
          <w:tcPr>
            <w:tcW w:w="13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450,5</w:t>
            </w:r>
          </w:p>
        </w:tc>
        <w:tc>
          <w:tcPr>
            <w:tcW w:w="9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4504,8</w:t>
            </w:r>
          </w:p>
        </w:tc>
        <w:tc>
          <w:tcPr>
            <w:tcW w:w="10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1190,0</w:t>
            </w:r>
          </w:p>
        </w:tc>
      </w:tr>
      <w:tr>
        <w:trPr/>
        <w:tc>
          <w:tcPr>
            <w:tcW w:w="450" w:type="dxa"/>
            <w:tcBorders>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4</w:t>
            </w:r>
          </w:p>
        </w:tc>
        <w:tc>
          <w:tcPr>
            <w:tcW w:w="2402" w:type="dxa"/>
            <w:tcBorders>
              <w:top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 xml:space="preserve">котельная № 6, </w:t>
            </w:r>
          </w:p>
          <w:p>
            <w:pPr>
              <w:pStyle w:val="Normal"/>
              <w:jc w:val="center"/>
              <w:rPr>
                <w:sz w:val="20"/>
                <w:szCs w:val="20"/>
                <w:lang w:eastAsia="ru-RU"/>
              </w:rPr>
            </w:pPr>
            <w:r>
              <w:rPr>
                <w:sz w:val="20"/>
                <w:szCs w:val="20"/>
              </w:rPr>
              <w:t>пгт.Октябрьское, ул.Дзержинского, 2б</w:t>
            </w:r>
          </w:p>
        </w:tc>
        <w:tc>
          <w:tcPr>
            <w:tcW w:w="121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0</w:t>
            </w:r>
          </w:p>
        </w:tc>
        <w:tc>
          <w:tcPr>
            <w:tcW w:w="109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r>
          </w:p>
        </w:tc>
        <w:tc>
          <w:tcPr>
            <w:tcW w:w="11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3100,6</w:t>
            </w:r>
          </w:p>
        </w:tc>
        <w:tc>
          <w:tcPr>
            <w:tcW w:w="13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281,9</w:t>
            </w:r>
          </w:p>
        </w:tc>
        <w:tc>
          <w:tcPr>
            <w:tcW w:w="9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2818,7</w:t>
            </w:r>
          </w:p>
        </w:tc>
        <w:tc>
          <w:tcPr>
            <w:tcW w:w="10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744,6</w:t>
            </w:r>
          </w:p>
        </w:tc>
      </w:tr>
      <w:tr>
        <w:trPr/>
        <w:tc>
          <w:tcPr>
            <w:tcW w:w="450" w:type="dxa"/>
            <w:tcBorders>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6</w:t>
            </w:r>
          </w:p>
        </w:tc>
        <w:tc>
          <w:tcPr>
            <w:tcW w:w="2402" w:type="dxa"/>
            <w:tcBorders>
              <w:top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котельная № 7,</w:t>
            </w:r>
          </w:p>
          <w:p>
            <w:pPr>
              <w:pStyle w:val="Normal"/>
              <w:jc w:val="center"/>
              <w:rPr>
                <w:sz w:val="20"/>
                <w:szCs w:val="20"/>
                <w:lang w:eastAsia="ru-RU"/>
              </w:rPr>
            </w:pPr>
            <w:r>
              <w:rPr>
                <w:sz w:val="20"/>
                <w:szCs w:val="20"/>
              </w:rPr>
              <w:t>пгт.Октябрьское, ул.Медицинская, 3Б</w:t>
            </w:r>
          </w:p>
        </w:tc>
        <w:tc>
          <w:tcPr>
            <w:tcW w:w="121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0</w:t>
            </w:r>
          </w:p>
        </w:tc>
        <w:tc>
          <w:tcPr>
            <w:tcW w:w="109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дизельное топливо</w:t>
            </w:r>
          </w:p>
        </w:tc>
        <w:tc>
          <w:tcPr>
            <w:tcW w:w="11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3774,4</w:t>
            </w:r>
          </w:p>
        </w:tc>
        <w:tc>
          <w:tcPr>
            <w:tcW w:w="13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343,1</w:t>
            </w:r>
          </w:p>
        </w:tc>
        <w:tc>
          <w:tcPr>
            <w:tcW w:w="9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3431,3</w:t>
            </w:r>
          </w:p>
        </w:tc>
        <w:tc>
          <w:tcPr>
            <w:tcW w:w="10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906,4</w:t>
            </w:r>
          </w:p>
        </w:tc>
      </w:tr>
      <w:tr>
        <w:trPr/>
        <w:tc>
          <w:tcPr>
            <w:tcW w:w="450" w:type="dxa"/>
            <w:tcBorders>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7</w:t>
            </w:r>
          </w:p>
        </w:tc>
        <w:tc>
          <w:tcPr>
            <w:tcW w:w="2402" w:type="dxa"/>
            <w:tcBorders>
              <w:top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 xml:space="preserve">котельная № 12, </w:t>
            </w:r>
          </w:p>
          <w:p>
            <w:pPr>
              <w:pStyle w:val="Normal"/>
              <w:jc w:val="center"/>
              <w:rPr>
                <w:sz w:val="20"/>
                <w:szCs w:val="20"/>
                <w:lang w:eastAsia="ru-RU"/>
              </w:rPr>
            </w:pPr>
            <w:r>
              <w:rPr>
                <w:sz w:val="20"/>
                <w:szCs w:val="20"/>
              </w:rPr>
              <w:t>пгт.Октябрьское, ул.Медицинская, 3к</w:t>
            </w:r>
          </w:p>
        </w:tc>
        <w:tc>
          <w:tcPr>
            <w:tcW w:w="121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0</w:t>
            </w:r>
          </w:p>
        </w:tc>
        <w:tc>
          <w:tcPr>
            <w:tcW w:w="109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r>
          </w:p>
        </w:tc>
        <w:tc>
          <w:tcPr>
            <w:tcW w:w="11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1550,3</w:t>
            </w:r>
          </w:p>
        </w:tc>
        <w:tc>
          <w:tcPr>
            <w:tcW w:w="13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140,9</w:t>
            </w:r>
          </w:p>
        </w:tc>
        <w:tc>
          <w:tcPr>
            <w:tcW w:w="9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1409,4</w:t>
            </w:r>
          </w:p>
        </w:tc>
        <w:tc>
          <w:tcPr>
            <w:tcW w:w="10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372,3</w:t>
            </w:r>
          </w:p>
        </w:tc>
      </w:tr>
      <w:tr>
        <w:trPr/>
        <w:tc>
          <w:tcPr>
            <w:tcW w:w="450" w:type="dxa"/>
            <w:tcBorders>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8</w:t>
            </w:r>
          </w:p>
        </w:tc>
        <w:tc>
          <w:tcPr>
            <w:tcW w:w="2402" w:type="dxa"/>
            <w:tcBorders>
              <w:top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 xml:space="preserve">котельная № 8, </w:t>
            </w:r>
          </w:p>
          <w:p>
            <w:pPr>
              <w:pStyle w:val="Normal"/>
              <w:jc w:val="center"/>
              <w:rPr>
                <w:sz w:val="20"/>
                <w:szCs w:val="20"/>
              </w:rPr>
            </w:pPr>
            <w:r>
              <w:rPr>
                <w:sz w:val="20"/>
                <w:szCs w:val="20"/>
              </w:rPr>
              <w:t xml:space="preserve">пгт.Октябрьское, </w:t>
            </w:r>
          </w:p>
          <w:p>
            <w:pPr>
              <w:pStyle w:val="Normal"/>
              <w:jc w:val="center"/>
              <w:rPr>
                <w:sz w:val="20"/>
                <w:szCs w:val="20"/>
                <w:lang w:eastAsia="ru-RU"/>
              </w:rPr>
            </w:pPr>
            <w:r>
              <w:rPr>
                <w:sz w:val="20"/>
                <w:szCs w:val="20"/>
              </w:rPr>
              <w:t>ул.50 лет, 38А</w:t>
            </w:r>
          </w:p>
        </w:tc>
        <w:tc>
          <w:tcPr>
            <w:tcW w:w="121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0</w:t>
            </w:r>
          </w:p>
        </w:tc>
        <w:tc>
          <w:tcPr>
            <w:tcW w:w="109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r>
          </w:p>
        </w:tc>
        <w:tc>
          <w:tcPr>
            <w:tcW w:w="11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152,2</w:t>
            </w:r>
          </w:p>
        </w:tc>
        <w:tc>
          <w:tcPr>
            <w:tcW w:w="13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13,8</w:t>
            </w:r>
          </w:p>
        </w:tc>
        <w:tc>
          <w:tcPr>
            <w:tcW w:w="9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138,4</w:t>
            </w:r>
          </w:p>
        </w:tc>
        <w:tc>
          <w:tcPr>
            <w:tcW w:w="10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36,6</w:t>
            </w:r>
          </w:p>
        </w:tc>
      </w:tr>
    </w:tbl>
    <w:p>
      <w:pPr>
        <w:pStyle w:val="Normal"/>
        <w:rPr>
          <w:rFonts w:eastAsia="Calibri" w:cs="Calibri"/>
          <w:szCs w:val="22"/>
          <w:lang w:eastAsia="en-US"/>
        </w:rPr>
      </w:pPr>
      <w:r>
        <w:rPr>
          <w:rFonts w:eastAsia="Calibri" w:cs="Calibri"/>
          <w:szCs w:val="22"/>
          <w:lang w:eastAsia="en-US"/>
        </w:rPr>
      </w:r>
    </w:p>
    <w:p>
      <w:pPr>
        <w:pStyle w:val="Normal"/>
        <w:keepNext w:val="true"/>
        <w:keepLines/>
        <w:numPr>
          <w:ilvl w:val="0"/>
          <w:numId w:val="0"/>
        </w:numPr>
        <w:ind w:left="0" w:firstLine="709"/>
        <w:jc w:val="both"/>
        <w:outlineLvl w:val="2"/>
        <w:rPr>
          <w:rFonts w:eastAsia="Calibri Light" w:cs="Calibri Light"/>
          <w:b/>
          <w:b/>
          <w:lang w:eastAsia="en-US"/>
        </w:rPr>
      </w:pPr>
      <w:bookmarkStart w:id="549" w:name="_Toc181340352"/>
      <w:r>
        <w:rPr>
          <w:rFonts w:eastAsia="Calibri Light" w:cs="Calibri Light"/>
          <w:b/>
          <w:lang w:eastAsia="en-US"/>
        </w:rPr>
        <w:t>1.2.5. Сроки ввода в эксплуатацию основного оборудования, год последнего освидетельствования при допуске к эксплуатации после ремонта, год продления ресурса и мероприятия по продлению ресурса</w:t>
      </w:r>
      <w:bookmarkEnd w:id="549"/>
    </w:p>
    <w:p>
      <w:pPr>
        <w:pStyle w:val="Normal"/>
        <w:ind w:firstLine="709"/>
        <w:jc w:val="both"/>
        <w:rPr>
          <w:rFonts w:eastAsia="Calibri" w:cs="Calibri"/>
          <w:szCs w:val="22"/>
          <w:lang w:eastAsia="en-US"/>
        </w:rPr>
      </w:pPr>
      <w:r>
        <w:rPr>
          <w:rFonts w:eastAsia="Calibri" w:cs="Calibri"/>
          <w:szCs w:val="22"/>
          <w:lang w:eastAsia="en-US"/>
        </w:rPr>
        <w:t>Сведения о сроках ввода в эксплуатацию основного оборудования, год последнего освидетельствования при допуске к эксплуатации после ремонта, год продления ресурса и мероприятия по продлению ресурса источников приведены в таблице 4.</w:t>
      </w:r>
    </w:p>
    <w:p>
      <w:pPr>
        <w:pStyle w:val="Normal"/>
        <w:jc w:val="right"/>
        <w:rPr>
          <w:rFonts w:eastAsia="Calibri" w:cs="Calibri"/>
          <w:szCs w:val="22"/>
          <w:lang w:eastAsia="en-US"/>
        </w:rPr>
      </w:pPr>
      <w:bookmarkStart w:id="550" w:name="_Ref19653969"/>
      <w:r>
        <w:rPr>
          <w:rFonts w:eastAsia="Calibri" w:cs="Calibri"/>
          <w:szCs w:val="22"/>
          <w:lang w:eastAsia="en-US"/>
        </w:rPr>
        <w:t xml:space="preserve">Таблица </w:t>
      </w:r>
      <w:bookmarkEnd w:id="550"/>
      <w:r>
        <w:rPr>
          <w:rFonts w:eastAsia="Calibri" w:cs="Calibri"/>
          <w:szCs w:val="22"/>
          <w:lang w:eastAsia="en-US"/>
        </w:rPr>
        <w:t>4 – Сведения по основному оборудованию котельных</w:t>
      </w:r>
    </w:p>
    <w:tbl>
      <w:tblPr>
        <w:tblW w:w="5000" w:type="pct"/>
        <w:jc w:val="left"/>
        <w:tblInd w:w="0" w:type="dxa"/>
        <w:tblCellMar>
          <w:top w:w="0" w:type="dxa"/>
          <w:left w:w="5" w:type="dxa"/>
          <w:bottom w:w="0" w:type="dxa"/>
          <w:right w:w="5" w:type="dxa"/>
        </w:tblCellMar>
        <w:tblLook w:val="04a0" w:noVBand="1" w:noHBand="0" w:lastColumn="0" w:firstColumn="1" w:lastRow="0" w:firstRow="1"/>
      </w:tblPr>
      <w:tblGrid>
        <w:gridCol w:w="302"/>
        <w:gridCol w:w="1645"/>
        <w:gridCol w:w="1538"/>
        <w:gridCol w:w="1039"/>
        <w:gridCol w:w="981"/>
        <w:gridCol w:w="522"/>
        <w:gridCol w:w="1199"/>
        <w:gridCol w:w="1185"/>
        <w:gridCol w:w="1226"/>
      </w:tblGrid>
      <w:tr>
        <w:trPr>
          <w:tblHeader w:val="true"/>
          <w:trHeight w:val="20" w:hRule="atLeast"/>
        </w:trPr>
        <w:tc>
          <w:tcPr>
            <w:tcW w:w="3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xml:space="preserve">№ </w:t>
            </w:r>
            <w:r>
              <w:rPr>
                <w:sz w:val="20"/>
                <w:szCs w:val="20"/>
                <w:lang w:eastAsia="ru-RU"/>
              </w:rPr>
              <w:t>п/п</w:t>
            </w:r>
          </w:p>
        </w:tc>
        <w:tc>
          <w:tcPr>
            <w:tcW w:w="164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Наименование теплоснабжающей организации</w:t>
            </w:r>
          </w:p>
        </w:tc>
        <w:tc>
          <w:tcPr>
            <w:tcW w:w="153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Наименование и адрес котельной</w:t>
            </w:r>
          </w:p>
        </w:tc>
        <w:tc>
          <w:tcPr>
            <w:tcW w:w="10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Марка котла</w:t>
            </w:r>
          </w:p>
        </w:tc>
        <w:tc>
          <w:tcPr>
            <w:tcW w:w="9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Мощность, Гкал/ч</w:t>
            </w:r>
          </w:p>
        </w:tc>
        <w:tc>
          <w:tcPr>
            <w:tcW w:w="5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xml:space="preserve">Год ввода </w:t>
            </w:r>
          </w:p>
        </w:tc>
        <w:tc>
          <w:tcPr>
            <w:tcW w:w="119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Дата обследования котлов</w:t>
            </w:r>
          </w:p>
        </w:tc>
        <w:tc>
          <w:tcPr>
            <w:tcW w:w="118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Год последнего капитального ремонта</w:t>
            </w:r>
          </w:p>
        </w:tc>
        <w:tc>
          <w:tcPr>
            <w:tcW w:w="12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Нормативный срок службы по ГОСТ 21563-2016</w:t>
            </w:r>
          </w:p>
        </w:tc>
      </w:tr>
      <w:tr>
        <w:trPr>
          <w:trHeight w:val="20" w:hRule="atLeast"/>
        </w:trPr>
        <w:tc>
          <w:tcPr>
            <w:tcW w:w="9637" w:type="dxa"/>
            <w:gridSpan w:val="9"/>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городское поселение Октябрьское</w:t>
            </w:r>
          </w:p>
        </w:tc>
      </w:tr>
      <w:tr>
        <w:trPr>
          <w:trHeight w:val="20" w:hRule="atLeast"/>
        </w:trPr>
        <w:tc>
          <w:tcPr>
            <w:tcW w:w="302"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w:t>
            </w:r>
          </w:p>
        </w:tc>
        <w:tc>
          <w:tcPr>
            <w:tcW w:w="1645"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МП МО Октябрьский район «ОКС»</w:t>
            </w:r>
          </w:p>
        </w:tc>
        <w:tc>
          <w:tcPr>
            <w:tcW w:w="1538"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котельная № 1, пгт.Октябрьское, ул.Сенькина, 46б</w:t>
            </w:r>
          </w:p>
        </w:tc>
        <w:tc>
          <w:tcPr>
            <w:tcW w:w="10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UNIMAT UT-L30</w:t>
            </w:r>
          </w:p>
        </w:tc>
        <w:tc>
          <w:tcPr>
            <w:tcW w:w="9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3,44</w:t>
            </w:r>
          </w:p>
        </w:tc>
        <w:tc>
          <w:tcPr>
            <w:tcW w:w="5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2008</w:t>
            </w:r>
          </w:p>
        </w:tc>
        <w:tc>
          <w:tcPr>
            <w:tcW w:w="119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н/д</w:t>
            </w:r>
          </w:p>
        </w:tc>
        <w:tc>
          <w:tcPr>
            <w:tcW w:w="118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2021</w:t>
            </w:r>
          </w:p>
        </w:tc>
        <w:tc>
          <w:tcPr>
            <w:tcW w:w="12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не менее 15 лет</w:t>
            </w:r>
          </w:p>
        </w:tc>
      </w:tr>
      <w:tr>
        <w:trPr>
          <w:trHeight w:val="20" w:hRule="atLeast"/>
        </w:trPr>
        <w:tc>
          <w:tcPr>
            <w:tcW w:w="30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sz w:val="20"/>
                <w:szCs w:val="20"/>
                <w:lang w:eastAsia="ru-RU"/>
              </w:rPr>
            </w:pPr>
            <w:r>
              <w:rPr>
                <w:sz w:val="20"/>
                <w:szCs w:val="20"/>
                <w:lang w:eastAsia="ru-RU"/>
              </w:rPr>
            </w:r>
          </w:p>
        </w:tc>
        <w:tc>
          <w:tcPr>
            <w:tcW w:w="164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sz w:val="20"/>
                <w:szCs w:val="20"/>
                <w:lang w:eastAsia="ru-RU"/>
              </w:rPr>
            </w:pPr>
            <w:r>
              <w:rPr>
                <w:sz w:val="20"/>
                <w:szCs w:val="20"/>
                <w:lang w:eastAsia="ru-RU"/>
              </w:rPr>
            </w:r>
          </w:p>
        </w:tc>
        <w:tc>
          <w:tcPr>
            <w:tcW w:w="153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sz w:val="20"/>
                <w:szCs w:val="20"/>
                <w:lang w:eastAsia="ru-RU"/>
              </w:rPr>
            </w:pPr>
            <w:r>
              <w:rPr>
                <w:sz w:val="20"/>
                <w:szCs w:val="20"/>
                <w:lang w:eastAsia="ru-RU"/>
              </w:rPr>
            </w:r>
          </w:p>
        </w:tc>
        <w:tc>
          <w:tcPr>
            <w:tcW w:w="10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UNIMAT UT-L30</w:t>
            </w:r>
          </w:p>
        </w:tc>
        <w:tc>
          <w:tcPr>
            <w:tcW w:w="9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3,44</w:t>
            </w:r>
          </w:p>
        </w:tc>
        <w:tc>
          <w:tcPr>
            <w:tcW w:w="5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2008</w:t>
            </w:r>
          </w:p>
        </w:tc>
        <w:tc>
          <w:tcPr>
            <w:tcW w:w="119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н/д</w:t>
            </w:r>
          </w:p>
        </w:tc>
        <w:tc>
          <w:tcPr>
            <w:tcW w:w="118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2021</w:t>
            </w:r>
          </w:p>
        </w:tc>
        <w:tc>
          <w:tcPr>
            <w:tcW w:w="12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не менее 15 лет</w:t>
            </w:r>
          </w:p>
        </w:tc>
      </w:tr>
      <w:tr>
        <w:trPr>
          <w:trHeight w:val="20" w:hRule="atLeast"/>
        </w:trPr>
        <w:tc>
          <w:tcPr>
            <w:tcW w:w="30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sz w:val="20"/>
                <w:szCs w:val="20"/>
                <w:lang w:eastAsia="ru-RU"/>
              </w:rPr>
            </w:pPr>
            <w:r>
              <w:rPr>
                <w:sz w:val="20"/>
                <w:szCs w:val="20"/>
                <w:lang w:eastAsia="ru-RU"/>
              </w:rPr>
            </w:r>
          </w:p>
        </w:tc>
        <w:tc>
          <w:tcPr>
            <w:tcW w:w="164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sz w:val="20"/>
                <w:szCs w:val="20"/>
                <w:lang w:eastAsia="ru-RU"/>
              </w:rPr>
            </w:pPr>
            <w:r>
              <w:rPr>
                <w:sz w:val="20"/>
                <w:szCs w:val="20"/>
                <w:lang w:eastAsia="ru-RU"/>
              </w:rPr>
            </w:r>
          </w:p>
        </w:tc>
        <w:tc>
          <w:tcPr>
            <w:tcW w:w="153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sz w:val="20"/>
                <w:szCs w:val="20"/>
                <w:lang w:eastAsia="ru-RU"/>
              </w:rPr>
            </w:pPr>
            <w:r>
              <w:rPr>
                <w:sz w:val="20"/>
                <w:szCs w:val="20"/>
                <w:lang w:eastAsia="ru-RU"/>
              </w:rPr>
            </w:r>
          </w:p>
        </w:tc>
        <w:tc>
          <w:tcPr>
            <w:tcW w:w="10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val="en-US" w:eastAsia="ru-RU"/>
              </w:rPr>
            </w:pPr>
            <w:r>
              <w:rPr>
                <w:sz w:val="20"/>
                <w:szCs w:val="20"/>
                <w:lang w:val="en-US" w:eastAsia="ru-RU"/>
              </w:rPr>
              <w:t>ARCUS IGNIS F-4000(</w:t>
            </w:r>
            <w:r>
              <w:rPr>
                <w:sz w:val="20"/>
                <w:szCs w:val="20"/>
                <w:lang w:eastAsia="ru-RU"/>
              </w:rPr>
              <w:t>КВа</w:t>
            </w:r>
            <w:r>
              <w:rPr>
                <w:sz w:val="20"/>
                <w:szCs w:val="20"/>
                <w:lang w:val="en-US" w:eastAsia="ru-RU"/>
              </w:rPr>
              <w:t>-4.0</w:t>
            </w:r>
            <w:r>
              <w:rPr>
                <w:sz w:val="20"/>
                <w:szCs w:val="20"/>
                <w:lang w:eastAsia="ru-RU"/>
              </w:rPr>
              <w:t>ГМ</w:t>
            </w:r>
            <w:r>
              <w:rPr>
                <w:sz w:val="20"/>
                <w:szCs w:val="20"/>
                <w:lang w:val="en-US" w:eastAsia="ru-RU"/>
              </w:rPr>
              <w:t>)</w:t>
            </w:r>
          </w:p>
        </w:tc>
        <w:tc>
          <w:tcPr>
            <w:tcW w:w="9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3,44</w:t>
            </w:r>
          </w:p>
        </w:tc>
        <w:tc>
          <w:tcPr>
            <w:tcW w:w="5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2008</w:t>
            </w:r>
          </w:p>
        </w:tc>
        <w:tc>
          <w:tcPr>
            <w:tcW w:w="119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н/д</w:t>
            </w:r>
          </w:p>
        </w:tc>
        <w:tc>
          <w:tcPr>
            <w:tcW w:w="118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2021</w:t>
            </w:r>
          </w:p>
        </w:tc>
        <w:tc>
          <w:tcPr>
            <w:tcW w:w="12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не менее 15 лет</w:t>
            </w:r>
          </w:p>
        </w:tc>
      </w:tr>
      <w:tr>
        <w:trPr>
          <w:trHeight w:val="20" w:hRule="atLeast"/>
        </w:trPr>
        <w:tc>
          <w:tcPr>
            <w:tcW w:w="302"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2</w:t>
            </w:r>
          </w:p>
        </w:tc>
        <w:tc>
          <w:tcPr>
            <w:tcW w:w="164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sz w:val="20"/>
                <w:szCs w:val="20"/>
                <w:lang w:eastAsia="ru-RU"/>
              </w:rPr>
            </w:pPr>
            <w:r>
              <w:rPr>
                <w:sz w:val="20"/>
                <w:szCs w:val="20"/>
                <w:lang w:eastAsia="ru-RU"/>
              </w:rPr>
            </w:r>
          </w:p>
        </w:tc>
        <w:tc>
          <w:tcPr>
            <w:tcW w:w="1538"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котельная № 2, пгт.Октябрьское, ул.Пионерская, 17б</w:t>
            </w:r>
          </w:p>
        </w:tc>
        <w:tc>
          <w:tcPr>
            <w:tcW w:w="10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val="en-US" w:eastAsia="ru-RU"/>
              </w:rPr>
            </w:pPr>
            <w:r>
              <w:rPr>
                <w:sz w:val="20"/>
                <w:szCs w:val="20"/>
                <w:lang w:val="en-US" w:eastAsia="ru-RU"/>
              </w:rPr>
              <w:t>ARCUS IGNIS F-2000(</w:t>
            </w:r>
            <w:r>
              <w:rPr>
                <w:sz w:val="20"/>
                <w:szCs w:val="20"/>
                <w:lang w:eastAsia="ru-RU"/>
              </w:rPr>
              <w:t>КВа</w:t>
            </w:r>
            <w:r>
              <w:rPr>
                <w:sz w:val="20"/>
                <w:szCs w:val="20"/>
                <w:lang w:val="en-US" w:eastAsia="ru-RU"/>
              </w:rPr>
              <w:t>-2.0</w:t>
            </w:r>
            <w:r>
              <w:rPr>
                <w:sz w:val="20"/>
                <w:szCs w:val="20"/>
                <w:lang w:eastAsia="ru-RU"/>
              </w:rPr>
              <w:t>ГМ</w:t>
            </w:r>
            <w:r>
              <w:rPr>
                <w:sz w:val="20"/>
                <w:szCs w:val="20"/>
                <w:lang w:val="en-US" w:eastAsia="ru-RU"/>
              </w:rPr>
              <w:t>)</w:t>
            </w:r>
          </w:p>
        </w:tc>
        <w:tc>
          <w:tcPr>
            <w:tcW w:w="9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1,72</w:t>
            </w:r>
          </w:p>
        </w:tc>
        <w:tc>
          <w:tcPr>
            <w:tcW w:w="5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2021</w:t>
            </w:r>
          </w:p>
        </w:tc>
        <w:tc>
          <w:tcPr>
            <w:tcW w:w="119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н/д</w:t>
            </w:r>
          </w:p>
        </w:tc>
        <w:tc>
          <w:tcPr>
            <w:tcW w:w="118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н/д</w:t>
            </w:r>
          </w:p>
        </w:tc>
        <w:tc>
          <w:tcPr>
            <w:tcW w:w="12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не менее 15 лет</w:t>
            </w:r>
          </w:p>
        </w:tc>
      </w:tr>
      <w:tr>
        <w:trPr>
          <w:trHeight w:val="20" w:hRule="atLeast"/>
        </w:trPr>
        <w:tc>
          <w:tcPr>
            <w:tcW w:w="30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sz w:val="20"/>
                <w:szCs w:val="20"/>
                <w:lang w:eastAsia="ru-RU"/>
              </w:rPr>
            </w:pPr>
            <w:r>
              <w:rPr>
                <w:sz w:val="20"/>
                <w:szCs w:val="20"/>
                <w:lang w:eastAsia="ru-RU"/>
              </w:rPr>
            </w:r>
          </w:p>
        </w:tc>
        <w:tc>
          <w:tcPr>
            <w:tcW w:w="164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sz w:val="20"/>
                <w:szCs w:val="20"/>
                <w:lang w:eastAsia="ru-RU"/>
              </w:rPr>
            </w:pPr>
            <w:r>
              <w:rPr>
                <w:sz w:val="20"/>
                <w:szCs w:val="20"/>
                <w:lang w:eastAsia="ru-RU"/>
              </w:rPr>
            </w:r>
          </w:p>
        </w:tc>
        <w:tc>
          <w:tcPr>
            <w:tcW w:w="153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sz w:val="20"/>
                <w:szCs w:val="20"/>
                <w:lang w:eastAsia="ru-RU"/>
              </w:rPr>
            </w:pPr>
            <w:r>
              <w:rPr>
                <w:sz w:val="20"/>
                <w:szCs w:val="20"/>
                <w:lang w:eastAsia="ru-RU"/>
              </w:rPr>
            </w:r>
          </w:p>
        </w:tc>
        <w:tc>
          <w:tcPr>
            <w:tcW w:w="10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ВВД-1,8</w:t>
            </w:r>
          </w:p>
        </w:tc>
        <w:tc>
          <w:tcPr>
            <w:tcW w:w="9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1,8</w:t>
            </w:r>
          </w:p>
        </w:tc>
        <w:tc>
          <w:tcPr>
            <w:tcW w:w="5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1998</w:t>
            </w:r>
          </w:p>
        </w:tc>
        <w:tc>
          <w:tcPr>
            <w:tcW w:w="119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н/д</w:t>
            </w:r>
          </w:p>
        </w:tc>
        <w:tc>
          <w:tcPr>
            <w:tcW w:w="118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н/д</w:t>
            </w:r>
          </w:p>
        </w:tc>
        <w:tc>
          <w:tcPr>
            <w:tcW w:w="12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не менее 15 лет</w:t>
            </w:r>
          </w:p>
        </w:tc>
      </w:tr>
      <w:tr>
        <w:trPr>
          <w:trHeight w:val="20" w:hRule="atLeast"/>
        </w:trPr>
        <w:tc>
          <w:tcPr>
            <w:tcW w:w="30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sz w:val="20"/>
                <w:szCs w:val="20"/>
                <w:lang w:eastAsia="ru-RU"/>
              </w:rPr>
            </w:pPr>
            <w:r>
              <w:rPr>
                <w:sz w:val="20"/>
                <w:szCs w:val="20"/>
                <w:lang w:eastAsia="ru-RU"/>
              </w:rPr>
            </w:r>
          </w:p>
        </w:tc>
        <w:tc>
          <w:tcPr>
            <w:tcW w:w="164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sz w:val="20"/>
                <w:szCs w:val="20"/>
                <w:lang w:eastAsia="ru-RU"/>
              </w:rPr>
            </w:pPr>
            <w:r>
              <w:rPr>
                <w:sz w:val="20"/>
                <w:szCs w:val="20"/>
                <w:lang w:eastAsia="ru-RU"/>
              </w:rPr>
            </w:r>
          </w:p>
        </w:tc>
        <w:tc>
          <w:tcPr>
            <w:tcW w:w="153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sz w:val="20"/>
                <w:szCs w:val="20"/>
                <w:lang w:eastAsia="ru-RU"/>
              </w:rPr>
            </w:pPr>
            <w:r>
              <w:rPr>
                <w:sz w:val="20"/>
                <w:szCs w:val="20"/>
                <w:lang w:eastAsia="ru-RU"/>
              </w:rPr>
            </w:r>
          </w:p>
        </w:tc>
        <w:tc>
          <w:tcPr>
            <w:tcW w:w="10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ВВД-1,8</w:t>
            </w:r>
          </w:p>
        </w:tc>
        <w:tc>
          <w:tcPr>
            <w:tcW w:w="9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1,8</w:t>
            </w:r>
          </w:p>
        </w:tc>
        <w:tc>
          <w:tcPr>
            <w:tcW w:w="5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1999</w:t>
            </w:r>
          </w:p>
        </w:tc>
        <w:tc>
          <w:tcPr>
            <w:tcW w:w="119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н/д</w:t>
            </w:r>
          </w:p>
        </w:tc>
        <w:tc>
          <w:tcPr>
            <w:tcW w:w="118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н/д</w:t>
            </w:r>
          </w:p>
        </w:tc>
        <w:tc>
          <w:tcPr>
            <w:tcW w:w="12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не менее 15 лет</w:t>
            </w:r>
          </w:p>
        </w:tc>
      </w:tr>
      <w:tr>
        <w:trPr>
          <w:trHeight w:val="20" w:hRule="atLeast"/>
        </w:trPr>
        <w:tc>
          <w:tcPr>
            <w:tcW w:w="30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sz w:val="20"/>
                <w:szCs w:val="20"/>
                <w:lang w:eastAsia="ru-RU"/>
              </w:rPr>
            </w:pPr>
            <w:r>
              <w:rPr>
                <w:sz w:val="20"/>
                <w:szCs w:val="20"/>
                <w:lang w:eastAsia="ru-RU"/>
              </w:rPr>
            </w:r>
          </w:p>
        </w:tc>
        <w:tc>
          <w:tcPr>
            <w:tcW w:w="164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sz w:val="20"/>
                <w:szCs w:val="20"/>
                <w:lang w:eastAsia="ru-RU"/>
              </w:rPr>
            </w:pPr>
            <w:r>
              <w:rPr>
                <w:sz w:val="20"/>
                <w:szCs w:val="20"/>
                <w:lang w:eastAsia="ru-RU"/>
              </w:rPr>
            </w:r>
          </w:p>
        </w:tc>
        <w:tc>
          <w:tcPr>
            <w:tcW w:w="153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sz w:val="20"/>
                <w:szCs w:val="20"/>
                <w:lang w:eastAsia="ru-RU"/>
              </w:rPr>
            </w:pPr>
            <w:r>
              <w:rPr>
                <w:sz w:val="20"/>
                <w:szCs w:val="20"/>
                <w:lang w:eastAsia="ru-RU"/>
              </w:rPr>
            </w:r>
          </w:p>
        </w:tc>
        <w:tc>
          <w:tcPr>
            <w:tcW w:w="10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ВВД-1,8</w:t>
            </w:r>
          </w:p>
        </w:tc>
        <w:tc>
          <w:tcPr>
            <w:tcW w:w="9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1,8</w:t>
            </w:r>
          </w:p>
        </w:tc>
        <w:tc>
          <w:tcPr>
            <w:tcW w:w="5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2000</w:t>
            </w:r>
          </w:p>
        </w:tc>
        <w:tc>
          <w:tcPr>
            <w:tcW w:w="119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н/д</w:t>
            </w:r>
          </w:p>
        </w:tc>
        <w:tc>
          <w:tcPr>
            <w:tcW w:w="118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н/д</w:t>
            </w:r>
          </w:p>
        </w:tc>
        <w:tc>
          <w:tcPr>
            <w:tcW w:w="12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не менее 15 лет</w:t>
            </w:r>
          </w:p>
        </w:tc>
      </w:tr>
      <w:tr>
        <w:trPr>
          <w:trHeight w:val="20" w:hRule="atLeast"/>
        </w:trPr>
        <w:tc>
          <w:tcPr>
            <w:tcW w:w="302"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3</w:t>
            </w:r>
          </w:p>
        </w:tc>
        <w:tc>
          <w:tcPr>
            <w:tcW w:w="164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sz w:val="20"/>
                <w:szCs w:val="20"/>
                <w:lang w:eastAsia="ru-RU"/>
              </w:rPr>
            </w:pPr>
            <w:r>
              <w:rPr>
                <w:sz w:val="20"/>
                <w:szCs w:val="20"/>
                <w:lang w:eastAsia="ru-RU"/>
              </w:rPr>
            </w:r>
          </w:p>
        </w:tc>
        <w:tc>
          <w:tcPr>
            <w:tcW w:w="1538"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котельная № 3, пгт.Октябрьское, ул.Чапаева, 6б</w:t>
            </w:r>
          </w:p>
        </w:tc>
        <w:tc>
          <w:tcPr>
            <w:tcW w:w="10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КСВА-2,0</w:t>
            </w:r>
          </w:p>
        </w:tc>
        <w:tc>
          <w:tcPr>
            <w:tcW w:w="9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1,72</w:t>
            </w:r>
          </w:p>
        </w:tc>
        <w:tc>
          <w:tcPr>
            <w:tcW w:w="5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2003</w:t>
            </w:r>
          </w:p>
        </w:tc>
        <w:tc>
          <w:tcPr>
            <w:tcW w:w="119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н/д</w:t>
            </w:r>
          </w:p>
        </w:tc>
        <w:tc>
          <w:tcPr>
            <w:tcW w:w="118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н/д</w:t>
            </w:r>
          </w:p>
        </w:tc>
        <w:tc>
          <w:tcPr>
            <w:tcW w:w="12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не менее 15 лет</w:t>
            </w:r>
          </w:p>
        </w:tc>
      </w:tr>
      <w:tr>
        <w:trPr>
          <w:trHeight w:val="20" w:hRule="atLeast"/>
        </w:trPr>
        <w:tc>
          <w:tcPr>
            <w:tcW w:w="30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sz w:val="20"/>
                <w:szCs w:val="20"/>
                <w:lang w:eastAsia="ru-RU"/>
              </w:rPr>
            </w:pPr>
            <w:r>
              <w:rPr>
                <w:sz w:val="20"/>
                <w:szCs w:val="20"/>
                <w:lang w:eastAsia="ru-RU"/>
              </w:rPr>
            </w:r>
          </w:p>
        </w:tc>
        <w:tc>
          <w:tcPr>
            <w:tcW w:w="164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sz w:val="20"/>
                <w:szCs w:val="20"/>
                <w:lang w:eastAsia="ru-RU"/>
              </w:rPr>
            </w:pPr>
            <w:r>
              <w:rPr>
                <w:sz w:val="20"/>
                <w:szCs w:val="20"/>
                <w:lang w:eastAsia="ru-RU"/>
              </w:rPr>
            </w:r>
          </w:p>
        </w:tc>
        <w:tc>
          <w:tcPr>
            <w:tcW w:w="153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sz w:val="20"/>
                <w:szCs w:val="20"/>
                <w:lang w:eastAsia="ru-RU"/>
              </w:rPr>
            </w:pPr>
            <w:r>
              <w:rPr>
                <w:sz w:val="20"/>
                <w:szCs w:val="20"/>
                <w:lang w:eastAsia="ru-RU"/>
              </w:rPr>
            </w:r>
          </w:p>
        </w:tc>
        <w:tc>
          <w:tcPr>
            <w:tcW w:w="10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ВВД-1,8</w:t>
            </w:r>
          </w:p>
        </w:tc>
        <w:tc>
          <w:tcPr>
            <w:tcW w:w="9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1,8</w:t>
            </w:r>
          </w:p>
        </w:tc>
        <w:tc>
          <w:tcPr>
            <w:tcW w:w="5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1992</w:t>
            </w:r>
          </w:p>
        </w:tc>
        <w:tc>
          <w:tcPr>
            <w:tcW w:w="119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н/д</w:t>
            </w:r>
          </w:p>
        </w:tc>
        <w:tc>
          <w:tcPr>
            <w:tcW w:w="118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н/д</w:t>
            </w:r>
          </w:p>
        </w:tc>
        <w:tc>
          <w:tcPr>
            <w:tcW w:w="12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не менее 15 лет</w:t>
            </w:r>
          </w:p>
        </w:tc>
      </w:tr>
      <w:tr>
        <w:trPr>
          <w:trHeight w:val="20" w:hRule="atLeast"/>
        </w:trPr>
        <w:tc>
          <w:tcPr>
            <w:tcW w:w="30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sz w:val="20"/>
                <w:szCs w:val="20"/>
                <w:lang w:eastAsia="ru-RU"/>
              </w:rPr>
            </w:pPr>
            <w:r>
              <w:rPr>
                <w:sz w:val="20"/>
                <w:szCs w:val="20"/>
                <w:lang w:eastAsia="ru-RU"/>
              </w:rPr>
            </w:r>
          </w:p>
        </w:tc>
        <w:tc>
          <w:tcPr>
            <w:tcW w:w="164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sz w:val="20"/>
                <w:szCs w:val="20"/>
                <w:lang w:eastAsia="ru-RU"/>
              </w:rPr>
            </w:pPr>
            <w:r>
              <w:rPr>
                <w:sz w:val="20"/>
                <w:szCs w:val="20"/>
                <w:lang w:eastAsia="ru-RU"/>
              </w:rPr>
            </w:r>
          </w:p>
        </w:tc>
        <w:tc>
          <w:tcPr>
            <w:tcW w:w="153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sz w:val="20"/>
                <w:szCs w:val="20"/>
                <w:lang w:eastAsia="ru-RU"/>
              </w:rPr>
            </w:pPr>
            <w:r>
              <w:rPr>
                <w:sz w:val="20"/>
                <w:szCs w:val="20"/>
                <w:lang w:eastAsia="ru-RU"/>
              </w:rPr>
            </w:r>
          </w:p>
        </w:tc>
        <w:tc>
          <w:tcPr>
            <w:tcW w:w="10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ВВД-1,8</w:t>
            </w:r>
          </w:p>
        </w:tc>
        <w:tc>
          <w:tcPr>
            <w:tcW w:w="9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1,8</w:t>
            </w:r>
          </w:p>
        </w:tc>
        <w:tc>
          <w:tcPr>
            <w:tcW w:w="5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2001</w:t>
            </w:r>
          </w:p>
        </w:tc>
        <w:tc>
          <w:tcPr>
            <w:tcW w:w="119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н/д</w:t>
            </w:r>
          </w:p>
        </w:tc>
        <w:tc>
          <w:tcPr>
            <w:tcW w:w="118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н/д</w:t>
            </w:r>
          </w:p>
        </w:tc>
        <w:tc>
          <w:tcPr>
            <w:tcW w:w="12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не менее 15 лет</w:t>
            </w:r>
          </w:p>
        </w:tc>
      </w:tr>
      <w:tr>
        <w:trPr>
          <w:trHeight w:val="20" w:hRule="atLeast"/>
        </w:trPr>
        <w:tc>
          <w:tcPr>
            <w:tcW w:w="302"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4</w:t>
            </w:r>
          </w:p>
        </w:tc>
        <w:tc>
          <w:tcPr>
            <w:tcW w:w="164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sz w:val="20"/>
                <w:szCs w:val="20"/>
                <w:lang w:eastAsia="ru-RU"/>
              </w:rPr>
            </w:pPr>
            <w:r>
              <w:rPr>
                <w:sz w:val="20"/>
                <w:szCs w:val="20"/>
                <w:lang w:eastAsia="ru-RU"/>
              </w:rPr>
            </w:r>
          </w:p>
        </w:tc>
        <w:tc>
          <w:tcPr>
            <w:tcW w:w="1538"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котельная № 6, пгт.Октябрьское, ул.Дзержинского, 2б</w:t>
            </w:r>
          </w:p>
        </w:tc>
        <w:tc>
          <w:tcPr>
            <w:tcW w:w="10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ВВД-1,8</w:t>
            </w:r>
          </w:p>
        </w:tc>
        <w:tc>
          <w:tcPr>
            <w:tcW w:w="9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1,8</w:t>
            </w:r>
          </w:p>
        </w:tc>
        <w:tc>
          <w:tcPr>
            <w:tcW w:w="5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1995</w:t>
            </w:r>
          </w:p>
        </w:tc>
        <w:tc>
          <w:tcPr>
            <w:tcW w:w="119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н/д</w:t>
            </w:r>
          </w:p>
        </w:tc>
        <w:tc>
          <w:tcPr>
            <w:tcW w:w="118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н/д</w:t>
            </w:r>
          </w:p>
        </w:tc>
        <w:tc>
          <w:tcPr>
            <w:tcW w:w="12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не менее 15 лет</w:t>
            </w:r>
          </w:p>
        </w:tc>
      </w:tr>
      <w:tr>
        <w:trPr>
          <w:trHeight w:val="20" w:hRule="atLeast"/>
        </w:trPr>
        <w:tc>
          <w:tcPr>
            <w:tcW w:w="30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sz w:val="20"/>
                <w:szCs w:val="20"/>
                <w:lang w:eastAsia="ru-RU"/>
              </w:rPr>
            </w:pPr>
            <w:r>
              <w:rPr>
                <w:sz w:val="20"/>
                <w:szCs w:val="20"/>
                <w:lang w:eastAsia="ru-RU"/>
              </w:rPr>
            </w:r>
          </w:p>
        </w:tc>
        <w:tc>
          <w:tcPr>
            <w:tcW w:w="164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sz w:val="20"/>
                <w:szCs w:val="20"/>
                <w:lang w:eastAsia="ru-RU"/>
              </w:rPr>
            </w:pPr>
            <w:r>
              <w:rPr>
                <w:sz w:val="20"/>
                <w:szCs w:val="20"/>
                <w:lang w:eastAsia="ru-RU"/>
              </w:rPr>
            </w:r>
          </w:p>
        </w:tc>
        <w:tc>
          <w:tcPr>
            <w:tcW w:w="153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sz w:val="20"/>
                <w:szCs w:val="20"/>
                <w:lang w:eastAsia="ru-RU"/>
              </w:rPr>
            </w:pPr>
            <w:r>
              <w:rPr>
                <w:sz w:val="20"/>
                <w:szCs w:val="20"/>
                <w:lang w:eastAsia="ru-RU"/>
              </w:rPr>
            </w:r>
          </w:p>
        </w:tc>
        <w:tc>
          <w:tcPr>
            <w:tcW w:w="10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ВВД-1,8</w:t>
            </w:r>
          </w:p>
        </w:tc>
        <w:tc>
          <w:tcPr>
            <w:tcW w:w="9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1,8</w:t>
            </w:r>
          </w:p>
        </w:tc>
        <w:tc>
          <w:tcPr>
            <w:tcW w:w="5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1995</w:t>
            </w:r>
          </w:p>
        </w:tc>
        <w:tc>
          <w:tcPr>
            <w:tcW w:w="119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н/д</w:t>
            </w:r>
          </w:p>
        </w:tc>
        <w:tc>
          <w:tcPr>
            <w:tcW w:w="118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н/д</w:t>
            </w:r>
          </w:p>
        </w:tc>
        <w:tc>
          <w:tcPr>
            <w:tcW w:w="12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не менее 15 лет</w:t>
            </w:r>
          </w:p>
        </w:tc>
      </w:tr>
      <w:tr>
        <w:trPr>
          <w:trHeight w:val="20" w:hRule="atLeast"/>
        </w:trPr>
        <w:tc>
          <w:tcPr>
            <w:tcW w:w="30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sz w:val="20"/>
                <w:szCs w:val="20"/>
                <w:lang w:eastAsia="ru-RU"/>
              </w:rPr>
            </w:pPr>
            <w:r>
              <w:rPr>
                <w:sz w:val="20"/>
                <w:szCs w:val="20"/>
                <w:lang w:eastAsia="ru-RU"/>
              </w:rPr>
            </w:r>
          </w:p>
        </w:tc>
        <w:tc>
          <w:tcPr>
            <w:tcW w:w="164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sz w:val="20"/>
                <w:szCs w:val="20"/>
                <w:lang w:eastAsia="ru-RU"/>
              </w:rPr>
            </w:pPr>
            <w:r>
              <w:rPr>
                <w:sz w:val="20"/>
                <w:szCs w:val="20"/>
                <w:lang w:eastAsia="ru-RU"/>
              </w:rPr>
            </w:r>
          </w:p>
        </w:tc>
        <w:tc>
          <w:tcPr>
            <w:tcW w:w="153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sz w:val="20"/>
                <w:szCs w:val="20"/>
                <w:lang w:eastAsia="ru-RU"/>
              </w:rPr>
            </w:pPr>
            <w:r>
              <w:rPr>
                <w:sz w:val="20"/>
                <w:szCs w:val="20"/>
                <w:lang w:eastAsia="ru-RU"/>
              </w:rPr>
            </w:r>
          </w:p>
        </w:tc>
        <w:tc>
          <w:tcPr>
            <w:tcW w:w="10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ВВД-1,8</w:t>
            </w:r>
          </w:p>
        </w:tc>
        <w:tc>
          <w:tcPr>
            <w:tcW w:w="9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1,8</w:t>
            </w:r>
          </w:p>
        </w:tc>
        <w:tc>
          <w:tcPr>
            <w:tcW w:w="5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1998</w:t>
            </w:r>
          </w:p>
        </w:tc>
        <w:tc>
          <w:tcPr>
            <w:tcW w:w="119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н/д</w:t>
            </w:r>
          </w:p>
        </w:tc>
        <w:tc>
          <w:tcPr>
            <w:tcW w:w="118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н/д</w:t>
            </w:r>
          </w:p>
        </w:tc>
        <w:tc>
          <w:tcPr>
            <w:tcW w:w="12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не менее 15 лет</w:t>
            </w:r>
          </w:p>
        </w:tc>
      </w:tr>
      <w:tr>
        <w:trPr>
          <w:trHeight w:val="20" w:hRule="atLeast"/>
        </w:trPr>
        <w:tc>
          <w:tcPr>
            <w:tcW w:w="302"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5</w:t>
            </w:r>
          </w:p>
        </w:tc>
        <w:tc>
          <w:tcPr>
            <w:tcW w:w="1645"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r>
          </w:p>
        </w:tc>
        <w:tc>
          <w:tcPr>
            <w:tcW w:w="1538"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котельная № 7, пгт.Октябрьское, ул.Медицинская, 3Б</w:t>
            </w:r>
          </w:p>
        </w:tc>
        <w:tc>
          <w:tcPr>
            <w:tcW w:w="10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Sermet-S3V-120-10</w:t>
            </w:r>
          </w:p>
        </w:tc>
        <w:tc>
          <w:tcPr>
            <w:tcW w:w="9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2,58</w:t>
            </w:r>
          </w:p>
        </w:tc>
        <w:tc>
          <w:tcPr>
            <w:tcW w:w="5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1997</w:t>
            </w:r>
          </w:p>
        </w:tc>
        <w:tc>
          <w:tcPr>
            <w:tcW w:w="119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н/д</w:t>
            </w:r>
          </w:p>
        </w:tc>
        <w:tc>
          <w:tcPr>
            <w:tcW w:w="118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2012</w:t>
            </w:r>
          </w:p>
        </w:tc>
        <w:tc>
          <w:tcPr>
            <w:tcW w:w="12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не менее 15 лет</w:t>
            </w:r>
          </w:p>
        </w:tc>
      </w:tr>
      <w:tr>
        <w:trPr>
          <w:trHeight w:val="20" w:hRule="atLeast"/>
        </w:trPr>
        <w:tc>
          <w:tcPr>
            <w:tcW w:w="30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sz w:val="20"/>
                <w:szCs w:val="20"/>
                <w:lang w:eastAsia="ru-RU"/>
              </w:rPr>
            </w:pPr>
            <w:r>
              <w:rPr>
                <w:sz w:val="20"/>
                <w:szCs w:val="20"/>
                <w:lang w:eastAsia="ru-RU"/>
              </w:rPr>
            </w:r>
          </w:p>
        </w:tc>
        <w:tc>
          <w:tcPr>
            <w:tcW w:w="164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sz w:val="20"/>
                <w:szCs w:val="20"/>
                <w:lang w:eastAsia="ru-RU"/>
              </w:rPr>
            </w:pPr>
            <w:r>
              <w:rPr>
                <w:sz w:val="20"/>
                <w:szCs w:val="20"/>
                <w:lang w:eastAsia="ru-RU"/>
              </w:rPr>
            </w:r>
          </w:p>
        </w:tc>
        <w:tc>
          <w:tcPr>
            <w:tcW w:w="153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sz w:val="20"/>
                <w:szCs w:val="20"/>
                <w:lang w:eastAsia="ru-RU"/>
              </w:rPr>
            </w:pPr>
            <w:r>
              <w:rPr>
                <w:sz w:val="20"/>
                <w:szCs w:val="20"/>
                <w:lang w:eastAsia="ru-RU"/>
              </w:rPr>
            </w:r>
          </w:p>
        </w:tc>
        <w:tc>
          <w:tcPr>
            <w:tcW w:w="10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Sermet-S3V-120-10</w:t>
            </w:r>
          </w:p>
        </w:tc>
        <w:tc>
          <w:tcPr>
            <w:tcW w:w="9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2,58</w:t>
            </w:r>
          </w:p>
        </w:tc>
        <w:tc>
          <w:tcPr>
            <w:tcW w:w="5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1997</w:t>
            </w:r>
          </w:p>
        </w:tc>
        <w:tc>
          <w:tcPr>
            <w:tcW w:w="119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н/д</w:t>
            </w:r>
          </w:p>
        </w:tc>
        <w:tc>
          <w:tcPr>
            <w:tcW w:w="118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2012</w:t>
            </w:r>
          </w:p>
        </w:tc>
        <w:tc>
          <w:tcPr>
            <w:tcW w:w="12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не менее 15 лет</w:t>
            </w:r>
          </w:p>
        </w:tc>
      </w:tr>
      <w:tr>
        <w:trPr>
          <w:trHeight w:val="20" w:hRule="atLeast"/>
        </w:trPr>
        <w:tc>
          <w:tcPr>
            <w:tcW w:w="302"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6</w:t>
            </w:r>
          </w:p>
        </w:tc>
        <w:tc>
          <w:tcPr>
            <w:tcW w:w="164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sz w:val="20"/>
                <w:szCs w:val="20"/>
                <w:lang w:eastAsia="ru-RU"/>
              </w:rPr>
            </w:pPr>
            <w:r>
              <w:rPr>
                <w:sz w:val="20"/>
                <w:szCs w:val="20"/>
                <w:lang w:eastAsia="ru-RU"/>
              </w:rPr>
            </w:r>
          </w:p>
        </w:tc>
        <w:tc>
          <w:tcPr>
            <w:tcW w:w="1538"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котельная № 12, пгт.Октябрьское, ул.Медицинская, 3к</w:t>
            </w:r>
          </w:p>
        </w:tc>
        <w:tc>
          <w:tcPr>
            <w:tcW w:w="10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val="en-US" w:eastAsia="ru-RU"/>
              </w:rPr>
            </w:pPr>
            <w:r>
              <w:rPr>
                <w:sz w:val="20"/>
                <w:szCs w:val="20"/>
                <w:lang w:val="en-US" w:eastAsia="ru-RU"/>
              </w:rPr>
              <w:t>ARCUS IGNIS F-3000(</w:t>
            </w:r>
            <w:r>
              <w:rPr>
                <w:sz w:val="20"/>
                <w:szCs w:val="20"/>
                <w:lang w:eastAsia="ru-RU"/>
              </w:rPr>
              <w:t>КВа</w:t>
            </w:r>
            <w:r>
              <w:rPr>
                <w:sz w:val="20"/>
                <w:szCs w:val="20"/>
                <w:lang w:val="en-US" w:eastAsia="ru-RU"/>
              </w:rPr>
              <w:t>-3.0</w:t>
            </w:r>
            <w:r>
              <w:rPr>
                <w:sz w:val="20"/>
                <w:szCs w:val="20"/>
                <w:lang w:eastAsia="ru-RU"/>
              </w:rPr>
              <w:t>ГМ</w:t>
            </w:r>
            <w:r>
              <w:rPr>
                <w:sz w:val="20"/>
                <w:szCs w:val="20"/>
                <w:lang w:val="en-US" w:eastAsia="ru-RU"/>
              </w:rPr>
              <w:t>)</w:t>
            </w:r>
          </w:p>
        </w:tc>
        <w:tc>
          <w:tcPr>
            <w:tcW w:w="9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2,56</w:t>
            </w:r>
          </w:p>
        </w:tc>
        <w:tc>
          <w:tcPr>
            <w:tcW w:w="5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2018</w:t>
            </w:r>
          </w:p>
        </w:tc>
        <w:tc>
          <w:tcPr>
            <w:tcW w:w="119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н/д</w:t>
            </w:r>
          </w:p>
        </w:tc>
        <w:tc>
          <w:tcPr>
            <w:tcW w:w="118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2018</w:t>
            </w:r>
          </w:p>
        </w:tc>
        <w:tc>
          <w:tcPr>
            <w:tcW w:w="12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не менее 15 лет</w:t>
            </w:r>
          </w:p>
        </w:tc>
      </w:tr>
      <w:tr>
        <w:trPr>
          <w:trHeight w:val="20" w:hRule="atLeast"/>
        </w:trPr>
        <w:tc>
          <w:tcPr>
            <w:tcW w:w="30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sz w:val="20"/>
                <w:szCs w:val="20"/>
                <w:lang w:eastAsia="ru-RU"/>
              </w:rPr>
            </w:pPr>
            <w:r>
              <w:rPr>
                <w:sz w:val="20"/>
                <w:szCs w:val="20"/>
                <w:lang w:eastAsia="ru-RU"/>
              </w:rPr>
            </w:r>
          </w:p>
        </w:tc>
        <w:tc>
          <w:tcPr>
            <w:tcW w:w="164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sz w:val="20"/>
                <w:szCs w:val="20"/>
                <w:lang w:eastAsia="ru-RU"/>
              </w:rPr>
            </w:pPr>
            <w:r>
              <w:rPr>
                <w:sz w:val="20"/>
                <w:szCs w:val="20"/>
                <w:lang w:eastAsia="ru-RU"/>
              </w:rPr>
            </w:r>
          </w:p>
        </w:tc>
        <w:tc>
          <w:tcPr>
            <w:tcW w:w="153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sz w:val="20"/>
                <w:szCs w:val="20"/>
                <w:lang w:eastAsia="ru-RU"/>
              </w:rPr>
            </w:pPr>
            <w:r>
              <w:rPr>
                <w:sz w:val="20"/>
                <w:szCs w:val="20"/>
                <w:lang w:eastAsia="ru-RU"/>
              </w:rPr>
            </w:r>
          </w:p>
        </w:tc>
        <w:tc>
          <w:tcPr>
            <w:tcW w:w="10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val="en-US" w:eastAsia="ru-RU"/>
              </w:rPr>
            </w:pPr>
            <w:r>
              <w:rPr>
                <w:sz w:val="20"/>
                <w:szCs w:val="20"/>
                <w:lang w:val="en-US" w:eastAsia="ru-RU"/>
              </w:rPr>
              <w:t>ARCUS IGNIS F-2000(</w:t>
            </w:r>
            <w:r>
              <w:rPr>
                <w:sz w:val="20"/>
                <w:szCs w:val="20"/>
                <w:lang w:eastAsia="ru-RU"/>
              </w:rPr>
              <w:t>КВа</w:t>
            </w:r>
            <w:r>
              <w:rPr>
                <w:sz w:val="20"/>
                <w:szCs w:val="20"/>
                <w:lang w:val="en-US" w:eastAsia="ru-RU"/>
              </w:rPr>
              <w:t>-2.0</w:t>
            </w:r>
            <w:r>
              <w:rPr>
                <w:sz w:val="20"/>
                <w:szCs w:val="20"/>
                <w:lang w:eastAsia="ru-RU"/>
              </w:rPr>
              <w:t>ГМ</w:t>
            </w:r>
            <w:r>
              <w:rPr>
                <w:sz w:val="20"/>
                <w:szCs w:val="20"/>
                <w:lang w:val="en-US" w:eastAsia="ru-RU"/>
              </w:rPr>
              <w:t>)</w:t>
            </w:r>
          </w:p>
        </w:tc>
        <w:tc>
          <w:tcPr>
            <w:tcW w:w="9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1,72</w:t>
            </w:r>
          </w:p>
        </w:tc>
        <w:tc>
          <w:tcPr>
            <w:tcW w:w="5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2018</w:t>
            </w:r>
          </w:p>
        </w:tc>
        <w:tc>
          <w:tcPr>
            <w:tcW w:w="119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н/д</w:t>
            </w:r>
          </w:p>
        </w:tc>
        <w:tc>
          <w:tcPr>
            <w:tcW w:w="118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2018</w:t>
            </w:r>
          </w:p>
        </w:tc>
        <w:tc>
          <w:tcPr>
            <w:tcW w:w="12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не менее 15 лет</w:t>
            </w:r>
          </w:p>
        </w:tc>
      </w:tr>
      <w:tr>
        <w:trPr>
          <w:trHeight w:val="70" w:hRule="atLeast"/>
        </w:trPr>
        <w:tc>
          <w:tcPr>
            <w:tcW w:w="30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sz w:val="20"/>
                <w:szCs w:val="20"/>
                <w:lang w:eastAsia="ru-RU"/>
              </w:rPr>
            </w:pPr>
            <w:r>
              <w:rPr>
                <w:sz w:val="20"/>
                <w:szCs w:val="20"/>
                <w:lang w:eastAsia="ru-RU"/>
              </w:rPr>
            </w:r>
          </w:p>
        </w:tc>
        <w:tc>
          <w:tcPr>
            <w:tcW w:w="164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sz w:val="20"/>
                <w:szCs w:val="20"/>
                <w:lang w:eastAsia="ru-RU"/>
              </w:rPr>
            </w:pPr>
            <w:r>
              <w:rPr>
                <w:sz w:val="20"/>
                <w:szCs w:val="20"/>
                <w:lang w:eastAsia="ru-RU"/>
              </w:rPr>
            </w:r>
          </w:p>
        </w:tc>
        <w:tc>
          <w:tcPr>
            <w:tcW w:w="153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sz w:val="20"/>
                <w:szCs w:val="20"/>
                <w:lang w:eastAsia="ru-RU"/>
              </w:rPr>
            </w:pPr>
            <w:r>
              <w:rPr>
                <w:sz w:val="20"/>
                <w:szCs w:val="20"/>
                <w:lang w:eastAsia="ru-RU"/>
              </w:rPr>
            </w:r>
          </w:p>
        </w:tc>
        <w:tc>
          <w:tcPr>
            <w:tcW w:w="10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КСВ-1</w:t>
            </w:r>
          </w:p>
        </w:tc>
        <w:tc>
          <w:tcPr>
            <w:tcW w:w="9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0,86</w:t>
            </w:r>
          </w:p>
        </w:tc>
        <w:tc>
          <w:tcPr>
            <w:tcW w:w="5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2005</w:t>
            </w:r>
          </w:p>
        </w:tc>
        <w:tc>
          <w:tcPr>
            <w:tcW w:w="119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н/д</w:t>
            </w:r>
          </w:p>
        </w:tc>
        <w:tc>
          <w:tcPr>
            <w:tcW w:w="118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н/д</w:t>
            </w:r>
          </w:p>
        </w:tc>
        <w:tc>
          <w:tcPr>
            <w:tcW w:w="12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не менее 15 лет</w:t>
            </w:r>
          </w:p>
        </w:tc>
      </w:tr>
      <w:tr>
        <w:trPr>
          <w:trHeight w:val="20" w:hRule="atLeast"/>
        </w:trPr>
        <w:tc>
          <w:tcPr>
            <w:tcW w:w="302"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7</w:t>
            </w:r>
          </w:p>
        </w:tc>
        <w:tc>
          <w:tcPr>
            <w:tcW w:w="164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sz w:val="20"/>
                <w:szCs w:val="20"/>
                <w:lang w:eastAsia="ru-RU"/>
              </w:rPr>
            </w:pPr>
            <w:r>
              <w:rPr>
                <w:sz w:val="20"/>
                <w:szCs w:val="20"/>
                <w:lang w:eastAsia="ru-RU"/>
              </w:rPr>
            </w:r>
          </w:p>
        </w:tc>
        <w:tc>
          <w:tcPr>
            <w:tcW w:w="1538"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котельная № 8, пгт.Октябрьское, ул.50 лет Победы, 38А</w:t>
            </w:r>
          </w:p>
        </w:tc>
        <w:tc>
          <w:tcPr>
            <w:tcW w:w="10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ЗиОСаБ -250М,КВа-0,25 ЛЖ</w:t>
            </w:r>
          </w:p>
        </w:tc>
        <w:tc>
          <w:tcPr>
            <w:tcW w:w="9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0,215</w:t>
            </w:r>
          </w:p>
        </w:tc>
        <w:tc>
          <w:tcPr>
            <w:tcW w:w="5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2006</w:t>
            </w:r>
          </w:p>
        </w:tc>
        <w:tc>
          <w:tcPr>
            <w:tcW w:w="119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н/д</w:t>
            </w:r>
          </w:p>
        </w:tc>
        <w:tc>
          <w:tcPr>
            <w:tcW w:w="118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н/д</w:t>
            </w:r>
          </w:p>
        </w:tc>
        <w:tc>
          <w:tcPr>
            <w:tcW w:w="12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не менее 15 лет</w:t>
            </w:r>
          </w:p>
        </w:tc>
      </w:tr>
      <w:tr>
        <w:trPr>
          <w:trHeight w:val="20" w:hRule="atLeast"/>
        </w:trPr>
        <w:tc>
          <w:tcPr>
            <w:tcW w:w="30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sz w:val="20"/>
                <w:szCs w:val="20"/>
                <w:lang w:eastAsia="ru-RU"/>
              </w:rPr>
            </w:pPr>
            <w:r>
              <w:rPr>
                <w:sz w:val="20"/>
                <w:szCs w:val="20"/>
                <w:lang w:eastAsia="ru-RU"/>
              </w:rPr>
            </w:r>
          </w:p>
        </w:tc>
        <w:tc>
          <w:tcPr>
            <w:tcW w:w="164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sz w:val="20"/>
                <w:szCs w:val="20"/>
                <w:lang w:eastAsia="ru-RU"/>
              </w:rPr>
            </w:pPr>
            <w:r>
              <w:rPr>
                <w:sz w:val="20"/>
                <w:szCs w:val="20"/>
                <w:lang w:eastAsia="ru-RU"/>
              </w:rPr>
            </w:r>
          </w:p>
        </w:tc>
        <w:tc>
          <w:tcPr>
            <w:tcW w:w="153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sz w:val="20"/>
                <w:szCs w:val="20"/>
                <w:lang w:eastAsia="ru-RU"/>
              </w:rPr>
            </w:pPr>
            <w:r>
              <w:rPr>
                <w:sz w:val="20"/>
                <w:szCs w:val="20"/>
                <w:lang w:eastAsia="ru-RU"/>
              </w:rPr>
            </w:r>
          </w:p>
        </w:tc>
        <w:tc>
          <w:tcPr>
            <w:tcW w:w="10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ЗиОСаБ -250М,КВа-0,25 ЛЖ</w:t>
            </w:r>
          </w:p>
        </w:tc>
        <w:tc>
          <w:tcPr>
            <w:tcW w:w="9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0,215</w:t>
            </w:r>
          </w:p>
        </w:tc>
        <w:tc>
          <w:tcPr>
            <w:tcW w:w="5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2006</w:t>
            </w:r>
          </w:p>
        </w:tc>
        <w:tc>
          <w:tcPr>
            <w:tcW w:w="119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н/д</w:t>
            </w:r>
          </w:p>
        </w:tc>
        <w:tc>
          <w:tcPr>
            <w:tcW w:w="118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н/д</w:t>
            </w:r>
          </w:p>
        </w:tc>
        <w:tc>
          <w:tcPr>
            <w:tcW w:w="12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не менее 15 лет</w:t>
            </w:r>
          </w:p>
        </w:tc>
      </w:tr>
    </w:tbl>
    <w:p>
      <w:pPr>
        <w:pStyle w:val="Normal"/>
        <w:ind w:firstLine="709"/>
        <w:jc w:val="both"/>
        <w:rPr>
          <w:rFonts w:eastAsia="Calibri" w:cs="Calibri"/>
          <w:szCs w:val="22"/>
          <w:lang w:eastAsia="en-US"/>
        </w:rPr>
      </w:pPr>
      <w:r>
        <w:rPr/>
        <w:t xml:space="preserve">Как видно из выше приведенной таблицы большая часть основного теплоэнергетического оборудования котельных находится на грани выработки своего паркового ресурса. Средневзвешенный срок службы основного оборудования источника составляет более 15 лет.  Что в свою очередь приводит к снижению надежности и экономичности источника теплоснабжения. </w:t>
      </w:r>
    </w:p>
    <w:p>
      <w:pPr>
        <w:pStyle w:val="Normal"/>
        <w:ind w:firstLine="709"/>
        <w:jc w:val="both"/>
        <w:rPr>
          <w:rFonts w:eastAsia="Calibri" w:cs="Calibri"/>
          <w:szCs w:val="22"/>
          <w:lang w:eastAsia="en-US"/>
        </w:rPr>
      </w:pPr>
      <w:r>
        <w:rPr>
          <w:rFonts w:eastAsia="Calibri" w:cs="Calibri"/>
          <w:szCs w:val="22"/>
          <w:lang w:eastAsia="en-US"/>
        </w:rPr>
      </w:r>
    </w:p>
    <w:p>
      <w:pPr>
        <w:pStyle w:val="Normal"/>
        <w:ind w:firstLine="709"/>
        <w:jc w:val="both"/>
        <w:rPr>
          <w:rFonts w:eastAsia="Calibri" w:cs="Calibri"/>
          <w:szCs w:val="22"/>
          <w:lang w:eastAsia="en-US"/>
        </w:rPr>
      </w:pPr>
      <w:r>
        <w:rPr>
          <w:rFonts w:eastAsia="Calibri Light" w:cs="Calibri Light"/>
          <w:b/>
          <w:lang w:eastAsia="en-US"/>
        </w:rPr>
        <w:t>1.2.6. Схемы выдачи тепловой мощности, структура теплофикационных установок (для источников тепловой энергии, функционирующих в режиме комбинированной выработки электрической и тепловой энергии)</w:t>
      </w:r>
    </w:p>
    <w:p>
      <w:pPr>
        <w:pStyle w:val="Normal"/>
        <w:ind w:firstLine="709"/>
        <w:jc w:val="both"/>
        <w:rPr>
          <w:rFonts w:eastAsia="Calibri" w:cs="Calibri"/>
          <w:szCs w:val="22"/>
          <w:lang w:eastAsia="en-US"/>
        </w:rPr>
      </w:pPr>
      <w:r>
        <w:rPr>
          <w:rFonts w:eastAsia="Calibri" w:cs="Calibri"/>
          <w:szCs w:val="22"/>
          <w:lang w:eastAsia="en-US"/>
        </w:rPr>
        <w:t>Ввиду отсутствия на рассматриваемой территории теплофикационного оборудования, а также перспективных планов по строительству на территории источников с комбинированной выработкой тепловой и электрической энергии, данный пункт не рассматривается.</w:t>
      </w:r>
      <w:bookmarkStart w:id="551" w:name="_Toc181340354"/>
      <w:bookmarkStart w:id="552" w:name="_Toc160529887"/>
      <w:bookmarkStart w:id="553" w:name="_Toc535409483"/>
      <w:bookmarkStart w:id="554" w:name="sub_1286"/>
      <w:bookmarkEnd w:id="554"/>
    </w:p>
    <w:p>
      <w:pPr>
        <w:pStyle w:val="Normal"/>
        <w:ind w:firstLine="709"/>
        <w:jc w:val="both"/>
        <w:rPr>
          <w:rFonts w:eastAsia="Calibri" w:cs="Calibri"/>
          <w:szCs w:val="22"/>
          <w:lang w:eastAsia="en-US"/>
        </w:rPr>
      </w:pPr>
      <w:r>
        <w:rPr>
          <w:rFonts w:eastAsia="Calibri" w:cs="Calibri"/>
          <w:szCs w:val="22"/>
          <w:lang w:eastAsia="en-US"/>
        </w:rPr>
      </w:r>
    </w:p>
    <w:p>
      <w:pPr>
        <w:pStyle w:val="Normal"/>
        <w:ind w:firstLine="709"/>
        <w:jc w:val="both"/>
        <w:rPr>
          <w:rFonts w:eastAsia="Calibri" w:cs="Calibri"/>
          <w:szCs w:val="22"/>
          <w:lang w:eastAsia="en-US"/>
        </w:rPr>
      </w:pPr>
      <w:r>
        <w:rPr>
          <w:rFonts w:eastAsia="Calibri Light" w:cs="Calibri Light"/>
          <w:b/>
          <w:lang w:eastAsia="en-US"/>
        </w:rPr>
        <w:t>1.2.7. Способы регулирования отпуска тепловой энергии от источников тепловой энергии с обоснованием выбора графика изменения температур и расхода теплоносителя в зависимости от температуры наружного воздуха</w:t>
      </w:r>
      <w:bookmarkEnd w:id="551"/>
      <w:bookmarkEnd w:id="552"/>
      <w:bookmarkEnd w:id="553"/>
    </w:p>
    <w:p>
      <w:pPr>
        <w:pStyle w:val="Normal"/>
        <w:ind w:firstLine="709"/>
        <w:jc w:val="both"/>
        <w:rPr>
          <w:rFonts w:eastAsia="Calibri" w:cs="Calibri"/>
          <w:szCs w:val="22"/>
          <w:lang w:eastAsia="en-US"/>
        </w:rPr>
      </w:pPr>
      <w:r>
        <w:rPr>
          <w:rFonts w:eastAsia="Calibri" w:cs="Calibri"/>
          <w:szCs w:val="22"/>
          <w:lang w:eastAsia="en-US"/>
        </w:rPr>
        <w:t>От тепловых источников осуществляется центральное качественное регулирование отпуска тепла в тепловые сети. График изменения температур теплоносителя определен при проектировании и строительстве системы теплоснабжения.</w:t>
      </w:r>
    </w:p>
    <w:p>
      <w:pPr>
        <w:pStyle w:val="Normal"/>
        <w:ind w:firstLine="709"/>
        <w:jc w:val="both"/>
        <w:rPr>
          <w:rFonts w:eastAsia="Calibri" w:cs="Calibri"/>
          <w:szCs w:val="22"/>
          <w:lang w:eastAsia="en-US"/>
        </w:rPr>
      </w:pPr>
      <w:r>
        <w:rPr>
          <w:rFonts w:eastAsia="Calibri" w:cs="Calibri"/>
          <w:szCs w:val="22"/>
          <w:lang w:eastAsia="en-US"/>
        </w:rPr>
        <w:t>Изменение температуры теплоносителя производится посредством изменения количества подаваемого на горение топлива.</w:t>
      </w:r>
    </w:p>
    <w:p>
      <w:pPr>
        <w:pStyle w:val="Normal"/>
        <w:ind w:firstLine="709"/>
        <w:jc w:val="both"/>
        <w:rPr>
          <w:rFonts w:eastAsia="Calibri" w:cs="Calibri"/>
          <w:szCs w:val="22"/>
          <w:lang w:eastAsia="en-US"/>
        </w:rPr>
      </w:pPr>
      <w:r>
        <w:rPr>
          <w:rFonts w:eastAsia="Calibri" w:cs="Calibri"/>
          <w:szCs w:val="22"/>
          <w:lang w:eastAsia="en-US"/>
        </w:rPr>
        <w:t>Подключение потребителей к тепловой сети следующее:</w:t>
      </w:r>
    </w:p>
    <w:p>
      <w:pPr>
        <w:pStyle w:val="Normal"/>
        <w:ind w:firstLine="709"/>
        <w:jc w:val="both"/>
        <w:rPr>
          <w:rFonts w:eastAsia="Calibri" w:cs="Calibri"/>
          <w:szCs w:val="22"/>
          <w:lang w:eastAsia="en-US"/>
        </w:rPr>
      </w:pPr>
      <w:r>
        <w:rPr>
          <w:rFonts w:eastAsia="Calibri" w:cs="Calibri"/>
          <w:szCs w:val="22"/>
          <w:lang w:eastAsia="en-US"/>
        </w:rPr>
        <w:t>- при температуре в прямом трубопроводе 95°C  – непосредственное присоединение систем отопления к тепловой сети.</w:t>
      </w:r>
    </w:p>
    <w:p>
      <w:pPr>
        <w:pStyle w:val="Normal"/>
        <w:ind w:firstLine="709"/>
        <w:jc w:val="both"/>
        <w:rPr>
          <w:rFonts w:eastAsia="Calibri" w:cs="Calibri"/>
          <w:szCs w:val="22"/>
          <w:lang w:eastAsia="en-US"/>
        </w:rPr>
      </w:pPr>
      <w:r>
        <w:rPr>
          <w:rFonts w:eastAsia="Calibri" w:cs="Calibri"/>
          <w:szCs w:val="22"/>
          <w:lang w:eastAsia="en-US"/>
        </w:rPr>
      </w:r>
      <w:bookmarkStart w:id="555" w:name="_Hlk160708971"/>
      <w:bookmarkStart w:id="556" w:name="_Hlk160645318"/>
      <w:bookmarkStart w:id="557" w:name="_Hlk160708971"/>
      <w:bookmarkStart w:id="558" w:name="_Hlk160645318"/>
      <w:bookmarkEnd w:id="557"/>
      <w:bookmarkEnd w:id="558"/>
    </w:p>
    <w:p>
      <w:pPr>
        <w:pStyle w:val="Normal"/>
        <w:keepNext w:val="true"/>
        <w:keepLines/>
        <w:numPr>
          <w:ilvl w:val="0"/>
          <w:numId w:val="0"/>
        </w:numPr>
        <w:ind w:left="0" w:firstLine="709"/>
        <w:jc w:val="both"/>
        <w:outlineLvl w:val="2"/>
        <w:rPr>
          <w:rFonts w:eastAsia="Calibri Light" w:cs="Calibri Light"/>
          <w:b/>
          <w:b/>
          <w:lang w:eastAsia="en-US"/>
        </w:rPr>
      </w:pPr>
      <w:bookmarkStart w:id="559" w:name="_Toc160529888"/>
      <w:bookmarkStart w:id="560" w:name="_Toc181340355"/>
      <w:bookmarkStart w:id="561" w:name="sub_1287"/>
      <w:bookmarkStart w:id="562" w:name="_Toc535409484"/>
      <w:bookmarkEnd w:id="561"/>
      <w:bookmarkEnd w:id="562"/>
      <w:r>
        <w:rPr>
          <w:rFonts w:eastAsia="Calibri Light" w:cs="Calibri Light"/>
          <w:b/>
          <w:lang w:eastAsia="en-US"/>
        </w:rPr>
        <w:t>1.2.8. Среднегодовая загрузка оборудования</w:t>
      </w:r>
      <w:bookmarkEnd w:id="559"/>
      <w:bookmarkEnd w:id="560"/>
    </w:p>
    <w:p>
      <w:pPr>
        <w:pStyle w:val="Normal"/>
        <w:ind w:firstLine="709"/>
        <w:jc w:val="both"/>
        <w:rPr>
          <w:rFonts w:eastAsia="Calibri" w:cs="Calibri"/>
          <w:szCs w:val="22"/>
          <w:lang w:eastAsia="en-US"/>
        </w:rPr>
      </w:pPr>
      <w:r>
        <w:rPr>
          <w:rFonts w:eastAsia="Calibri" w:cs="Calibri"/>
          <w:szCs w:val="22"/>
          <w:lang w:eastAsia="en-US"/>
        </w:rPr>
        <w:t>Среднегодовая загрузка оборудования определяется числом часов использования установленной тепловой мощности источника теплоснабжения.</w:t>
      </w:r>
    </w:p>
    <w:p>
      <w:pPr>
        <w:pStyle w:val="Normal"/>
        <w:ind w:firstLine="709"/>
        <w:jc w:val="both"/>
        <w:rPr>
          <w:rFonts w:eastAsia="Calibri" w:cs="Calibri"/>
          <w:szCs w:val="22"/>
          <w:lang w:eastAsia="en-US"/>
        </w:rPr>
      </w:pPr>
      <w:r>
        <w:rPr>
          <w:rFonts w:eastAsia="Calibri" w:cs="Calibri"/>
          <w:szCs w:val="22"/>
          <w:lang w:eastAsia="en-US"/>
        </w:rPr>
        <w:t>Число часов использования установленной тепловой мощности – это отношение выработанной источником теплоснабжения тепловой энергии в течение года, к установленной тепловой мощности источника теплоснабжения.</w:t>
      </w:r>
    </w:p>
    <w:p>
      <w:pPr>
        <w:pStyle w:val="Normal"/>
        <w:ind w:firstLine="709"/>
        <w:jc w:val="both"/>
        <w:rPr>
          <w:rFonts w:eastAsia="Calibri" w:cs="Calibri"/>
          <w:szCs w:val="22"/>
          <w:lang w:eastAsia="en-US"/>
        </w:rPr>
      </w:pPr>
      <w:r>
        <w:rPr>
          <w:rFonts w:eastAsia="Calibri" w:cs="Calibri"/>
          <w:szCs w:val="22"/>
          <w:lang w:eastAsia="en-US"/>
        </w:rPr>
        <w:t xml:space="preserve">Анализ загрузки источников проводился исходя из установленной мощности источников. </w:t>
      </w:r>
    </w:p>
    <w:p>
      <w:pPr>
        <w:pStyle w:val="Normal"/>
        <w:ind w:firstLine="709"/>
        <w:jc w:val="both"/>
        <w:rPr>
          <w:rFonts w:eastAsia="Calibri" w:cs="Calibri"/>
          <w:szCs w:val="22"/>
          <w:lang w:eastAsia="en-US"/>
        </w:rPr>
      </w:pPr>
      <w:r>
        <w:rPr>
          <w:rFonts w:eastAsia="Calibri" w:cs="Calibri"/>
          <w:szCs w:val="22"/>
          <w:lang w:eastAsia="en-US"/>
        </w:rPr>
        <w:t>Сведения о среднегодовой загрузке оборудования на 2024 год представлены в таблице 5.</w:t>
      </w:r>
    </w:p>
    <w:p>
      <w:pPr>
        <w:pStyle w:val="Normal"/>
        <w:jc w:val="right"/>
        <w:rPr>
          <w:rFonts w:eastAsia="Calibri" w:cs="Calibri"/>
          <w:szCs w:val="22"/>
          <w:lang w:eastAsia="en-US"/>
        </w:rPr>
      </w:pPr>
      <w:bookmarkStart w:id="563" w:name="_Ref32332925"/>
      <w:bookmarkStart w:id="564" w:name="_Hlk160645327"/>
      <w:bookmarkEnd w:id="564"/>
      <w:r>
        <w:rPr>
          <w:rFonts w:eastAsia="Calibri" w:cs="Calibri"/>
          <w:szCs w:val="22"/>
          <w:lang w:eastAsia="en-US"/>
        </w:rPr>
        <w:t xml:space="preserve">Таблица </w:t>
      </w:r>
      <w:bookmarkEnd w:id="563"/>
      <w:r>
        <w:rPr>
          <w:rFonts w:eastAsia="Calibri" w:cs="Calibri"/>
          <w:szCs w:val="22"/>
          <w:lang w:eastAsia="en-US"/>
        </w:rPr>
        <w:t>5 – Среднегодовая загрузка оборудования источников в зоне деятельности единой теплоснабжающей организации (по данным за 2024 год)</w:t>
      </w:r>
    </w:p>
    <w:tbl>
      <w:tblPr>
        <w:tblW w:w="5000" w:type="pct"/>
        <w:jc w:val="left"/>
        <w:tblInd w:w="0" w:type="dxa"/>
        <w:tblCellMar>
          <w:top w:w="0" w:type="dxa"/>
          <w:left w:w="5" w:type="dxa"/>
          <w:bottom w:w="0" w:type="dxa"/>
          <w:right w:w="5" w:type="dxa"/>
        </w:tblCellMar>
        <w:tblLook w:val="04a0" w:noVBand="1" w:noHBand="0" w:lastColumn="0" w:firstColumn="1" w:lastRow="0" w:firstRow="1"/>
      </w:tblPr>
      <w:tblGrid>
        <w:gridCol w:w="742"/>
        <w:gridCol w:w="3266"/>
        <w:gridCol w:w="2038"/>
        <w:gridCol w:w="1594"/>
        <w:gridCol w:w="1998"/>
      </w:tblGrid>
      <w:tr>
        <w:trPr>
          <w:tblHeader w:val="true"/>
        </w:trPr>
        <w:tc>
          <w:tcPr>
            <w:tcW w:w="7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xml:space="preserve">№ </w:t>
            </w:r>
            <w:r>
              <w:rPr>
                <w:sz w:val="20"/>
                <w:szCs w:val="20"/>
                <w:lang w:eastAsia="ru-RU"/>
              </w:rPr>
              <w:t>п/п</w:t>
            </w:r>
          </w:p>
        </w:tc>
        <w:tc>
          <w:tcPr>
            <w:tcW w:w="32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Наименование и адрес котельной</w:t>
            </w:r>
          </w:p>
        </w:tc>
        <w:tc>
          <w:tcPr>
            <w:tcW w:w="203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Установленная мощность, Гкал/ч</w:t>
            </w:r>
          </w:p>
        </w:tc>
        <w:tc>
          <w:tcPr>
            <w:tcW w:w="15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Выработка тепл-й энергии за год, Гкал/год</w:t>
            </w:r>
          </w:p>
        </w:tc>
        <w:tc>
          <w:tcPr>
            <w:tcW w:w="19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Число часов использования УТМ, час.</w:t>
            </w:r>
          </w:p>
        </w:tc>
      </w:tr>
      <w:tr>
        <w:trPr/>
        <w:tc>
          <w:tcPr>
            <w:tcW w:w="7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r>
          </w:p>
        </w:tc>
        <w:tc>
          <w:tcPr>
            <w:tcW w:w="8896"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городское поселение Октябрьское</w:t>
            </w:r>
          </w:p>
        </w:tc>
      </w:tr>
      <w:tr>
        <w:trPr/>
        <w:tc>
          <w:tcPr>
            <w:tcW w:w="7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w:t>
            </w:r>
          </w:p>
        </w:tc>
        <w:tc>
          <w:tcPr>
            <w:tcW w:w="32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xml:space="preserve">котельная № 1, пгт.Октябрьское, </w:t>
            </w:r>
          </w:p>
          <w:p>
            <w:pPr>
              <w:pStyle w:val="Normal"/>
              <w:jc w:val="center"/>
              <w:rPr>
                <w:sz w:val="20"/>
                <w:szCs w:val="20"/>
                <w:lang w:eastAsia="ru-RU"/>
              </w:rPr>
            </w:pPr>
            <w:r>
              <w:rPr>
                <w:sz w:val="20"/>
                <w:szCs w:val="20"/>
                <w:lang w:eastAsia="ru-RU"/>
              </w:rPr>
              <w:t>ул.Сенькина, 46б</w:t>
            </w:r>
          </w:p>
        </w:tc>
        <w:tc>
          <w:tcPr>
            <w:tcW w:w="2038"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10,32</w:t>
            </w:r>
          </w:p>
        </w:tc>
        <w:tc>
          <w:tcPr>
            <w:tcW w:w="1594"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7951,19</w:t>
            </w:r>
          </w:p>
        </w:tc>
        <w:tc>
          <w:tcPr>
            <w:tcW w:w="1998"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770</w:t>
            </w:r>
          </w:p>
        </w:tc>
      </w:tr>
      <w:tr>
        <w:trPr/>
        <w:tc>
          <w:tcPr>
            <w:tcW w:w="7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2</w:t>
            </w:r>
          </w:p>
        </w:tc>
        <w:tc>
          <w:tcPr>
            <w:tcW w:w="32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котельная № 2, пгт.Октябрьское,</w:t>
            </w:r>
          </w:p>
          <w:p>
            <w:pPr>
              <w:pStyle w:val="Normal"/>
              <w:jc w:val="center"/>
              <w:rPr>
                <w:sz w:val="20"/>
                <w:szCs w:val="20"/>
                <w:lang w:eastAsia="ru-RU"/>
              </w:rPr>
            </w:pPr>
            <w:r>
              <w:rPr>
                <w:sz w:val="20"/>
                <w:szCs w:val="20"/>
                <w:lang w:eastAsia="ru-RU"/>
              </w:rPr>
              <w:t xml:space="preserve"> </w:t>
            </w:r>
            <w:r>
              <w:rPr>
                <w:sz w:val="20"/>
                <w:szCs w:val="20"/>
                <w:lang w:eastAsia="ru-RU"/>
              </w:rPr>
              <w:t>ул.Пионерская, 17б</w:t>
            </w:r>
          </w:p>
        </w:tc>
        <w:tc>
          <w:tcPr>
            <w:tcW w:w="2038"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7,12</w:t>
            </w:r>
          </w:p>
        </w:tc>
        <w:tc>
          <w:tcPr>
            <w:tcW w:w="1594"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5354,76</w:t>
            </w:r>
          </w:p>
        </w:tc>
        <w:tc>
          <w:tcPr>
            <w:tcW w:w="1998"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752</w:t>
            </w:r>
          </w:p>
        </w:tc>
      </w:tr>
      <w:tr>
        <w:trPr/>
        <w:tc>
          <w:tcPr>
            <w:tcW w:w="7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3</w:t>
            </w:r>
          </w:p>
        </w:tc>
        <w:tc>
          <w:tcPr>
            <w:tcW w:w="32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xml:space="preserve">котельная № 3, пгт.Октябрьское, </w:t>
            </w:r>
          </w:p>
          <w:p>
            <w:pPr>
              <w:pStyle w:val="Normal"/>
              <w:jc w:val="center"/>
              <w:rPr>
                <w:sz w:val="20"/>
                <w:szCs w:val="20"/>
                <w:lang w:eastAsia="ru-RU"/>
              </w:rPr>
            </w:pPr>
            <w:r>
              <w:rPr>
                <w:sz w:val="20"/>
                <w:szCs w:val="20"/>
                <w:lang w:eastAsia="ru-RU"/>
              </w:rPr>
              <w:t>ул.Чапаева, 6б</w:t>
            </w:r>
          </w:p>
        </w:tc>
        <w:tc>
          <w:tcPr>
            <w:tcW w:w="2038"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5,32</w:t>
            </w:r>
          </w:p>
        </w:tc>
        <w:tc>
          <w:tcPr>
            <w:tcW w:w="1594"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4955,25</w:t>
            </w:r>
          </w:p>
        </w:tc>
        <w:tc>
          <w:tcPr>
            <w:tcW w:w="1998"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931</w:t>
            </w:r>
          </w:p>
        </w:tc>
      </w:tr>
      <w:tr>
        <w:trPr/>
        <w:tc>
          <w:tcPr>
            <w:tcW w:w="7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4</w:t>
            </w:r>
          </w:p>
        </w:tc>
        <w:tc>
          <w:tcPr>
            <w:tcW w:w="32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котельная № 6, пгт.Октябрьское,</w:t>
            </w:r>
          </w:p>
          <w:p>
            <w:pPr>
              <w:pStyle w:val="Normal"/>
              <w:jc w:val="center"/>
              <w:rPr>
                <w:sz w:val="20"/>
                <w:szCs w:val="20"/>
                <w:lang w:eastAsia="ru-RU"/>
              </w:rPr>
            </w:pPr>
            <w:r>
              <w:rPr>
                <w:sz w:val="20"/>
                <w:szCs w:val="20"/>
                <w:lang w:eastAsia="ru-RU"/>
              </w:rPr>
              <w:t xml:space="preserve"> </w:t>
            </w:r>
            <w:r>
              <w:rPr>
                <w:sz w:val="20"/>
                <w:szCs w:val="20"/>
                <w:lang w:eastAsia="ru-RU"/>
              </w:rPr>
              <w:t>ул.Дзержинского, 2б</w:t>
            </w:r>
          </w:p>
        </w:tc>
        <w:tc>
          <w:tcPr>
            <w:tcW w:w="2038"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5,4</w:t>
            </w:r>
          </w:p>
        </w:tc>
        <w:tc>
          <w:tcPr>
            <w:tcW w:w="1594"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3100,57</w:t>
            </w:r>
          </w:p>
        </w:tc>
        <w:tc>
          <w:tcPr>
            <w:tcW w:w="1998"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574</w:t>
            </w:r>
          </w:p>
        </w:tc>
      </w:tr>
      <w:tr>
        <w:trPr/>
        <w:tc>
          <w:tcPr>
            <w:tcW w:w="7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5</w:t>
            </w:r>
          </w:p>
        </w:tc>
        <w:tc>
          <w:tcPr>
            <w:tcW w:w="32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xml:space="preserve">котельная № 7, пгт.Октябрьское, </w:t>
            </w:r>
          </w:p>
          <w:p>
            <w:pPr>
              <w:pStyle w:val="Normal"/>
              <w:jc w:val="center"/>
              <w:rPr>
                <w:sz w:val="20"/>
                <w:szCs w:val="20"/>
                <w:lang w:eastAsia="ru-RU"/>
              </w:rPr>
            </w:pPr>
            <w:r>
              <w:rPr>
                <w:sz w:val="20"/>
                <w:szCs w:val="20"/>
                <w:lang w:eastAsia="ru-RU"/>
              </w:rPr>
              <w:t>ул.Медицинская, 3Б</w:t>
            </w:r>
          </w:p>
        </w:tc>
        <w:tc>
          <w:tcPr>
            <w:tcW w:w="2038"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5,16</w:t>
            </w:r>
          </w:p>
        </w:tc>
        <w:tc>
          <w:tcPr>
            <w:tcW w:w="1594"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3774,45</w:t>
            </w:r>
          </w:p>
        </w:tc>
        <w:tc>
          <w:tcPr>
            <w:tcW w:w="1998"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731</w:t>
            </w:r>
          </w:p>
        </w:tc>
      </w:tr>
      <w:tr>
        <w:trPr/>
        <w:tc>
          <w:tcPr>
            <w:tcW w:w="7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6</w:t>
            </w:r>
          </w:p>
        </w:tc>
        <w:tc>
          <w:tcPr>
            <w:tcW w:w="32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котельная № 12, пгт.Октябрьское, ул.Медицинская, 3к</w:t>
            </w:r>
          </w:p>
        </w:tc>
        <w:tc>
          <w:tcPr>
            <w:tcW w:w="2038"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5,16</w:t>
            </w:r>
          </w:p>
        </w:tc>
        <w:tc>
          <w:tcPr>
            <w:tcW w:w="1594"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1550,34</w:t>
            </w:r>
          </w:p>
        </w:tc>
        <w:tc>
          <w:tcPr>
            <w:tcW w:w="1998"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300</w:t>
            </w:r>
          </w:p>
        </w:tc>
      </w:tr>
      <w:tr>
        <w:trPr/>
        <w:tc>
          <w:tcPr>
            <w:tcW w:w="7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7</w:t>
            </w:r>
          </w:p>
        </w:tc>
        <w:tc>
          <w:tcPr>
            <w:tcW w:w="32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xml:space="preserve">котельная № 8, пгт.Октябрьское, </w:t>
            </w:r>
          </w:p>
          <w:p>
            <w:pPr>
              <w:pStyle w:val="Normal"/>
              <w:jc w:val="center"/>
              <w:rPr>
                <w:sz w:val="20"/>
                <w:szCs w:val="20"/>
                <w:lang w:eastAsia="ru-RU"/>
              </w:rPr>
            </w:pPr>
            <w:r>
              <w:rPr>
                <w:sz w:val="20"/>
                <w:szCs w:val="20"/>
                <w:lang w:eastAsia="ru-RU"/>
              </w:rPr>
              <w:t>ул.50 лет Победы, 38А</w:t>
            </w:r>
          </w:p>
        </w:tc>
        <w:tc>
          <w:tcPr>
            <w:tcW w:w="2038"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0,43</w:t>
            </w:r>
          </w:p>
        </w:tc>
        <w:tc>
          <w:tcPr>
            <w:tcW w:w="1594"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152,23</w:t>
            </w:r>
          </w:p>
        </w:tc>
        <w:tc>
          <w:tcPr>
            <w:tcW w:w="1998"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354</w:t>
            </w:r>
          </w:p>
        </w:tc>
      </w:tr>
    </w:tbl>
    <w:p>
      <w:pPr>
        <w:pStyle w:val="Normal"/>
        <w:jc w:val="both"/>
        <w:rPr>
          <w:rFonts w:eastAsia="Calibri" w:cs="Calibri"/>
          <w:szCs w:val="22"/>
          <w:lang w:eastAsia="en-US"/>
        </w:rPr>
      </w:pPr>
      <w:r>
        <w:rPr>
          <w:rFonts w:eastAsia="Calibri" w:cs="Calibri"/>
          <w:szCs w:val="22"/>
          <w:lang w:eastAsia="en-US"/>
        </w:rPr>
      </w:r>
      <w:bookmarkStart w:id="565" w:name="sub_1288"/>
      <w:bookmarkStart w:id="566" w:name="sub_1288"/>
      <w:bookmarkEnd w:id="566"/>
    </w:p>
    <w:p>
      <w:pPr>
        <w:pStyle w:val="Normal"/>
        <w:keepNext w:val="true"/>
        <w:keepLines/>
        <w:numPr>
          <w:ilvl w:val="0"/>
          <w:numId w:val="0"/>
        </w:numPr>
        <w:ind w:left="0" w:firstLine="709"/>
        <w:jc w:val="both"/>
        <w:outlineLvl w:val="2"/>
        <w:rPr>
          <w:rFonts w:eastAsia="Calibri Light" w:cs="Calibri Light"/>
          <w:b/>
          <w:b/>
          <w:lang w:eastAsia="en-US"/>
        </w:rPr>
      </w:pPr>
      <w:bookmarkStart w:id="567" w:name="_Toc160529889"/>
      <w:bookmarkStart w:id="568" w:name="_Toc181340356"/>
      <w:r>
        <w:rPr>
          <w:rFonts w:eastAsia="Calibri Light" w:cs="Calibri Light"/>
          <w:b/>
          <w:lang w:eastAsia="en-US"/>
        </w:rPr>
        <w:t>1.2.9. Способы учета тепла, отпущенного в тепловые сети</w:t>
      </w:r>
      <w:bookmarkEnd w:id="567"/>
      <w:bookmarkEnd w:id="568"/>
    </w:p>
    <w:p>
      <w:pPr>
        <w:pStyle w:val="Normal"/>
        <w:ind w:firstLine="709"/>
        <w:jc w:val="both"/>
        <w:rPr>
          <w:rFonts w:eastAsia="Calibri" w:cs="Calibri"/>
          <w:szCs w:val="22"/>
          <w:lang w:eastAsia="en-US"/>
        </w:rPr>
      </w:pPr>
      <w:r>
        <w:rPr>
          <w:rFonts w:eastAsia="Calibri" w:cs="Calibri"/>
          <w:szCs w:val="22"/>
          <w:lang w:eastAsia="en-US"/>
        </w:rPr>
        <w:t xml:space="preserve">В настоящее время на котельных учет тепловой энергии производится на основании показаний приборов учета тепловой энергии </w:t>
      </w:r>
      <w:r>
        <w:rPr/>
        <w:t xml:space="preserve">и на основании расчетного метода – по объёму потребленного топлива согласно режимным картам котлов и с учетом расхода тепловой энергии на собственные нужды котельных. </w:t>
      </w:r>
    </w:p>
    <w:p>
      <w:pPr>
        <w:pStyle w:val="Normal"/>
        <w:ind w:firstLine="709"/>
        <w:jc w:val="both"/>
        <w:rPr>
          <w:rFonts w:eastAsia="Calibri" w:cs="Calibri"/>
          <w:szCs w:val="22"/>
          <w:lang w:eastAsia="en-US"/>
        </w:rPr>
      </w:pPr>
      <w:r>
        <w:rPr>
          <w:rFonts w:eastAsia="Calibri" w:cs="Calibri"/>
          <w:szCs w:val="22"/>
          <w:lang w:eastAsia="en-US"/>
        </w:rPr>
      </w:r>
    </w:p>
    <w:p>
      <w:pPr>
        <w:pStyle w:val="Normal"/>
        <w:keepNext w:val="true"/>
        <w:keepLines/>
        <w:numPr>
          <w:ilvl w:val="0"/>
          <w:numId w:val="0"/>
        </w:numPr>
        <w:ind w:left="0" w:firstLine="709"/>
        <w:jc w:val="both"/>
        <w:outlineLvl w:val="2"/>
        <w:rPr>
          <w:rFonts w:eastAsia="Calibri Light" w:cs="Calibri Light"/>
          <w:b/>
          <w:b/>
          <w:lang w:eastAsia="en-US"/>
        </w:rPr>
      </w:pPr>
      <w:bookmarkStart w:id="569" w:name="_Toc181340357"/>
      <w:bookmarkStart w:id="570" w:name="_Toc160529890"/>
      <w:bookmarkStart w:id="571" w:name="_Toc535409486"/>
      <w:r>
        <w:rPr>
          <w:rFonts w:eastAsia="Calibri Light" w:cs="Calibri Light"/>
          <w:b/>
          <w:lang w:eastAsia="en-US"/>
        </w:rPr>
        <w:t>1.2.10. Статистика отказов и восстановлений оборудования источников тепловой энергии</w:t>
      </w:r>
      <w:bookmarkEnd w:id="569"/>
      <w:bookmarkEnd w:id="570"/>
      <w:bookmarkEnd w:id="571"/>
    </w:p>
    <w:p>
      <w:pPr>
        <w:pStyle w:val="Normal"/>
        <w:ind w:firstLine="709"/>
        <w:jc w:val="both"/>
        <w:rPr>
          <w:rFonts w:eastAsia="Calibri" w:cs="Calibri"/>
          <w:szCs w:val="22"/>
          <w:lang w:eastAsia="en-US"/>
        </w:rPr>
      </w:pPr>
      <w:r>
        <w:rPr>
          <w:rFonts w:eastAsia="Calibri" w:cs="Calibri"/>
          <w:szCs w:val="22"/>
          <w:lang w:eastAsia="en-US"/>
        </w:rPr>
        <w:t>Отказов и аварий на основном оборудовании источников не происходило. Проводились только плановые и текущие ремонты.</w:t>
      </w:r>
    </w:p>
    <w:p>
      <w:pPr>
        <w:pStyle w:val="Normal"/>
        <w:ind w:firstLine="709"/>
        <w:jc w:val="both"/>
        <w:rPr>
          <w:rFonts w:eastAsia="Calibri" w:cs="Calibri"/>
          <w:szCs w:val="22"/>
          <w:lang w:eastAsia="en-US"/>
        </w:rPr>
      </w:pPr>
      <w:r>
        <w:rPr>
          <w:rFonts w:eastAsia="Calibri" w:cs="Calibri"/>
          <w:szCs w:val="22"/>
          <w:lang w:eastAsia="en-US"/>
        </w:rPr>
      </w:r>
    </w:p>
    <w:p>
      <w:pPr>
        <w:pStyle w:val="Normal"/>
        <w:keepNext w:val="true"/>
        <w:keepLines/>
        <w:numPr>
          <w:ilvl w:val="0"/>
          <w:numId w:val="0"/>
        </w:numPr>
        <w:ind w:left="0" w:firstLine="709"/>
        <w:jc w:val="both"/>
        <w:outlineLvl w:val="2"/>
        <w:rPr>
          <w:rFonts w:eastAsia="Calibri Light" w:cs="Calibri Light"/>
          <w:b/>
          <w:b/>
          <w:lang w:eastAsia="en-US"/>
        </w:rPr>
      </w:pPr>
      <w:bookmarkStart w:id="572" w:name="_Toc181340358"/>
      <w:bookmarkStart w:id="573" w:name="_Toc160529891"/>
      <w:bookmarkStart w:id="574" w:name="_Toc535409487"/>
      <w:bookmarkStart w:id="575" w:name="sub_12810"/>
      <w:bookmarkEnd w:id="575"/>
      <w:r>
        <w:rPr>
          <w:rFonts w:eastAsia="Calibri Light" w:cs="Calibri Light"/>
          <w:b/>
          <w:lang w:eastAsia="en-US"/>
        </w:rPr>
        <w:t>1.2.11. Предписания надзорных органов по запрещению дальнейшей эксплуатации источников тепловой энергии</w:t>
      </w:r>
      <w:bookmarkEnd w:id="572"/>
      <w:bookmarkEnd w:id="573"/>
      <w:bookmarkEnd w:id="574"/>
    </w:p>
    <w:p>
      <w:pPr>
        <w:pStyle w:val="Normal"/>
        <w:ind w:firstLine="709"/>
        <w:jc w:val="both"/>
        <w:rPr>
          <w:rFonts w:eastAsia="Calibri" w:cs="Calibri"/>
          <w:szCs w:val="22"/>
          <w:lang w:eastAsia="en-US"/>
        </w:rPr>
      </w:pPr>
      <w:r>
        <w:rPr>
          <w:rFonts w:eastAsia="Calibri" w:cs="Calibri"/>
          <w:szCs w:val="22"/>
          <w:lang w:eastAsia="en-US"/>
        </w:rPr>
        <w:t>Предписания надзорных органов по запрещению дальнейшей эксплуатации источников тепловой энергии отсутствуют.</w:t>
      </w:r>
    </w:p>
    <w:p>
      <w:pPr>
        <w:pStyle w:val="Normal"/>
        <w:ind w:firstLine="709"/>
        <w:jc w:val="both"/>
        <w:rPr>
          <w:rFonts w:eastAsia="Calibri" w:cs="Calibri"/>
          <w:szCs w:val="22"/>
          <w:lang w:eastAsia="en-US"/>
        </w:rPr>
      </w:pPr>
      <w:r>
        <w:rPr>
          <w:rFonts w:eastAsia="Calibri" w:cs="Calibri"/>
          <w:szCs w:val="22"/>
          <w:lang w:eastAsia="en-US"/>
        </w:rPr>
      </w:r>
    </w:p>
    <w:p>
      <w:pPr>
        <w:pStyle w:val="Normal"/>
        <w:keepNext w:val="true"/>
        <w:keepLines/>
        <w:numPr>
          <w:ilvl w:val="0"/>
          <w:numId w:val="0"/>
        </w:numPr>
        <w:ind w:left="0" w:firstLine="709"/>
        <w:jc w:val="both"/>
        <w:outlineLvl w:val="2"/>
        <w:rPr>
          <w:rFonts w:eastAsia="Calibri Light" w:cs="Calibri Light"/>
          <w:b/>
          <w:b/>
          <w:lang w:eastAsia="en-US"/>
        </w:rPr>
      </w:pPr>
      <w:bookmarkStart w:id="576" w:name="_Toc535409488"/>
      <w:bookmarkStart w:id="577" w:name="_Toc160529892"/>
      <w:bookmarkStart w:id="578" w:name="_Toc181340359"/>
      <w:bookmarkStart w:id="579" w:name="sub_12811"/>
      <w:bookmarkEnd w:id="579"/>
      <w:r>
        <w:rPr>
          <w:rFonts w:eastAsia="Calibri Light" w:cs="Calibri Light"/>
          <w:b/>
          <w:lang w:eastAsia="en-US"/>
        </w:rPr>
        <w:t>1.2.12. Перечень источников тепловой энергии и (или) оборудования (турбоагрегатов), входящего в их состав (для источников тепловой энергии, функционирующих в режиме комбинированной выработки электрической и тепловой энергии), которые отнесены к объектам, электрическая мощность которых поставляется в вынужденном режиме в целях обеспечения надежного теплоснабжения потребителей</w:t>
      </w:r>
      <w:bookmarkEnd w:id="576"/>
      <w:bookmarkEnd w:id="577"/>
      <w:bookmarkEnd w:id="578"/>
    </w:p>
    <w:p>
      <w:pPr>
        <w:pStyle w:val="Normal"/>
        <w:ind w:firstLine="709"/>
        <w:jc w:val="both"/>
        <w:rPr>
          <w:rFonts w:eastAsia="Calibri" w:cs="Calibri"/>
          <w:szCs w:val="22"/>
          <w:lang w:eastAsia="en-US"/>
        </w:rPr>
      </w:pPr>
      <w:r>
        <w:rPr>
          <w:rFonts w:eastAsia="Calibri" w:cs="Calibri"/>
          <w:szCs w:val="22"/>
          <w:lang w:eastAsia="en-US"/>
        </w:rPr>
        <w:t>Перечень энергоисточников и турбоагрегатов электростанций на территории России, мощность которых поставляется в вынужденном режиме, отражен в распоряжении Правительства Российской Федерации от 15.11.2019 № 2689-р «Об отнесении                                        к генерирующим объектам, мощность которых поставляется в вынужденном режиме».</w:t>
      </w:r>
    </w:p>
    <w:p>
      <w:pPr>
        <w:pStyle w:val="Normal"/>
        <w:ind w:firstLine="709"/>
        <w:jc w:val="both"/>
        <w:rPr>
          <w:rFonts w:eastAsia="Calibri" w:cs="Calibri"/>
          <w:szCs w:val="22"/>
          <w:lang w:eastAsia="en-US"/>
        </w:rPr>
      </w:pPr>
      <w:r>
        <w:rPr>
          <w:rFonts w:eastAsia="Calibri" w:cs="Calibri"/>
          <w:szCs w:val="22"/>
          <w:lang w:eastAsia="en-US"/>
        </w:rPr>
        <w:t>Источники тепловой энергии и турбоагрегаты, функционирующие в режиме комбинированной выработки электрической и тепловой энергии, которые отнесены к объектам, электрическая мощность которых поставляется в вынужденном режиме в целях обеспечения надежного теплоснабжения потребителей на территории поселения отсутствуют.</w:t>
      </w:r>
    </w:p>
    <w:p>
      <w:pPr>
        <w:pStyle w:val="Normal"/>
        <w:ind w:firstLine="709"/>
        <w:jc w:val="both"/>
        <w:rPr>
          <w:rFonts w:eastAsia="Calibri" w:cs="Calibri"/>
          <w:szCs w:val="22"/>
          <w:lang w:eastAsia="en-US"/>
        </w:rPr>
      </w:pPr>
      <w:r>
        <w:rPr>
          <w:rFonts w:eastAsia="Calibri" w:cs="Calibri"/>
          <w:szCs w:val="22"/>
          <w:lang w:eastAsia="en-US"/>
        </w:rPr>
      </w:r>
    </w:p>
    <w:p>
      <w:pPr>
        <w:pStyle w:val="Normal"/>
        <w:keepNext w:val="true"/>
        <w:keepLines/>
        <w:numPr>
          <w:ilvl w:val="0"/>
          <w:numId w:val="0"/>
        </w:numPr>
        <w:ind w:left="0" w:firstLine="709"/>
        <w:jc w:val="both"/>
        <w:outlineLvl w:val="2"/>
        <w:rPr>
          <w:rFonts w:eastAsia="Calibri Light" w:cs="Calibri Light"/>
          <w:b/>
          <w:b/>
          <w:i/>
          <w:i/>
          <w:lang w:eastAsia="en-US"/>
        </w:rPr>
      </w:pPr>
      <w:bookmarkStart w:id="580" w:name="_Toc160529893"/>
      <w:bookmarkStart w:id="581" w:name="_Toc181340360"/>
      <w:r>
        <w:rPr>
          <w:rFonts w:eastAsia="Calibri Light" w:cs="Calibri Light"/>
          <w:b/>
          <w:lang w:eastAsia="en-US"/>
        </w:rPr>
        <w:t>1.2.13. Описание изменений технических характеристик основного оборудования источников тепловой энергии, зафиксированных за период, предшествующий актуализации схемы теплоснабжения</w:t>
      </w:r>
      <w:bookmarkEnd w:id="580"/>
      <w:bookmarkEnd w:id="581"/>
    </w:p>
    <w:p>
      <w:pPr>
        <w:pStyle w:val="Normal"/>
        <w:ind w:firstLine="709"/>
        <w:jc w:val="both"/>
        <w:rPr>
          <w:rFonts w:eastAsia="Calibri" w:cs="Calibri"/>
          <w:lang w:eastAsia="en-US"/>
        </w:rPr>
      </w:pPr>
      <w:r>
        <w:rPr>
          <w:rFonts w:eastAsia="Calibri" w:cs="Calibri"/>
          <w:szCs w:val="22"/>
          <w:lang w:eastAsia="en-US"/>
        </w:rPr>
        <w:t>Изменений технических характеристик основного оборудования источников тепловой энергии, зафиксированных за период, предшествующий актуализации схемы теплоснабжения</w:t>
      </w:r>
      <w:r>
        <w:rPr>
          <w:rFonts w:eastAsia="Calibri" w:cs="Calibri"/>
          <w:lang w:eastAsia="en-US"/>
        </w:rPr>
        <w:t xml:space="preserve"> не зафиксировано.</w:t>
      </w:r>
      <w:bookmarkStart w:id="582" w:name="_Toc181340361"/>
      <w:bookmarkStart w:id="583" w:name="_Toc160529894"/>
    </w:p>
    <w:p>
      <w:pPr>
        <w:pStyle w:val="Normal"/>
        <w:ind w:firstLine="709"/>
        <w:jc w:val="both"/>
        <w:rPr>
          <w:rFonts w:eastAsia="Calibri" w:cs="Calibri"/>
          <w:lang w:eastAsia="en-US"/>
        </w:rPr>
      </w:pPr>
      <w:r>
        <w:rPr>
          <w:rFonts w:eastAsia="Calibri" w:cs="Calibri"/>
          <w:lang w:eastAsia="en-US"/>
        </w:rPr>
      </w:r>
    </w:p>
    <w:p>
      <w:pPr>
        <w:pStyle w:val="Normal"/>
        <w:ind w:firstLine="709"/>
        <w:jc w:val="both"/>
        <w:rPr>
          <w:rFonts w:eastAsia="Calibri" w:cs="Calibri"/>
          <w:lang w:eastAsia="en-US"/>
        </w:rPr>
      </w:pPr>
      <w:r>
        <w:rPr>
          <w:rFonts w:eastAsia="Calibri" w:cs="Calibri"/>
          <w:b/>
          <w:bCs/>
          <w:szCs w:val="22"/>
          <w:lang w:eastAsia="en-US"/>
        </w:rPr>
        <w:t>Часть 3 «Тепловые сети, сооружения на них»</w:t>
      </w:r>
      <w:bookmarkEnd w:id="582"/>
      <w:bookmarkEnd w:id="583"/>
    </w:p>
    <w:p>
      <w:pPr>
        <w:pStyle w:val="Normal"/>
        <w:ind w:firstLine="709"/>
        <w:jc w:val="both"/>
        <w:rPr>
          <w:rFonts w:eastAsia="Calibri" w:cs="Calibri"/>
          <w:szCs w:val="22"/>
          <w:lang w:eastAsia="ru-RU"/>
        </w:rPr>
      </w:pPr>
      <w:bookmarkStart w:id="584" w:name="_Hlk160709014"/>
      <w:bookmarkEnd w:id="584"/>
      <w:r>
        <w:rPr>
          <w:rFonts w:eastAsia="Calibri" w:cs="Calibri"/>
          <w:szCs w:val="22"/>
          <w:lang w:eastAsia="en-US"/>
        </w:rPr>
        <w:t>МП МО Октябрьский район «ОКС»</w:t>
      </w:r>
      <w:r>
        <w:rPr>
          <w:rFonts w:eastAsia="Calibri" w:cs="Calibri"/>
          <w:szCs w:val="22"/>
          <w:lang w:eastAsia="ru-RU"/>
        </w:rPr>
        <w:t xml:space="preserve"> в городском поселении – теплоснабжающая организация, осуществляющая выработку и транспортировку тепловой энергии.</w:t>
      </w:r>
    </w:p>
    <w:p>
      <w:pPr>
        <w:pStyle w:val="Normal"/>
        <w:ind w:firstLine="709"/>
        <w:jc w:val="both"/>
        <w:rPr>
          <w:rFonts w:eastAsia="Calibri" w:cs="Calibri"/>
          <w:szCs w:val="22"/>
          <w:lang w:eastAsia="ru-RU"/>
        </w:rPr>
      </w:pPr>
      <w:r>
        <w:rPr>
          <w:lang w:eastAsia="ru-RU"/>
        </w:rPr>
        <w:t>Схемы тепловой сети от котельных – тупиковые четырех- и трехтрубные, закрытые.</w:t>
      </w:r>
    </w:p>
    <w:p>
      <w:pPr>
        <w:pStyle w:val="Normal"/>
        <w:ind w:firstLine="709"/>
        <w:jc w:val="both"/>
        <w:rPr>
          <w:rFonts w:eastAsia="Calibri" w:cs="Calibri"/>
          <w:szCs w:val="22"/>
          <w:lang w:eastAsia="ru-RU"/>
        </w:rPr>
      </w:pPr>
      <w:r>
        <w:rPr>
          <w:lang w:eastAsia="ru-RU"/>
        </w:rPr>
        <w:t>Тепловые сети проложены подземным либо надземным способами с теплоизоляцией из стекловолокна, минеральной ваты и битум-перлита.</w:t>
      </w:r>
    </w:p>
    <w:p>
      <w:pPr>
        <w:pStyle w:val="Normal"/>
        <w:ind w:firstLine="709"/>
        <w:jc w:val="both"/>
        <w:rPr>
          <w:rFonts w:eastAsia="Calibri" w:cs="Calibri"/>
          <w:szCs w:val="22"/>
          <w:lang w:eastAsia="ru-RU"/>
        </w:rPr>
      </w:pPr>
      <w:r>
        <w:rPr>
          <w:lang w:eastAsia="ru-RU"/>
        </w:rPr>
        <w:t>Основная часть тепловых сетей проложена в период с 1988 года.</w:t>
      </w:r>
    </w:p>
    <w:p>
      <w:pPr>
        <w:pStyle w:val="Normal"/>
        <w:jc w:val="both"/>
        <w:rPr>
          <w:rFonts w:eastAsia="Calibri" w:cs="Calibri"/>
          <w:szCs w:val="22"/>
          <w:lang w:eastAsia="ru-RU"/>
        </w:rPr>
      </w:pPr>
      <w:r>
        <w:rPr>
          <w:rFonts w:eastAsia="Calibri" w:cs="Calibri"/>
          <w:szCs w:val="22"/>
          <w:lang w:eastAsia="ru-RU"/>
        </w:rPr>
      </w:r>
    </w:p>
    <w:p>
      <w:pPr>
        <w:pStyle w:val="Normal"/>
        <w:keepNext w:val="true"/>
        <w:keepLines/>
        <w:numPr>
          <w:ilvl w:val="0"/>
          <w:numId w:val="0"/>
        </w:numPr>
        <w:ind w:left="0" w:firstLine="709"/>
        <w:jc w:val="both"/>
        <w:outlineLvl w:val="2"/>
        <w:rPr>
          <w:rFonts w:eastAsia="Calibri Light" w:cs="Calibri Light"/>
          <w:b/>
          <w:b/>
          <w:lang w:eastAsia="en-US"/>
        </w:rPr>
      </w:pPr>
      <w:bookmarkStart w:id="585" w:name="_Toc181340362"/>
      <w:bookmarkStart w:id="586" w:name="_Toc160529895"/>
      <w:bookmarkStart w:id="587" w:name="_Toc535409490"/>
      <w:r>
        <w:rPr>
          <w:rFonts w:eastAsia="Calibri Light" w:cs="Calibri Light"/>
          <w:b/>
          <w:lang w:eastAsia="en-US"/>
        </w:rPr>
        <w:t>1.3.1. Описание структуры тепловых сетей от каждого источника тепловой энергии, от магистральных выводов до центральных тепловых пунктов (если таковые имеются) или до ввода в жилой квартал или промышленный объект с выделением сетей горячего водоснабжения</w:t>
      </w:r>
      <w:bookmarkEnd w:id="585"/>
      <w:bookmarkEnd w:id="586"/>
      <w:bookmarkEnd w:id="587"/>
    </w:p>
    <w:p>
      <w:pPr>
        <w:pStyle w:val="Normal"/>
        <w:ind w:firstLine="709"/>
        <w:jc w:val="both"/>
        <w:rPr>
          <w:rFonts w:eastAsia="Calibri" w:cs="Calibri"/>
          <w:szCs w:val="22"/>
          <w:lang w:eastAsia="ru-RU"/>
        </w:rPr>
      </w:pPr>
      <w:r>
        <w:rPr>
          <w:rFonts w:eastAsia="Calibri" w:cs="Calibri"/>
          <w:szCs w:val="22"/>
          <w:lang w:eastAsia="ru-RU"/>
        </w:rPr>
        <w:t>Сводные данные по структуре тепловых сетей приняты по фактическим данным, предоставленным</w:t>
      </w:r>
      <w:r>
        <w:rPr>
          <w:b/>
          <w:lang w:eastAsia="ru-RU"/>
        </w:rPr>
        <w:t xml:space="preserve"> </w:t>
      </w:r>
      <w:r>
        <w:rPr>
          <w:lang w:eastAsia="ru-RU"/>
        </w:rPr>
        <w:t xml:space="preserve">МП МО Октябрьский район «ОКС» и </w:t>
      </w:r>
      <w:r>
        <w:rPr>
          <w:rFonts w:eastAsia="Calibri" w:cs="Calibri"/>
          <w:szCs w:val="22"/>
          <w:lang w:eastAsia="ru-RU"/>
        </w:rPr>
        <w:t>представлены в таблице 6.</w:t>
      </w:r>
      <w:bookmarkStart w:id="588" w:name="_Hlk160645462"/>
      <w:bookmarkStart w:id="589" w:name="_Hlk160709098"/>
      <w:bookmarkEnd w:id="588"/>
      <w:bookmarkEnd w:id="589"/>
    </w:p>
    <w:p>
      <w:pPr>
        <w:pStyle w:val="Normal"/>
        <w:jc w:val="right"/>
        <w:rPr>
          <w:rFonts w:eastAsia="Calibri" w:cs="Calibri"/>
          <w:iCs/>
          <w:szCs w:val="18"/>
          <w:lang w:eastAsia="en-US"/>
        </w:rPr>
      </w:pPr>
      <w:r>
        <w:rPr>
          <w:rFonts w:eastAsia="Calibri" w:cs="Calibri"/>
          <w:iCs/>
          <w:szCs w:val="18"/>
          <w:lang w:eastAsia="en-US"/>
        </w:rPr>
        <w:t>Т</w:t>
      </w:r>
      <w:bookmarkStart w:id="590" w:name="_Ref79753763"/>
      <w:r>
        <w:rPr>
          <w:rFonts w:eastAsia="Calibri" w:cs="Calibri"/>
          <w:iCs/>
          <w:szCs w:val="18"/>
          <w:lang w:eastAsia="en-US"/>
        </w:rPr>
        <w:t xml:space="preserve">аблица </w:t>
      </w:r>
      <w:bookmarkEnd w:id="590"/>
      <w:r>
        <w:rPr>
          <w:rFonts w:eastAsia="Calibri" w:cs="Calibri"/>
          <w:iCs/>
          <w:szCs w:val="18"/>
          <w:lang w:eastAsia="en-US"/>
        </w:rPr>
        <w:t>6 – Сводные данные по структуре тепловых сетей</w:t>
      </w:r>
    </w:p>
    <w:tbl>
      <w:tblPr>
        <w:tblW w:w="5000" w:type="pct"/>
        <w:jc w:val="left"/>
        <w:tblInd w:w="0" w:type="dxa"/>
        <w:tblCellMar>
          <w:top w:w="0" w:type="dxa"/>
          <w:left w:w="108" w:type="dxa"/>
          <w:bottom w:w="0" w:type="dxa"/>
          <w:right w:w="108" w:type="dxa"/>
        </w:tblCellMar>
        <w:tblLook w:val="04a0" w:noVBand="1" w:noHBand="0" w:lastColumn="0" w:firstColumn="1" w:lastRow="0" w:firstRow="1"/>
      </w:tblPr>
      <w:tblGrid>
        <w:gridCol w:w="714"/>
        <w:gridCol w:w="2461"/>
        <w:gridCol w:w="1455"/>
        <w:gridCol w:w="1596"/>
        <w:gridCol w:w="1609"/>
        <w:gridCol w:w="1802"/>
      </w:tblGrid>
      <w:tr>
        <w:trPr>
          <w:tblHeader w:val="true"/>
          <w:trHeight w:val="20" w:hRule="atLeast"/>
        </w:trPr>
        <w:tc>
          <w:tcPr>
            <w:tcW w:w="714"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xml:space="preserve">№ </w:t>
            </w:r>
            <w:r>
              <w:rPr>
                <w:sz w:val="20"/>
                <w:szCs w:val="20"/>
                <w:lang w:eastAsia="ru-RU"/>
              </w:rPr>
              <w:t>п/п</w:t>
            </w:r>
          </w:p>
        </w:tc>
        <w:tc>
          <w:tcPr>
            <w:tcW w:w="2461"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Наименование котельной </w:t>
            </w:r>
          </w:p>
        </w:tc>
        <w:tc>
          <w:tcPr>
            <w:tcW w:w="1455"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Назначение</w:t>
            </w:r>
          </w:p>
        </w:tc>
        <w:tc>
          <w:tcPr>
            <w:tcW w:w="1596"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Общая длина сетей, м (в двухтрубном исчислении)</w:t>
            </w:r>
          </w:p>
        </w:tc>
        <w:tc>
          <w:tcPr>
            <w:tcW w:w="1609"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Общая длина сетей, м (в однотрубном исчислении)</w:t>
            </w:r>
          </w:p>
        </w:tc>
        <w:tc>
          <w:tcPr>
            <w:tcW w:w="18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Общая протяженность тепловых сетей (в однотрубном исчислении), мм, условным диаметром</w:t>
            </w:r>
          </w:p>
        </w:tc>
      </w:tr>
      <w:tr>
        <w:trPr>
          <w:tblHeader w:val="true"/>
          <w:trHeight w:val="20" w:hRule="atLeast"/>
        </w:trPr>
        <w:tc>
          <w:tcPr>
            <w:tcW w:w="71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r>
          </w:p>
        </w:tc>
        <w:tc>
          <w:tcPr>
            <w:tcW w:w="246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r>
          </w:p>
        </w:tc>
        <w:tc>
          <w:tcPr>
            <w:tcW w:w="145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r>
          </w:p>
        </w:tc>
        <w:tc>
          <w:tcPr>
            <w:tcW w:w="159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r>
          </w:p>
        </w:tc>
        <w:tc>
          <w:tcPr>
            <w:tcW w:w="160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r>
          </w:p>
        </w:tc>
        <w:tc>
          <w:tcPr>
            <w:tcW w:w="18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От Ду32 до Ду325</w:t>
            </w:r>
          </w:p>
        </w:tc>
      </w:tr>
      <w:tr>
        <w:trPr>
          <w:trHeight w:val="20" w:hRule="atLeast"/>
        </w:trPr>
        <w:tc>
          <w:tcPr>
            <w:tcW w:w="9637" w:type="dxa"/>
            <w:gridSpan w:val="6"/>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городское поселение Октябрьское</w:t>
            </w:r>
          </w:p>
        </w:tc>
      </w:tr>
      <w:tr>
        <w:trPr>
          <w:trHeight w:val="20" w:hRule="atLeast"/>
        </w:trPr>
        <w:tc>
          <w:tcPr>
            <w:tcW w:w="7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w:t>
            </w:r>
          </w:p>
        </w:tc>
        <w:tc>
          <w:tcPr>
            <w:tcW w:w="24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котельные пгт.Октябрьское, обслуживаемые МП МО Октябрьский район «ОКС</w:t>
            </w:r>
          </w:p>
        </w:tc>
        <w:tc>
          <w:tcPr>
            <w:tcW w:w="145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Отопление</w:t>
            </w:r>
          </w:p>
        </w:tc>
        <w:tc>
          <w:tcPr>
            <w:tcW w:w="159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27931</w:t>
            </w:r>
          </w:p>
        </w:tc>
        <w:tc>
          <w:tcPr>
            <w:tcW w:w="160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55862</w:t>
            </w:r>
          </w:p>
        </w:tc>
        <w:tc>
          <w:tcPr>
            <w:tcW w:w="18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55862</w:t>
            </w:r>
          </w:p>
        </w:tc>
      </w:tr>
      <w:tr>
        <w:trPr>
          <w:trHeight w:val="20" w:hRule="atLeast"/>
        </w:trPr>
        <w:tc>
          <w:tcPr>
            <w:tcW w:w="317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ИТОГО поселение:</w:t>
            </w:r>
          </w:p>
        </w:tc>
        <w:tc>
          <w:tcPr>
            <w:tcW w:w="145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w:t>
            </w:r>
          </w:p>
        </w:tc>
        <w:tc>
          <w:tcPr>
            <w:tcW w:w="159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27931</w:t>
            </w:r>
          </w:p>
        </w:tc>
        <w:tc>
          <w:tcPr>
            <w:tcW w:w="160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55862</w:t>
            </w:r>
          </w:p>
        </w:tc>
        <w:tc>
          <w:tcPr>
            <w:tcW w:w="18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55862</w:t>
            </w:r>
          </w:p>
        </w:tc>
      </w:tr>
    </w:tbl>
    <w:p>
      <w:pPr>
        <w:pStyle w:val="Normal"/>
        <w:rPr>
          <w:rFonts w:eastAsia="Calibri"/>
          <w:iCs/>
          <w:szCs w:val="18"/>
          <w:lang w:eastAsia="en-US"/>
        </w:rPr>
      </w:pPr>
      <w:r>
        <w:rPr>
          <w:rFonts w:eastAsia="Calibri"/>
          <w:iCs/>
          <w:szCs w:val="18"/>
          <w:lang w:eastAsia="en-US"/>
        </w:rPr>
      </w:r>
    </w:p>
    <w:p>
      <w:pPr>
        <w:pStyle w:val="Normal"/>
        <w:ind w:firstLine="709"/>
        <w:jc w:val="both"/>
        <w:rPr>
          <w:rFonts w:eastAsia="Calibri" w:cs="Calibri"/>
          <w:szCs w:val="22"/>
          <w:lang w:eastAsia="ru-RU"/>
        </w:rPr>
      </w:pPr>
      <w:r>
        <w:rPr>
          <w:rFonts w:eastAsia="Calibri" w:cs="Calibri"/>
          <w:szCs w:val="22"/>
          <w:lang w:eastAsia="ru-RU"/>
        </w:rPr>
        <w:t>Характеристики тепловых сетей представлены в таблице 7.</w:t>
      </w:r>
      <w:bookmarkStart w:id="591" w:name="_Ref23344381"/>
    </w:p>
    <w:p>
      <w:pPr>
        <w:pStyle w:val="Normal"/>
        <w:jc w:val="right"/>
        <w:rPr>
          <w:rFonts w:eastAsia="Calibri" w:cs="Calibri"/>
          <w:szCs w:val="22"/>
          <w:lang w:eastAsia="en-US"/>
        </w:rPr>
      </w:pPr>
      <w:r>
        <w:rPr>
          <w:rFonts w:eastAsia="Calibri" w:cs="Calibri"/>
          <w:szCs w:val="22"/>
          <w:lang w:eastAsia="en-US"/>
        </w:rPr>
        <w:t xml:space="preserve">Таблица </w:t>
      </w:r>
      <w:bookmarkEnd w:id="591"/>
      <w:r>
        <w:rPr>
          <w:rFonts w:eastAsia="Calibri" w:cs="Calibri"/>
          <w:szCs w:val="22"/>
          <w:lang w:eastAsia="en-US"/>
        </w:rPr>
        <w:t>7 – Характеристики тепловых сетей источников</w:t>
      </w:r>
    </w:p>
    <w:tbl>
      <w:tblPr>
        <w:tblW w:w="5000" w:type="pct"/>
        <w:jc w:val="left"/>
        <w:tblInd w:w="0" w:type="dxa"/>
        <w:tblCellMar>
          <w:top w:w="0" w:type="dxa"/>
          <w:left w:w="108" w:type="dxa"/>
          <w:bottom w:w="0" w:type="dxa"/>
          <w:right w:w="108" w:type="dxa"/>
        </w:tblCellMar>
        <w:tblLook w:val="04a0" w:noVBand="1" w:noHBand="0" w:lastColumn="0" w:firstColumn="1" w:lastRow="0" w:firstRow="1"/>
      </w:tblPr>
      <w:tblGrid>
        <w:gridCol w:w="420"/>
        <w:gridCol w:w="1348"/>
        <w:gridCol w:w="988"/>
        <w:gridCol w:w="1088"/>
        <w:gridCol w:w="923"/>
        <w:gridCol w:w="933"/>
        <w:gridCol w:w="1244"/>
        <w:gridCol w:w="1183"/>
        <w:gridCol w:w="1510"/>
      </w:tblGrid>
      <w:tr>
        <w:trPr>
          <w:tblHeader w:val="true"/>
          <w:trHeight w:val="20" w:hRule="atLeast"/>
        </w:trPr>
        <w:tc>
          <w:tcPr>
            <w:tcW w:w="420"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xml:space="preserve">№ </w:t>
            </w:r>
            <w:r>
              <w:rPr>
                <w:sz w:val="20"/>
                <w:szCs w:val="20"/>
                <w:lang w:eastAsia="ru-RU"/>
              </w:rPr>
              <w:t>п/п</w:t>
            </w:r>
          </w:p>
        </w:tc>
        <w:tc>
          <w:tcPr>
            <w:tcW w:w="1348"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Наименование котельной </w:t>
            </w:r>
          </w:p>
        </w:tc>
        <w:tc>
          <w:tcPr>
            <w:tcW w:w="988"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Назначение</w:t>
            </w:r>
          </w:p>
        </w:tc>
        <w:tc>
          <w:tcPr>
            <w:tcW w:w="1088"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Общая длина сетей, м (в однотрубном исчислении)</w:t>
            </w:r>
          </w:p>
        </w:tc>
        <w:tc>
          <w:tcPr>
            <w:tcW w:w="185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Тип прокладки и длинна сетей</w:t>
            </w:r>
          </w:p>
        </w:tc>
        <w:tc>
          <w:tcPr>
            <w:tcW w:w="1244"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Материальная характеристика тепловых сетей, м2</w:t>
            </w:r>
          </w:p>
        </w:tc>
        <w:tc>
          <w:tcPr>
            <w:tcW w:w="1183"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Год ввода в эксплуатацию, год</w:t>
            </w:r>
          </w:p>
        </w:tc>
        <w:tc>
          <w:tcPr>
            <w:tcW w:w="1510"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Средневзвешанный срок службы тепловых сетей на 2022 год, лет</w:t>
            </w:r>
          </w:p>
        </w:tc>
      </w:tr>
      <w:tr>
        <w:trPr>
          <w:tblHeader w:val="true"/>
          <w:trHeight w:val="20" w:hRule="atLeast"/>
        </w:trPr>
        <w:tc>
          <w:tcPr>
            <w:tcW w:w="42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r>
          </w:p>
        </w:tc>
        <w:tc>
          <w:tcPr>
            <w:tcW w:w="134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r>
          </w:p>
        </w:tc>
        <w:tc>
          <w:tcPr>
            <w:tcW w:w="98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r>
          </w:p>
        </w:tc>
        <w:tc>
          <w:tcPr>
            <w:tcW w:w="108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r>
          </w:p>
        </w:tc>
        <w:tc>
          <w:tcPr>
            <w:tcW w:w="9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Надземная</w:t>
            </w:r>
          </w:p>
        </w:tc>
        <w:tc>
          <w:tcPr>
            <w:tcW w:w="9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Подземная</w:t>
            </w:r>
          </w:p>
        </w:tc>
        <w:tc>
          <w:tcPr>
            <w:tcW w:w="124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r>
          </w:p>
        </w:tc>
        <w:tc>
          <w:tcPr>
            <w:tcW w:w="118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r>
          </w:p>
        </w:tc>
        <w:tc>
          <w:tcPr>
            <w:tcW w:w="151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r>
          </w:p>
        </w:tc>
      </w:tr>
      <w:tr>
        <w:trPr>
          <w:trHeight w:val="20" w:hRule="atLeast"/>
        </w:trPr>
        <w:tc>
          <w:tcPr>
            <w:tcW w:w="9637" w:type="dxa"/>
            <w:gridSpan w:val="9"/>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городское поселение Октябрьское</w:t>
            </w:r>
          </w:p>
        </w:tc>
      </w:tr>
      <w:tr>
        <w:trPr>
          <w:trHeight w:val="20" w:hRule="atLeast"/>
        </w:trPr>
        <w:tc>
          <w:tcPr>
            <w:tcW w:w="4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w:t>
            </w:r>
          </w:p>
        </w:tc>
        <w:tc>
          <w:tcPr>
            <w:tcW w:w="134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котельные пгт.Октябрьское, обслуживаемые МП МО Октябрьский район «ОКС</w:t>
            </w:r>
          </w:p>
        </w:tc>
        <w:tc>
          <w:tcPr>
            <w:tcW w:w="98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Отопление</w:t>
            </w:r>
          </w:p>
        </w:tc>
        <w:tc>
          <w:tcPr>
            <w:tcW w:w="108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55862</w:t>
            </w:r>
          </w:p>
        </w:tc>
        <w:tc>
          <w:tcPr>
            <w:tcW w:w="9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19328</w:t>
            </w:r>
          </w:p>
        </w:tc>
        <w:tc>
          <w:tcPr>
            <w:tcW w:w="9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36534</w:t>
            </w:r>
          </w:p>
        </w:tc>
        <w:tc>
          <w:tcPr>
            <w:tcW w:w="124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6033</w:t>
            </w:r>
          </w:p>
        </w:tc>
        <w:tc>
          <w:tcPr>
            <w:tcW w:w="118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1988-2016</w:t>
            </w:r>
          </w:p>
        </w:tc>
        <w:tc>
          <w:tcPr>
            <w:tcW w:w="151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н/д</w:t>
            </w:r>
          </w:p>
        </w:tc>
      </w:tr>
      <w:tr>
        <w:trPr>
          <w:trHeight w:val="20" w:hRule="atLeast"/>
        </w:trPr>
        <w:tc>
          <w:tcPr>
            <w:tcW w:w="1768"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ИТОГО поселение:</w:t>
            </w:r>
          </w:p>
        </w:tc>
        <w:tc>
          <w:tcPr>
            <w:tcW w:w="98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w:t>
            </w:r>
          </w:p>
        </w:tc>
        <w:tc>
          <w:tcPr>
            <w:tcW w:w="108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55862</w:t>
            </w:r>
          </w:p>
        </w:tc>
        <w:tc>
          <w:tcPr>
            <w:tcW w:w="9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19328</w:t>
            </w:r>
          </w:p>
        </w:tc>
        <w:tc>
          <w:tcPr>
            <w:tcW w:w="9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36534</w:t>
            </w:r>
          </w:p>
        </w:tc>
        <w:tc>
          <w:tcPr>
            <w:tcW w:w="124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6033</w:t>
            </w:r>
          </w:p>
        </w:tc>
        <w:tc>
          <w:tcPr>
            <w:tcW w:w="118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r>
          </w:p>
        </w:tc>
        <w:tc>
          <w:tcPr>
            <w:tcW w:w="151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r>
          </w:p>
        </w:tc>
      </w:tr>
    </w:tbl>
    <w:p>
      <w:pPr>
        <w:pStyle w:val="Normal"/>
        <w:jc w:val="both"/>
        <w:rPr>
          <w:rFonts w:eastAsia="Calibri" w:cs="Calibri"/>
          <w:szCs w:val="22"/>
          <w:lang w:eastAsia="en-US"/>
        </w:rPr>
      </w:pPr>
      <w:bookmarkStart w:id="592" w:name="sub_153"/>
      <w:bookmarkStart w:id="593" w:name="_Hlk160645485"/>
      <w:bookmarkEnd w:id="592"/>
      <w:bookmarkEnd w:id="593"/>
      <w:r>
        <w:rPr/>
        <w:t>Общая протяженность тепловых сетей в городском поселении в двухтрубном исполнении 27,931км, около 8,31 км нуждаются в замене. Износ сетей – 84 %.</w:t>
      </w:r>
    </w:p>
    <w:p>
      <w:pPr>
        <w:pStyle w:val="Normal"/>
        <w:jc w:val="both"/>
        <w:rPr>
          <w:rFonts w:cs="Calibri"/>
          <w:szCs w:val="22"/>
          <w:lang w:eastAsia="ru-RU"/>
        </w:rPr>
      </w:pPr>
      <w:r>
        <w:rPr>
          <w:rFonts w:cs="Calibri"/>
          <w:szCs w:val="22"/>
          <w:lang w:eastAsia="ru-RU"/>
        </w:rPr>
      </w:r>
    </w:p>
    <w:p>
      <w:pPr>
        <w:pStyle w:val="Normal"/>
        <w:keepNext w:val="true"/>
        <w:keepLines/>
        <w:numPr>
          <w:ilvl w:val="0"/>
          <w:numId w:val="0"/>
        </w:numPr>
        <w:ind w:left="0" w:firstLine="709"/>
        <w:jc w:val="both"/>
        <w:outlineLvl w:val="2"/>
        <w:rPr>
          <w:rFonts w:eastAsia="Calibri Light" w:cs="Calibri Light"/>
          <w:b/>
          <w:b/>
          <w:lang w:eastAsia="en-US"/>
        </w:rPr>
      </w:pPr>
      <w:bookmarkStart w:id="594" w:name="_Toc181340363"/>
      <w:bookmarkStart w:id="595" w:name="_Toc160529896"/>
      <w:r>
        <w:rPr>
          <w:rFonts w:eastAsia="Calibri Light" w:cs="Calibri Light"/>
          <w:b/>
          <w:lang w:eastAsia="en-US"/>
        </w:rPr>
        <w:t>1.3.2. Карты (схемы) тепловых сетей в зонах действия источников тепловой энергии</w:t>
      </w:r>
      <w:bookmarkEnd w:id="594"/>
      <w:bookmarkEnd w:id="595"/>
    </w:p>
    <w:p>
      <w:pPr>
        <w:pStyle w:val="Normal"/>
        <w:spacing w:before="0" w:after="0"/>
        <w:ind w:firstLine="567"/>
        <w:contextualSpacing/>
        <w:jc w:val="both"/>
        <w:rPr>
          <w:szCs w:val="28"/>
          <w:lang w:eastAsia="ru-RU"/>
        </w:rPr>
      </w:pPr>
      <w:bookmarkStart w:id="596" w:name="_Toc535409491"/>
      <w:bookmarkStart w:id="597" w:name="sub_154"/>
      <w:r>
        <w:rPr>
          <w:szCs w:val="28"/>
          <w:lang w:eastAsia="ru-RU"/>
        </w:rPr>
        <w:t xml:space="preserve">Схема тепловых сетей, расположенных на территории поселения, приведена в приложении к настоящей Схеме. </w:t>
      </w:r>
      <w:bookmarkEnd w:id="596"/>
      <w:bookmarkEnd w:id="597"/>
    </w:p>
    <w:p>
      <w:pPr>
        <w:pStyle w:val="Normal"/>
        <w:spacing w:before="0" w:after="0"/>
        <w:ind w:firstLine="567"/>
        <w:contextualSpacing/>
        <w:jc w:val="both"/>
        <w:rPr>
          <w:szCs w:val="28"/>
          <w:lang w:eastAsia="ru-RU"/>
        </w:rPr>
      </w:pPr>
      <w:r>
        <w:rPr>
          <w:szCs w:val="28"/>
          <w:lang w:eastAsia="ru-RU"/>
        </w:rPr>
      </w:r>
    </w:p>
    <w:p>
      <w:pPr>
        <w:pStyle w:val="Normal"/>
        <w:spacing w:before="0" w:after="0"/>
        <w:ind w:firstLine="567"/>
        <w:contextualSpacing/>
        <w:jc w:val="both"/>
        <w:rPr>
          <w:b/>
          <w:b/>
          <w:bCs/>
          <w:szCs w:val="28"/>
          <w:lang w:eastAsia="ru-RU"/>
        </w:rPr>
      </w:pPr>
      <w:bookmarkStart w:id="598" w:name="_Toc181340364"/>
      <w:bookmarkStart w:id="599" w:name="_Toc160529897"/>
      <w:bookmarkStart w:id="600" w:name="_Toc535409492"/>
      <w:r>
        <w:rPr>
          <w:b/>
          <w:bCs/>
          <w:szCs w:val="28"/>
          <w:lang w:eastAsia="ru-RU"/>
        </w:rPr>
        <w:t>1.3.3. Параметры тепловых сетей, включая год начала эксплуатации, тип изоляции, тип компенсирующих устройств, тип прокладки, краткую характеристику грунтов в местах прокладки с выделением наименее надежных участков, определением их материальной характеристики и тепловой нагрузки потребителей, подключенных к таким участкам</w:t>
      </w:r>
      <w:bookmarkEnd w:id="598"/>
      <w:bookmarkEnd w:id="599"/>
      <w:bookmarkEnd w:id="600"/>
    </w:p>
    <w:p>
      <w:pPr>
        <w:pStyle w:val="Normal"/>
        <w:ind w:firstLine="709"/>
        <w:jc w:val="both"/>
        <w:rPr>
          <w:rFonts w:eastAsia="Calibri" w:cs="Calibri"/>
          <w:szCs w:val="22"/>
          <w:lang w:eastAsia="ru-RU"/>
        </w:rPr>
      </w:pPr>
      <w:r>
        <w:rPr>
          <w:rFonts w:eastAsia="Calibri" w:cs="Calibri"/>
          <w:szCs w:val="22"/>
          <w:lang w:eastAsia="ru-RU"/>
        </w:rPr>
        <w:t>Параметры тепловых сетей источников теплоснабжения представлены в таблицах 6-7.</w:t>
      </w:r>
    </w:p>
    <w:p>
      <w:pPr>
        <w:pStyle w:val="Normal"/>
        <w:ind w:firstLine="709"/>
        <w:jc w:val="both"/>
        <w:rPr>
          <w:rFonts w:eastAsia="Calibri" w:cs="Calibri"/>
          <w:szCs w:val="22"/>
          <w:lang w:eastAsia="ru-RU"/>
        </w:rPr>
      </w:pPr>
      <w:r>
        <w:rPr>
          <w:rFonts w:eastAsia="Calibri" w:cs="Calibri"/>
          <w:szCs w:val="22"/>
          <w:lang w:eastAsia="ru-RU"/>
        </w:rPr>
      </w:r>
    </w:p>
    <w:p>
      <w:pPr>
        <w:pStyle w:val="Normal"/>
        <w:keepNext w:val="true"/>
        <w:keepLines/>
        <w:numPr>
          <w:ilvl w:val="0"/>
          <w:numId w:val="0"/>
        </w:numPr>
        <w:ind w:left="0" w:firstLine="709"/>
        <w:jc w:val="both"/>
        <w:outlineLvl w:val="2"/>
        <w:rPr>
          <w:rFonts w:eastAsia="Calibri Light" w:cs="Calibri Light"/>
          <w:b/>
          <w:b/>
          <w:lang w:eastAsia="en-US"/>
        </w:rPr>
      </w:pPr>
      <w:bookmarkStart w:id="601" w:name="_Toc181340365"/>
      <w:bookmarkStart w:id="602" w:name="_Toc535409493"/>
      <w:bookmarkStart w:id="603" w:name="_Toc160529898"/>
      <w:bookmarkStart w:id="604" w:name="_Hlk160645510"/>
      <w:bookmarkStart w:id="605" w:name="sub_1313"/>
      <w:bookmarkEnd w:id="604"/>
      <w:bookmarkEnd w:id="605"/>
      <w:r>
        <w:rPr>
          <w:rFonts w:eastAsia="Calibri Light" w:cs="Calibri Light"/>
          <w:b/>
          <w:lang w:eastAsia="en-US"/>
        </w:rPr>
        <w:t>1.3.4. Описание типов и количества секционирующей и регулирующей арматуры на тепловых сетях</w:t>
      </w:r>
      <w:bookmarkEnd w:id="601"/>
      <w:bookmarkEnd w:id="602"/>
      <w:bookmarkEnd w:id="603"/>
    </w:p>
    <w:p>
      <w:pPr>
        <w:pStyle w:val="Normal"/>
        <w:ind w:firstLine="709"/>
        <w:jc w:val="both"/>
        <w:rPr>
          <w:rFonts w:eastAsia="Calibri"/>
          <w:lang w:eastAsia="en-US"/>
        </w:rPr>
      </w:pPr>
      <w:bookmarkStart w:id="606" w:name="sub_1314"/>
      <w:bookmarkEnd w:id="606"/>
      <w:r>
        <w:rPr>
          <w:rFonts w:eastAsia="Calibri" w:cs="Calibri"/>
          <w:szCs w:val="22"/>
          <w:lang w:eastAsia="en-US"/>
        </w:rPr>
        <w:t>Регулирующая арматура на тепловых сетях источников теплоснабжения отсутствует.</w:t>
      </w:r>
    </w:p>
    <w:p>
      <w:pPr>
        <w:pStyle w:val="Normal"/>
        <w:ind w:firstLine="709"/>
        <w:jc w:val="both"/>
        <w:rPr>
          <w:rFonts w:eastAsia="Calibri"/>
          <w:lang w:eastAsia="en-US"/>
        </w:rPr>
      </w:pPr>
      <w:r>
        <w:rPr>
          <w:rFonts w:eastAsia="Calibri" w:cs="Calibri"/>
          <w:szCs w:val="22"/>
          <w:lang w:eastAsia="en-US"/>
        </w:rPr>
        <w:t xml:space="preserve">В качестве арматуры в тепловых сетях источников теплоснабжения применяются стальные задвижки, шаровые краны и затворы. Сведения о секционирующей арматуре на тепловых сетях источников отсутствуют. </w:t>
      </w:r>
    </w:p>
    <w:p>
      <w:pPr>
        <w:pStyle w:val="Normal"/>
        <w:ind w:firstLine="709"/>
        <w:jc w:val="both"/>
        <w:rPr>
          <w:rFonts w:eastAsia="Calibri"/>
          <w:lang w:eastAsia="en-US"/>
        </w:rPr>
      </w:pPr>
      <w:r>
        <w:rPr>
          <w:rFonts w:eastAsia="Calibri"/>
          <w:lang w:eastAsia="en-US"/>
        </w:rPr>
      </w:r>
    </w:p>
    <w:p>
      <w:pPr>
        <w:pStyle w:val="Normal"/>
        <w:keepNext w:val="true"/>
        <w:keepLines/>
        <w:numPr>
          <w:ilvl w:val="0"/>
          <w:numId w:val="0"/>
        </w:numPr>
        <w:ind w:left="0" w:firstLine="709"/>
        <w:jc w:val="both"/>
        <w:outlineLvl w:val="2"/>
        <w:rPr>
          <w:rFonts w:eastAsia="Calibri Light" w:cs="Calibri Light"/>
          <w:b/>
          <w:b/>
          <w:lang w:eastAsia="en-US"/>
        </w:rPr>
      </w:pPr>
      <w:bookmarkStart w:id="607" w:name="_Toc535409494"/>
      <w:bookmarkStart w:id="608" w:name="_Toc181340366"/>
      <w:bookmarkStart w:id="609" w:name="_Toc160529899"/>
      <w:bookmarkStart w:id="610" w:name="_Hlk160645526"/>
      <w:bookmarkEnd w:id="610"/>
      <w:r>
        <w:rPr>
          <w:rFonts w:eastAsia="Calibri Light" w:cs="Calibri Light"/>
          <w:b/>
          <w:lang w:eastAsia="en-US"/>
        </w:rPr>
        <w:t>1.3.5. Описание типов и строительных особенностей тепловых пунктов, тепловых камер и павильонов</w:t>
      </w:r>
      <w:bookmarkEnd w:id="607"/>
      <w:bookmarkEnd w:id="608"/>
      <w:bookmarkEnd w:id="609"/>
    </w:p>
    <w:p>
      <w:pPr>
        <w:pStyle w:val="Normal"/>
        <w:ind w:firstLine="709"/>
        <w:jc w:val="both"/>
        <w:rPr>
          <w:rFonts w:eastAsia="Calibri"/>
          <w:lang w:eastAsia="en-US"/>
        </w:rPr>
      </w:pPr>
      <w:r>
        <w:rPr>
          <w:rFonts w:eastAsia="Calibri" w:cs="Calibri"/>
          <w:szCs w:val="22"/>
          <w:lang w:eastAsia="en-US"/>
        </w:rPr>
        <w:t>Существующие тепловые камеры тепловых сетей выполнены в основном из сборных железобетонных конструкций или кирпича, оборудованных приямками, воздуховыпускными и сливными устройствами.</w:t>
      </w:r>
    </w:p>
    <w:p>
      <w:pPr>
        <w:pStyle w:val="Normal"/>
        <w:ind w:firstLine="709"/>
        <w:jc w:val="both"/>
        <w:rPr>
          <w:rFonts w:cs="Calibri"/>
          <w:szCs w:val="22"/>
          <w:lang w:eastAsia="ru-RU"/>
        </w:rPr>
      </w:pPr>
      <w:r>
        <w:rPr>
          <w:rFonts w:cs="Calibri"/>
          <w:szCs w:val="22"/>
          <w:lang w:eastAsia="ru-RU"/>
        </w:rPr>
        <w:t>Внутри камер сконцентрированы соединения труб в изоляции и специальные устройства для регулировки и наладки давления в них.</w:t>
      </w:r>
    </w:p>
    <w:p>
      <w:pPr>
        <w:pStyle w:val="Normal"/>
        <w:ind w:firstLine="709"/>
        <w:jc w:val="both"/>
        <w:rPr>
          <w:rFonts w:cs="Calibri"/>
          <w:szCs w:val="22"/>
          <w:lang w:eastAsia="ru-RU"/>
        </w:rPr>
      </w:pPr>
      <w:r>
        <w:rPr>
          <w:rFonts w:cs="Calibri"/>
          <w:szCs w:val="22"/>
          <w:lang w:eastAsia="ru-RU"/>
        </w:rPr>
        <w:t>Павильоны на тепловых сетях источников теплоснабжения отсутствуют.</w:t>
      </w:r>
    </w:p>
    <w:p>
      <w:pPr>
        <w:pStyle w:val="Normal"/>
        <w:keepNext w:val="true"/>
        <w:keepLines/>
        <w:numPr>
          <w:ilvl w:val="0"/>
          <w:numId w:val="0"/>
        </w:numPr>
        <w:ind w:left="0" w:firstLine="709"/>
        <w:jc w:val="both"/>
        <w:outlineLvl w:val="2"/>
        <w:rPr>
          <w:rFonts w:eastAsia="Calibri Light" w:cs="Calibri Light"/>
          <w:b/>
          <w:b/>
          <w:lang w:eastAsia="en-US"/>
        </w:rPr>
      </w:pPr>
      <w:bookmarkStart w:id="611" w:name="_Toc181340367"/>
      <w:bookmarkStart w:id="612" w:name="_Toc160529900"/>
      <w:bookmarkStart w:id="613" w:name="sub_1316"/>
      <w:bookmarkStart w:id="614" w:name="_Toc535409495"/>
      <w:bookmarkStart w:id="615" w:name="_Hlk160709156"/>
      <w:bookmarkEnd w:id="613"/>
      <w:bookmarkEnd w:id="614"/>
      <w:bookmarkEnd w:id="615"/>
      <w:r>
        <w:rPr>
          <w:rFonts w:eastAsia="Calibri Light" w:cs="Calibri Light"/>
          <w:b/>
          <w:lang w:eastAsia="en-US"/>
        </w:rPr>
        <w:t>1.3.6. Описание графиков регулирования отпуска тепла в тепловые сети с анализом их обоснованности</w:t>
      </w:r>
      <w:bookmarkEnd w:id="611"/>
      <w:bookmarkEnd w:id="612"/>
    </w:p>
    <w:p>
      <w:pPr>
        <w:pStyle w:val="Normal"/>
        <w:ind w:firstLine="709"/>
        <w:jc w:val="both"/>
        <w:rPr>
          <w:rFonts w:eastAsia="Calibri"/>
          <w:lang w:eastAsia="en-US"/>
        </w:rPr>
      </w:pPr>
      <w:r>
        <w:rPr>
          <w:rFonts w:eastAsia="Calibri" w:cs="Calibri"/>
          <w:szCs w:val="22"/>
          <w:lang w:eastAsia="en-US"/>
        </w:rPr>
        <w:t>Отпуск тепловой энергии в тепловые сети от источников тепловой энергии (теплоноситель – вода) осуществляется по методу качественного регулирования по температурному графикам 95/70°С.</w:t>
      </w:r>
    </w:p>
    <w:p>
      <w:pPr>
        <w:pStyle w:val="Normal"/>
        <w:ind w:firstLine="709"/>
        <w:jc w:val="both"/>
        <w:rPr>
          <w:rFonts w:eastAsia="Calibri"/>
          <w:lang w:eastAsia="en-US"/>
        </w:rPr>
      </w:pPr>
      <w:r>
        <w:rPr>
          <w:rFonts w:eastAsia="Calibri" w:cs="Calibri"/>
          <w:szCs w:val="22"/>
          <w:lang w:eastAsia="en-US"/>
        </w:rPr>
        <w:t>Выбор графика отпуска тепла обусловлен тем, что оборудование источников, тепловых сетей (компенсаторы и неподвижные опоры) и потребителей не рассчитано на более высокую температуру теплоносителя. Применение более высокого температурного графика отпуска тепла невозможно без значительных инвестиций в источники, сети и тепловые пункты потребителей.</w:t>
      </w:r>
    </w:p>
    <w:p>
      <w:pPr>
        <w:pStyle w:val="Normal"/>
        <w:ind w:firstLine="709"/>
        <w:jc w:val="both"/>
        <w:rPr>
          <w:rFonts w:eastAsia="Calibri" w:cs="Calibri"/>
          <w:szCs w:val="22"/>
          <w:lang w:eastAsia="en-US"/>
        </w:rPr>
      </w:pPr>
      <w:r>
        <w:rPr>
          <w:rFonts w:eastAsia="Calibri" w:cs="Calibri"/>
          <w:szCs w:val="22"/>
          <w:lang w:eastAsia="en-US"/>
        </w:rPr>
        <w:t>Изменение температурного графика не предполагается.</w:t>
      </w:r>
      <w:bookmarkStart w:id="616" w:name="_Toc181340368"/>
      <w:bookmarkStart w:id="617" w:name="_Toc160529901"/>
      <w:bookmarkStart w:id="618" w:name="_Hlk160645547"/>
      <w:bookmarkStart w:id="619" w:name="sub_1317"/>
      <w:bookmarkStart w:id="620" w:name="_Toc535409496"/>
      <w:bookmarkEnd w:id="618"/>
      <w:bookmarkEnd w:id="619"/>
      <w:bookmarkEnd w:id="620"/>
    </w:p>
    <w:p>
      <w:pPr>
        <w:pStyle w:val="Normal"/>
        <w:ind w:firstLine="709"/>
        <w:jc w:val="both"/>
        <w:rPr>
          <w:rFonts w:eastAsia="Calibri" w:cs="Calibri"/>
          <w:szCs w:val="22"/>
          <w:lang w:eastAsia="en-US"/>
        </w:rPr>
      </w:pPr>
      <w:r>
        <w:rPr>
          <w:rFonts w:eastAsia="Calibri Light" w:cs="Calibri Light"/>
          <w:b/>
          <w:lang w:eastAsia="en-US"/>
        </w:rPr>
        <w:t>1.3.7. Фактические температурные режимы отпуска тепла в тепловые сети и их соответствие утвержденным графикам регулирования отпуска тепла в тепловые сети</w:t>
      </w:r>
      <w:bookmarkEnd w:id="616"/>
      <w:bookmarkEnd w:id="617"/>
    </w:p>
    <w:p>
      <w:pPr>
        <w:pStyle w:val="Normal"/>
        <w:ind w:firstLine="709"/>
        <w:jc w:val="both"/>
        <w:rPr>
          <w:rFonts w:eastAsia="Calibri" w:cs="Calibri"/>
          <w:szCs w:val="22"/>
          <w:lang w:eastAsia="en-US"/>
        </w:rPr>
      </w:pPr>
      <w:r>
        <w:rPr/>
        <w:t xml:space="preserve"> </w:t>
      </w:r>
      <w:r>
        <w:rPr>
          <w:rFonts w:ascii="Tinos" w:hAnsi="Tinos"/>
          <w:sz w:val="24"/>
          <w:szCs w:val="24"/>
          <w:lang w:eastAsia="ru-RU"/>
        </w:rPr>
        <w:t xml:space="preserve">В соответствии с </w:t>
      </w:r>
      <w:hyperlink r:id="rId36">
        <w:r>
          <w:rPr>
            <w:rFonts w:cs="Arial" w:ascii="Tinos" w:hAnsi="Tinos"/>
            <w:color w:val="000000"/>
            <w:sz w:val="24"/>
            <w:szCs w:val="24"/>
            <w:lang w:eastAsia="ru-RU"/>
          </w:rPr>
          <w:t>Приказ</w:t>
        </w:r>
      </w:hyperlink>
      <w:r>
        <w:rPr>
          <w:rFonts w:cs="Arial" w:ascii="Tinos" w:hAnsi="Tinos"/>
          <w:color w:val="000000"/>
          <w:sz w:val="24"/>
          <w:szCs w:val="24"/>
          <w:lang w:eastAsia="ru-RU"/>
        </w:rPr>
        <w:t>ом</w:t>
      </w:r>
      <w:r>
        <w:rPr>
          <w:rFonts w:cs="Arial" w:ascii="Tinos" w:hAnsi="Tinos"/>
          <w:sz w:val="24"/>
          <w:szCs w:val="24"/>
          <w:lang w:eastAsia="ru-RU"/>
        </w:rPr>
        <w:t xml:space="preserve"> Минэнерго России от 14.05.2025 N 511"Об утверждении Правил технической эксплуатации объектов теплоснабжения и теплопотребляющих установок"</w:t>
      </w:r>
      <w:r>
        <w:rPr/>
        <w:t xml:space="preserve"> отклонения от заданного режима на источнике теплоты предусматриваются не более:</w:t>
      </w:r>
    </w:p>
    <w:p>
      <w:pPr>
        <w:pStyle w:val="Normal"/>
        <w:ind w:firstLine="709"/>
        <w:jc w:val="both"/>
        <w:rPr>
          <w:rFonts w:eastAsia="Calibri" w:cs="Calibri"/>
          <w:szCs w:val="22"/>
          <w:lang w:eastAsia="en-US"/>
        </w:rPr>
      </w:pPr>
      <w:r>
        <w:rPr/>
        <w:t>- по температуре воды, поступающей в тепловую сеть ±3%;</w:t>
      </w:r>
    </w:p>
    <w:p>
      <w:pPr>
        <w:pStyle w:val="Normal"/>
        <w:ind w:firstLine="709"/>
        <w:jc w:val="both"/>
        <w:rPr>
          <w:rFonts w:eastAsia="Calibri" w:cs="Calibri"/>
          <w:szCs w:val="22"/>
          <w:lang w:eastAsia="en-US"/>
        </w:rPr>
      </w:pPr>
      <w:r>
        <w:rPr/>
        <w:t>- по давлению в подающем трубопроводе ±5%;</w:t>
      </w:r>
    </w:p>
    <w:p>
      <w:pPr>
        <w:pStyle w:val="Normal"/>
        <w:ind w:firstLine="709"/>
        <w:jc w:val="both"/>
        <w:rPr>
          <w:rFonts w:eastAsia="Calibri" w:cs="Calibri"/>
          <w:szCs w:val="22"/>
          <w:lang w:eastAsia="en-US"/>
        </w:rPr>
      </w:pPr>
      <w:r>
        <w:rPr/>
        <w:t>- по давлению в обратном трубопроводе ±0,2 кгс/см2.</w:t>
      </w:r>
    </w:p>
    <w:p>
      <w:pPr>
        <w:pStyle w:val="Normal"/>
        <w:ind w:firstLine="709"/>
        <w:jc w:val="both"/>
        <w:rPr>
          <w:rFonts w:eastAsia="Calibri" w:cs="Calibri"/>
          <w:szCs w:val="22"/>
          <w:lang w:eastAsia="en-US"/>
        </w:rPr>
      </w:pPr>
      <w:r>
        <w:rPr/>
        <w:t>Отклонение фактической среднесуточной температуры обратной воды из тепловой сети может превышать заданную графиком не более чем на +5%. Понижение фактической температуры обратной воды по сравнению с графиком не лимитируется.</w:t>
      </w:r>
    </w:p>
    <w:p>
      <w:pPr>
        <w:pStyle w:val="Normal"/>
        <w:keepNext w:val="true"/>
        <w:keepLines/>
        <w:numPr>
          <w:ilvl w:val="0"/>
          <w:numId w:val="0"/>
        </w:numPr>
        <w:ind w:left="0" w:firstLine="709"/>
        <w:jc w:val="both"/>
        <w:outlineLvl w:val="2"/>
        <w:rPr>
          <w:rFonts w:eastAsia="Calibri Light" w:cs="Calibri Light"/>
          <w:b/>
          <w:b/>
          <w:lang w:eastAsia="en-US"/>
        </w:rPr>
      </w:pPr>
      <w:r>
        <w:rPr/>
        <w:t xml:space="preserve">Информация о фактическом температурном режиме работы отпуска тепа в тепловые сети от источников тепловой энергии отсутствует. </w:t>
      </w:r>
      <w:bookmarkStart w:id="621" w:name="_Toc535409497"/>
      <w:bookmarkStart w:id="622" w:name="_Toc181340369"/>
      <w:bookmarkStart w:id="623" w:name="_Toc160529902"/>
      <w:bookmarkStart w:id="624" w:name="_Hlk160709169"/>
      <w:bookmarkStart w:id="625" w:name="_Hlk160645555"/>
      <w:bookmarkEnd w:id="624"/>
      <w:bookmarkEnd w:id="625"/>
    </w:p>
    <w:p>
      <w:pPr>
        <w:pStyle w:val="Normal"/>
        <w:keepNext w:val="true"/>
        <w:keepLines/>
        <w:numPr>
          <w:ilvl w:val="0"/>
          <w:numId w:val="0"/>
        </w:numPr>
        <w:ind w:left="0" w:firstLine="709"/>
        <w:jc w:val="both"/>
        <w:outlineLvl w:val="2"/>
        <w:rPr>
          <w:rFonts w:eastAsia="Calibri Light" w:cs="Calibri Light"/>
          <w:b/>
          <w:b/>
          <w:lang w:eastAsia="en-US"/>
        </w:rPr>
      </w:pPr>
      <w:r>
        <w:rPr>
          <w:rFonts w:eastAsia="Calibri Light" w:cs="Calibri Light"/>
          <w:b/>
          <w:lang w:eastAsia="en-US"/>
        </w:rPr>
        <w:t>1.3.8. Гидравлические режимы и пьезометрические графики тепловых сетей</w:t>
      </w:r>
      <w:bookmarkStart w:id="626" w:name="_Hlk160645563"/>
      <w:bookmarkEnd w:id="621"/>
      <w:bookmarkEnd w:id="622"/>
      <w:bookmarkEnd w:id="623"/>
      <w:bookmarkEnd w:id="626"/>
    </w:p>
    <w:p>
      <w:pPr>
        <w:pStyle w:val="Normal"/>
        <w:ind w:firstLine="709"/>
        <w:jc w:val="both"/>
        <w:rPr>
          <w:rFonts w:eastAsia="Calibri" w:cs="Calibri"/>
          <w:szCs w:val="22"/>
          <w:lang w:eastAsia="ru-RU"/>
        </w:rPr>
      </w:pPr>
      <w:r>
        <w:rPr>
          <w:rFonts w:eastAsia="Calibri" w:cs="Calibri"/>
          <w:szCs w:val="22"/>
          <w:lang w:eastAsia="ru-RU"/>
        </w:rPr>
        <w:t>Задачей гидравлического расчёта трубопроводов является определение фактического гидравлического сопротивления каждого участка и суммы сопротивлений по участкам, начиная от теплового ввода и до каждого теплопотребителя.</w:t>
      </w:r>
    </w:p>
    <w:p>
      <w:pPr>
        <w:sectPr>
          <w:headerReference w:type="default" r:id="rId37"/>
          <w:footerReference w:type="default" r:id="rId38"/>
          <w:type w:val="nextPage"/>
          <w:pgSz w:w="11906" w:h="16838"/>
          <w:pgMar w:left="1701" w:right="567" w:header="0" w:top="1134" w:footer="0" w:bottom="851" w:gutter="0"/>
          <w:pgNumType w:fmt="decimal"/>
          <w:formProt w:val="false"/>
          <w:textDirection w:val="lrTb"/>
          <w:docGrid w:type="default" w:linePitch="326" w:charSpace="0"/>
        </w:sectPr>
        <w:pStyle w:val="Normal"/>
        <w:ind w:firstLine="709"/>
        <w:jc w:val="both"/>
        <w:rPr>
          <w:rFonts w:eastAsia="Calibri" w:cs="Calibri"/>
          <w:szCs w:val="22"/>
          <w:lang w:eastAsia="ru-RU"/>
        </w:rPr>
      </w:pPr>
      <w:r>
        <w:rPr>
          <w:rFonts w:eastAsia="Calibri" w:cs="Calibri"/>
          <w:szCs w:val="22"/>
          <w:lang w:eastAsia="ru-RU"/>
        </w:rPr>
        <w:t>Результаты гидравлического расчёта тепловых сетей (по данным ранее утвержденной редакции схемы) представлены в таблице 8. Пьезометрические графики тепловой сети источника теплоснабжения представлены на рисунках 1 – 3.</w:t>
      </w:r>
    </w:p>
    <w:p>
      <w:pPr>
        <w:pStyle w:val="Normal"/>
        <w:jc w:val="right"/>
        <w:rPr>
          <w:rFonts w:eastAsia="Calibri" w:cs="Calibri"/>
          <w:iCs/>
          <w:szCs w:val="18"/>
          <w:lang w:eastAsia="en-US"/>
        </w:rPr>
      </w:pPr>
      <w:bookmarkStart w:id="627" w:name="_Ref82940530"/>
      <w:r>
        <w:rPr>
          <w:rFonts w:eastAsia="Calibri" w:cs="Calibri"/>
          <w:iCs/>
          <w:szCs w:val="18"/>
          <w:lang w:eastAsia="en-US"/>
        </w:rPr>
        <w:t xml:space="preserve">Таблица </w:t>
      </w:r>
      <w:bookmarkEnd w:id="627"/>
      <w:r>
        <w:rPr>
          <w:rFonts w:eastAsia="Calibri" w:cs="Calibri"/>
          <w:iCs/>
          <w:szCs w:val="18"/>
          <w:lang w:eastAsia="en-US"/>
        </w:rPr>
        <w:t>8 – Гидравлический расчет тепловых сетей источников</w:t>
      </w:r>
    </w:p>
    <w:tbl>
      <w:tblPr>
        <w:tblW w:w="5000" w:type="pct"/>
        <w:jc w:val="left"/>
        <w:tblInd w:w="0" w:type="dxa"/>
        <w:tblCellMar>
          <w:top w:w="0" w:type="dxa"/>
          <w:left w:w="108" w:type="dxa"/>
          <w:bottom w:w="0" w:type="dxa"/>
          <w:right w:w="108" w:type="dxa"/>
        </w:tblCellMar>
        <w:tblLook w:val="04a0" w:noVBand="1" w:noHBand="0" w:lastColumn="0" w:firstColumn="1" w:lastRow="0" w:firstRow="1"/>
      </w:tblPr>
      <w:tblGrid>
        <w:gridCol w:w="1467"/>
        <w:gridCol w:w="1956"/>
        <w:gridCol w:w="2067"/>
        <w:gridCol w:w="1224"/>
        <w:gridCol w:w="1933"/>
        <w:gridCol w:w="1998"/>
        <w:gridCol w:w="1077"/>
        <w:gridCol w:w="1146"/>
        <w:gridCol w:w="1417"/>
      </w:tblGrid>
      <w:tr>
        <w:trPr>
          <w:tblHeader w:val="true"/>
          <w:trHeight w:val="20" w:hRule="atLeast"/>
        </w:trPr>
        <w:tc>
          <w:tcPr>
            <w:tcW w:w="14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Номер источника</w:t>
            </w:r>
          </w:p>
        </w:tc>
        <w:tc>
          <w:tcPr>
            <w:tcW w:w="1956" w:type="dxa"/>
            <w:tcBorders>
              <w:top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Наименование начала участка</w:t>
            </w:r>
          </w:p>
        </w:tc>
        <w:tc>
          <w:tcPr>
            <w:tcW w:w="2067" w:type="dxa"/>
            <w:tcBorders>
              <w:top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Наименование конца участка</w:t>
            </w:r>
          </w:p>
        </w:tc>
        <w:tc>
          <w:tcPr>
            <w:tcW w:w="1224" w:type="dxa"/>
            <w:tcBorders>
              <w:top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Длина участка, м</w:t>
            </w:r>
          </w:p>
        </w:tc>
        <w:tc>
          <w:tcPr>
            <w:tcW w:w="1933" w:type="dxa"/>
            <w:tcBorders>
              <w:top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Внутpенний диаметp тpубопpовода, м</w:t>
            </w:r>
          </w:p>
        </w:tc>
        <w:tc>
          <w:tcPr>
            <w:tcW w:w="1998" w:type="dxa"/>
            <w:tcBorders>
              <w:top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 xml:space="preserve">Коэффициент местного сопротивления </w:t>
            </w:r>
          </w:p>
        </w:tc>
        <w:tc>
          <w:tcPr>
            <w:tcW w:w="1077" w:type="dxa"/>
            <w:tcBorders>
              <w:top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Расход воды, т/ч</w:t>
            </w:r>
          </w:p>
        </w:tc>
        <w:tc>
          <w:tcPr>
            <w:tcW w:w="1146" w:type="dxa"/>
            <w:tcBorders>
              <w:top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Потери напора, м</w:t>
            </w:r>
          </w:p>
        </w:tc>
        <w:tc>
          <w:tcPr>
            <w:tcW w:w="1417" w:type="dxa"/>
            <w:tcBorders>
              <w:top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Удельные линейные потери напора, мм/м</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74</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5,98</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0,07</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0,00</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0,00</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0,00</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83</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ТК2/8</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28,46</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0,00</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0,00</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0,00</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203</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204</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18,23</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0,076</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0,00</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0,00</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0,00</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267</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268</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11,33</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0,00</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0,00</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0,00</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348</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348)</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3,13</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0,07</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0,00</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0,00</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0,00</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360</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4</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2,97</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0,00</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0,00</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0,00</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401</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5,86</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0,076</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0,00</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0,00</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0,00</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411</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289</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11,68</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0,00</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0,00</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0,00</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2242</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улица Ленина 60Г</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3,78</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2,82</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0,04</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8,50</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2266</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улица Ленина 42</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2,83</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2,16</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0,02</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5,00</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2300</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улица Ленина 3</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3,64</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0,032</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0,13</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0,00</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0,24</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2304</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улица Ленина 12</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9,38</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0,57</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0,00</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0,36</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2350</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2352</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51,63</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0,108</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0,94</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0,00</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0,02</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2352</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улица Калинина 28</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7,89</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0,07</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0,94</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0,00</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0,16</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2358</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Пожарный резервуар 2х100 м3</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3,39</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0,22</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0,00</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0,06</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2360</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улица Ленина 19</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3,38</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0,22</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0,00</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0,06</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2362</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улица Ленина 21</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3,52</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0,057</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0,26</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0,00</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0,04</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2405</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улица Бичинева 1А</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34,16</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0,44</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0,01</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0,22</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2417</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улица Бичинёва 7</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4,15</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0,84</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0,00</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0,78</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2435</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ТК1/1</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13,78</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36,83</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0,07</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4,04</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2449</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улица Сенькина 42</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13,39</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0,032</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2,20</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0,93</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57,62</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2461</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 xml:space="preserve">улица Сенькина </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3,9</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0,032</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2,04</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0,23</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49,68</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2477</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улица Шмигельского 9</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6,47</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0,032</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0,65</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0,04</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5,06</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2823</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улица Сенькина 28</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22,24</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0,10</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0,00</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0,01</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ЗУ-(ТК1/3)</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200</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57,19</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0,07</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6,70</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0,54</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7,85</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ЗУ-(ТК1/3)</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улица Бичинёва 7</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33,9</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0,032</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1,73</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1,45</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35,53</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ЗУ-(ТК1/4)</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364</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58,32</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5,71</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2,43</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34,69</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ЗУ-(ТК1/5)</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11</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11,28</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0,032</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3,27</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1,72</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126,69</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ЗУ-(ТК1/5)</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улица Бичинёва 13</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4,35</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0,032</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3,76</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0,88</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167,59</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ЗУ-(ТК1/6)</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ТК1/12</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255,47</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0,2</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17,14</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0,06</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0,19</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ЗУ-(ТК1/9)</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улица Калинина 42</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6,09</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0,025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1,75</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1,02</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139,24</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ЗУ-(ТК1/10)</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Советская улица 41</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6,13</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0,089</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4,34</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0,01</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0,93</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ЗУ-(ТК1/11)</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 xml:space="preserve"> </w:t>
            </w:r>
            <w:r>
              <w:rPr>
                <w:sz w:val="20"/>
                <w:szCs w:val="20"/>
              </w:rPr>
              <w:t>улица Ленина 60</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5,87</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3,23</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0,08</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11,13</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ЗУ-(ТК1/11)</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163</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19,4</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0,108</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36,50</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0,53</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22,73</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ЗУ-(ТК1/11)</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ТК1/11</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3,53</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50,69</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0,03</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7,62</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ЗУ-(ТК1/12)</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Советская улица 29</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17,9</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0,02</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0,95</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3,01</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140,15</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ЗУ-(ТК1/13)</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улица Ленина 15</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20,9</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0,08</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0,32</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0,00</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0,01</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ЗУ-(ТК1/13)</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177</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29,66</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0,057</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0,87</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0,02</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0,42</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ЗУ-(ТК1/13)</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ТК1/13</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3,41</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0,057</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16,16</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0,56</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136,63</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ЗУ-(ТК1/13)</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ТК1/14</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35,27</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0,219</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14,97</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0,00</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0,09</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ЗУ-(ТК1/14)</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Советская улица 27</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17,83</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4,70</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0,01</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0,59</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ЗУ-(ТК1/15)</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ТК1/15</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23,08</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0,108</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5,22</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0,01</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0,48</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ЗУ-(ТК1/16)</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ТК1/16</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3,06</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0,108</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12,08</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0,01</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2,52</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ЗУ-(ТК1/16)</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улица Ленина 40</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11,24</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4,33</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0,01</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0,50</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ЗУ-(ТК1/17)</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улица Ленина 11</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11,33</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2,64</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0,00</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0,19</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ЗУ-(ТК1/18)</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ТК1/19</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53,82</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0,108</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3,55</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0,02</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0,23</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ЗУ-(ТК1/18)</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ТК1/18</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3,09</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0,2</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11,88</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0,00</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0,10</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ЗУ-(ТК1/19)</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181</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19,92</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0,108</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0,59</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0,00</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0,01</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ЗУ-(ТК1/19)</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 xml:space="preserve">  </w:t>
            </w:r>
            <w:r>
              <w:rPr>
                <w:sz w:val="20"/>
                <w:szCs w:val="20"/>
              </w:rPr>
              <w:t>улица Ленина (около д.11)</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15,6</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0,032</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0,17</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0,01</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0,36</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ЗУ-(ТК1/19)</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ТК1/20</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19,68</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0,108</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2,79</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0,00</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0,14</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ЗУ-(ТК1/20)</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здание около моностыря</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53,81</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0,07</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0,80</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0,01</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0,12</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ЗУ-(ТК1/21)</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улица Ленина 5</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3,02</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0,032</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0,11</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0,00</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0,08</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ЗУ-(ТК1/22)</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183</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50,72</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0,076</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0,72</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0,00</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0,06</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ЗУ-(ТК1/22)</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улица Ленина 20</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15,2</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0,108</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1,27</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0,00</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0,03</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ЗУ-(ТК1/23)</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384</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45,63</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4,86</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0,03</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0,62</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ЗУ-(ТК1/23)</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184</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33,33</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3,47</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0,01</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0,32</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ЗУ-(ТК1/24)</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185</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6,14</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0,07</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1,13</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0,00</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0,23</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ЗУ-(ТК1/24)</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Советская улица 11А</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16,52</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0,032</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0,29</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0,02</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1,07</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ЗУ-(ТК1/25)</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улица Бичинёва 3А</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20,48</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0,61</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0,01</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0,42</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ЗУ-(ТК1/26)</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улица Калинина 39</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19,24</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5,81</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0,00</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0,11</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1)</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14</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19,02</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24,56</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0,36</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15,55</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1)</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137</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20,06</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0,2</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147,09</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0,33</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13,88</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3)</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362</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56,85</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2,49</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0,45</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6,64</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4)</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улица Шмигельского 28</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5,23</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0,032</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1,70</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0,22</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34,53</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6)</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улица Шмигельского 30</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37,15</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0,032</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0,46</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0,11</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2,54</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8)</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улица Шмигельского 13А</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15,84</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0,39</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0,00</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0,18</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8)</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улица Шмигельского 13А</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7,01</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0,40</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0,00</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0,18</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10)</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улица Бичинёва 13А</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4,43</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5,17</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0,15</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28,48</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11)</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улица Бичинёва 16</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27,49</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1,50</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0,08</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2,43</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12)</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улица Бичинёва 18</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2,59</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0,032</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1,11</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14,78</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14)</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199</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7,64</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0,032</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4,04</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1,77</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192,96</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15)</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 xml:space="preserve">  </w:t>
            </w:r>
            <w:r>
              <w:rPr>
                <w:sz w:val="20"/>
                <w:szCs w:val="20"/>
              </w:rPr>
              <w:t>улица Бичинёва (около д.9)</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4,67</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0,032</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0,85</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8,70</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16)</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улица Сенькина 44А</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17,45</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0,032</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2,51</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1,56</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74,55</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17)</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20</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58,5</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0,032</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0,84</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0,59</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8,44</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18)</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улица Сенькина 46</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21,02</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0,025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1,52</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2,64</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104,52</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19)</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улица Сенькина 46А</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13,47</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5,02</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0,43</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26,85</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21)</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улица Бичинёва 9</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7,15</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6,00</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0,33</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38,26</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22)</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улица Калинина 41А</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8,32</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8,86</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0,83</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83,28</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23)</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улица Калинина 41</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3,12</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8,13</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0,26</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70,12</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25)</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 xml:space="preserve"> </w:t>
            </w:r>
            <w:r>
              <w:rPr>
                <w:sz w:val="20"/>
                <w:szCs w:val="20"/>
              </w:rPr>
              <w:t>Гараж службы МТО</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13,55</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0,04</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0,35</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0,01</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0,45</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27)</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улица Калинина 33</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39,73</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0,26</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0,00</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0,08</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28)</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улица Калинина 25</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82,93</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0,015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0,07</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0,72</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30)</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Советская улица 45</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47,55</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2,45</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0,37</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6,43</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32)</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Советская улица 14</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7,84</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1,11</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0,01</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1,35</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33)</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улица Ленина 29</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13,91</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3,11</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0,17</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10,35</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34)</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35</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23,24</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0,08</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10,96</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0,29</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10,24</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35)</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улица Ленина 66</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6,01</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0,032</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1,50</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0,19</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26,86</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36)</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улица Ленина 70</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21,74</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3,78</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0,40</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15,26</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36)</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улица Ленина 33</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29,98</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2,02</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0,16</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4,40</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37)</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улица Ленина 68</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19,02</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0,032</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1,91</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1,00</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43,61</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38)</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 xml:space="preserve"> </w:t>
            </w:r>
            <w:r>
              <w:rPr>
                <w:sz w:val="20"/>
                <w:szCs w:val="20"/>
              </w:rPr>
              <w:t>улица Ленина 31а</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5,54</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0,032</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1,74</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0,24</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36,03</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39)</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улица Калинина 38</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4,58</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11,10</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0,72</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130,56</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41)</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Советская улица 47</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30,73</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1,59</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0,10</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2,74</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41)</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 xml:space="preserve"> </w:t>
            </w:r>
            <w:r>
              <w:rPr>
                <w:sz w:val="20"/>
                <w:szCs w:val="20"/>
              </w:rPr>
              <w:t>потребитель б/н</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3,89</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1,13</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0,01</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1,41</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42)</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улица Калинина 40</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4,31</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8,64</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0,41</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79,23</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136)</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улица Калинина 42</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16,67</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3,88</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0,32</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16,10</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137)</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23</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11,29</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19,76</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0,02</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1,17</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160)</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 xml:space="preserve"> </w:t>
            </w:r>
            <w:r>
              <w:rPr>
                <w:sz w:val="20"/>
                <w:szCs w:val="20"/>
              </w:rPr>
              <w:t>Советская улица 43</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19,29</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1,58</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0,06</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2,71</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161)</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 xml:space="preserve"> </w:t>
            </w:r>
            <w:r>
              <w:rPr>
                <w:sz w:val="20"/>
                <w:szCs w:val="20"/>
              </w:rPr>
              <w:t>Советская улица 18</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20,07</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0,032</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2,06</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1,22</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50,45</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161)</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 xml:space="preserve"> </w:t>
            </w:r>
            <w:r>
              <w:rPr>
                <w:sz w:val="20"/>
                <w:szCs w:val="20"/>
              </w:rPr>
              <w:t>Советская улица 16</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5,12</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0,076</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1,85</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0,00</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0,40</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163)</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2242</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59,16</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2,82</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0,60</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8,50</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164)</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 xml:space="preserve">  </w:t>
            </w:r>
            <w:r>
              <w:rPr>
                <w:sz w:val="20"/>
                <w:szCs w:val="20"/>
              </w:rPr>
              <w:t>улица Ленина (около д.48)</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27,44</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0,75</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0,02</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0,62</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167)</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улица Ленина 48</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3,46</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2,36</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0,03</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5,96</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168)</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169</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1,39</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3,61</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0,02</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13,91</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170)</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улица Ленина 46</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3,66</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1,92</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0,02</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3,98</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171)</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улица Ленина 46</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3,53</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1,87</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0,02</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3,78</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172)</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улица Ленина 46</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3,74</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1,67</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0,01</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3,00</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173)</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улица Ленина 46</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3,88</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0,032</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1,16</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0,07</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15,97</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174)</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улица Ленина 46</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6,34</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0,032</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0,98</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0,09</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11,63</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176)</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улица Ленина 38</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13,39</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0,057</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0,83</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0,01</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0,38</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177)</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 xml:space="preserve">Пожарный резервуар 100 м3 </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3,09</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0,18</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0,00</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0,02</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180)</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улица Ленина 13</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11,94</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1,70</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3,12</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181)</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Советская улица 7</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2,67</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0,032</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0,27</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0,00</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0,91</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183)</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улица Ленина 14</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18,39</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0,032</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0,15</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0,01</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0,29</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184)</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Советская улица 4</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4,89</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0,032</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0,63</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0,03</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4,82</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185)</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Советская улица 9А</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5,04</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0,60</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0,00</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0,40</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186)</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Советская улица 5</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22,18</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0,22</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0,00</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0,06</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187)</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улица Калинина 10</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3,2</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0,74</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0,00</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0,60</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189)</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улица Калинина 5</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35,63</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0,11</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0,00</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0,01</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189)</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улица Калинина 8</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22,64</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0,14</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0,00</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0,01</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193)</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улица Калинина 23</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5,02</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0,08</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0,00</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0,01</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193)</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улица Калинина 15</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9,16</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0,14</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0,00</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0,01</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195)</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улица Бичинёва 3А</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4,56</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0,04</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0,60</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0,01</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1,31</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196)</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улица Бичинёва 3А</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4,91</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0,025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0,30</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0,03</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4,21</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197)</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улица Бичинёва 6</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12,39</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1,04</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0,02</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1,19</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198)</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улица Бичинёва 6</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3,8</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0,04</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1,04</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0,02</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3,91</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199)</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улица Сенькина 46Б</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4,74</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0,025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1,87</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0,90</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158,40</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201)</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201</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5,38</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0,076</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12,72</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0,12</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18,13</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201)</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улица Бичинёва 11</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41,71</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0,04</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2,83</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1,42</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28,40</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202)</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улица Сенькина 46</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47,4</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3,40</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0,70</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12,36</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327)</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улица Шмигельского 34</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7,42</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0,076</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1,11</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0,00</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0,15</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330)</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улица Калинина 6</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11,37</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0,032</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0,20</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0,01</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0,52</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370)</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улица Шмигельского 32</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8,27</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0,032</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1,00</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0,12</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11,98</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397)</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улица Сенькина 40</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3,8</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0,025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2,64</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1,44</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315,03</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399)</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 xml:space="preserve"> </w:t>
            </w:r>
            <w:r>
              <w:rPr>
                <w:sz w:val="20"/>
                <w:szCs w:val="20"/>
              </w:rPr>
              <w:t>улица Сенькина (около д.28)</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5,18</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0,032</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0,18</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0,00</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0,42</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401)</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Советская улица 1</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6,04</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0,31</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0,00</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0,11</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402)</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улица Ленина 5</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3,13</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0,032</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0,08</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0,00</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0,03</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403)</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403</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2,5</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5,12</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0,08</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27,89</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Котельная №1</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1</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10,32</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0,2</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208,48</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0,35</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27,85</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ТК1/1</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ТК1/2</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15,19</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36,83</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0,07</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4,04</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ТК1/2</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3</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67,71</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24,10</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0,14</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1,74</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ТК1/2</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2</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6,23</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12,72</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0,00</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0,49</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ТК1/3</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16</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3,86</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0,076</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11,25</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0,07</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14,18</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ТК1/3</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ЗУ-(ТК1/3)</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63,37</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0,07</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6,70</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0,60</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7,85</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ТК1/3</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ЗУ-(ТК1/3)</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39,87</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0,032</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1,73</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1,70</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35,53</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ТК1/4</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9</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11,67</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15,90</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0,01</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0,76</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ТК1/4</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ЗУ-(ТК1/4)</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62,25</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5,71</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2,59</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34,70</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ТК1/5</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ЗУ-(ТК1/5)</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6,56</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0,032</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3,76</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1,32</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167,59</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ТК1/5</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ЗУ-(ТК1/5)</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15,53</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0,032</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3,27</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2,36</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126,69</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ТК1/6</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29</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15,49</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95,31</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0,50</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26,87</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ТК1/6</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ЗУ-(ТК1/6)</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260,27</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0,2</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17,16</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0,06</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0,20</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ТК1/7</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30</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28,71</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67,20</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0,46</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13,38</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ТК1/8</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40</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5,07</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0,089</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17,00</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0,09</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13,91</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ТК1/9</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136</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3,5</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5,64</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0,14</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33,77</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ТК1/10</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ЗУ-(ТК1/10)</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9,14</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0,089</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4,34</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0,01</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0,93</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ТК1/10</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31</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34,53</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58,83</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0,43</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10,26</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ТК1/11</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ЗУ-(ТК1/11)</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26,6</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0,108</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36,50</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0,73</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22,73</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ТК1/11</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34</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4,28</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14,19</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0,00</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0,61</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ТК1/12</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ЗУ-(ТК1/13)</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37,98</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0,057</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16,16</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6,23</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136,64</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ТК1/12</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ЗУ-(ТК1/12)</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22,82</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0,02</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0,95</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3,84</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140,16</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ТК1/13</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ЗУ-(ТК1/13)</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23,98</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0,08</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0,32</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0,00</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0,01</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ТК1/13</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ЗУ-(ТК1/13)</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33,11</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0,87</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0,03</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0,84</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ТК1/13</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ЗУ-(ТК1/13)</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3,8</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0,219</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14,97</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0,00</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0,09</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ТК1/14</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ЗУ-(ТК1/14)</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21,58</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4,70</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0,02</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0,59</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ТК1/14</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179</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14,11</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0,219</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10,26</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0,00</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0,04</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ТК1/15</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ТК1/17</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23,27</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0,2</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14,53</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0,00</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0,14</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ТК1/16</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176</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42,84</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0,159</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7,75</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0,01</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0,14</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ТК1/16</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ЗУ-(ТК1/16)</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12,8</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4,33</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0,01</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0,50</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ТК1/17</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ЗУ-(ТК1/17)</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13,12</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2,64</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0,00</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0,19</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ТК1/17</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ЗУ-(ТК1/18)</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25,13</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0,2</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11,88</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0,00</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0,10</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ТК1/18</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ТК1/23</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40,1</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8,33</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0,01</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0,21</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ТК1/18</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ЗУ-(ТК1/18)</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60,28</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0,108</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3,55</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0,02</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0,23</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ТК1/19</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ЗУ-(ТК1/19)</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19,17</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0,032</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0,17</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0,01</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0,36</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ТК1/19</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ЗУ-(ТК1/19)</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22,55</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0,108</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2,79</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0,00</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0,14</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ТК1/19</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ЗУ-(ТК1/19)</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23,33</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0,108</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0,59</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0,00</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0,01</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ТК1/20</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ЗУ-(ТК1/20)</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59,29</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0,07</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0,80</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0,01</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0,12</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ТК1/20</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ТК1/22</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72,33</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0,108</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1,99</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0,01</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0,07</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ТК1/21</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182</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2,45</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0,032</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0,32</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0,00</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1,26</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ТК1/22</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ЗУ-(ТК1/22)</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20,33</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0,108</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1,27</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0,00</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0,03</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ТК1/22</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ЗУ-(ТК1/22)</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55,54</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0,076</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0,72</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0,00</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0,06</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ТК1/23</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ЗУ-(ТК1/23)</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37,46</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3,47</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0,01</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0,32</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ТК1/23</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ЗУ-(ТК1/23)</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4,99</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4,86</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0,00</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0,62</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ТК1/24</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187</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48,83</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0,08</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1,41</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0,01</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0,18</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ТК1/24</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ЗУ-(ТК1/24)</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11,88</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0,076</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1,13</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0,00</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0,15</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ТК1/24</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ЗУ-(ТК1/24)</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6,02</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0,032</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0,29</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0,01</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1,07</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ТК1/25</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25</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20,37</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8,08</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0,01</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0,20</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ТК1/25</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ЗУ-(ТК1/25)</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25,32</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0,61</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0,01</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0,42</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ТК1/26</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ЗУ-(ТК1/26)</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26,17</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5,81</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0,00</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0,11</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ТК1/27</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27</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42,05</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0,49</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0,00</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0,01</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ТК1/27</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2405</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41,57</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0,44</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0,01</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0,22</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ТК1/27</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2823</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10,54</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0,10</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0,00</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0,01</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1</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1)</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23,08</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24,56</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0,43</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15,55</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1</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2435</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21,2</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36,83</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0,10</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4,04</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1</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1)</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2,73</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0,2</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147,09</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13,88</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2</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201)</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21,79</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0,076</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12,72</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0,47</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18,13</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3</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3)</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60,19</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2,49</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0,48</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6,64</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3</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ТК1/4</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26,66</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21,61</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1,40</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4</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4)</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8,3</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0,032</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1,70</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0,34</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34,53</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4</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5</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17,83</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4,01</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0,37</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17,14</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5</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387</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42,8</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3,36</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0,62</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12,08</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5</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2477</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18,44</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0,032</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0,65</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0,11</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5,06</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6</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327</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62,82</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1,91</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0,30</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3,92</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6</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6)</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18,8</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0,032</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0,46</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0,06</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2,54</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8</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8)</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20,09</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0,39</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0,00</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0,18</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8</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8)</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9,89</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0,40</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0,00</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0,18</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9</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улица Шмигельского 24</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18,62</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3,69</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0,33</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14,54</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9</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10</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43,31</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12,21</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0,02</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0,45</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10</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10)</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7,32</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5,17</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0,25</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28,48</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10</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ТК1/5</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45,7</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7,03</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0,01</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0,15</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11</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11)</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30,75</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1,50</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0,09</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2,43</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11</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12</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5,33</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0,032</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1,77</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0,24</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37,33</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12</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Водозабор №2</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55,62</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0,032</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0,66</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0,35</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5,25</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12</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12)</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1,1</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0,032</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1,11</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0,02</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14,78</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14</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15</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13,88</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20,53</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0,18</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10,87</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14</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14)</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10,02</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0,032</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4,04</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2,32</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192,97</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15</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ТК1/3</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15,49</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19,67</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0,19</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9,99</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15</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15)</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7,96</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0,032</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0,85</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0,08</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8,70</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16</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17)</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63,53</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0,032</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0,00</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0,00</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0,00</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16</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17</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4,99</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0,076</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11,25</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0,09</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14,18</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17</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18</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25,76</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0,076</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8,74</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0,27</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8,59</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17</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16)</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20,02</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0,032</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2,51</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1,79</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74,55</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18</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2449</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23,09</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0,032</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2,20</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1,60</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57,63</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18</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19</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3,21</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6,54</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0,18</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45,42</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19</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18)</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24,83</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0,025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1,52</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3,11</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104,53</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19</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19)</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17,5</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5,02</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0,56</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26,85</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21</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22</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51,16</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0,2</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121,33</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0,58</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9,45</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21</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137)</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14,57</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19,76</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7,22</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413,00</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22</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ТК1/6</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15,75</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112,46</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0,71</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37,39</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22</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22)</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11,95</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8,86</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1,19</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83,28</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23</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23)</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5,31</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8,13</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0,45</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70,12</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23</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357</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101,03</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11,63</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0,41</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24</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ТК1/25</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9,12</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8,69</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0,88</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80,16</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24</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197</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19</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2,93</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0,21</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9,16</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25</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25)</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16,5</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0,04</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0,35</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0,01</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0,46</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25</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195</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12,62</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7,73</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0,00</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0,18</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26</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ТК1/26</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5,45</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5,81</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0,00</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0,11</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26</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ТК1/27</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68,82</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1,03</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0,00</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0,00</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27</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27)</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46,13</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0,26</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0,00</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0,08</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27</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28</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5,89</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0,23</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0,00</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0,00</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28</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399</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32,35</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0,032</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0,18</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0,02</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0,42</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28</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28)</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86,91</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0,032</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0,00</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0,02</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29</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39</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25,2</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0,089</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28,10</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1,15</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37,88</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29</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ТК1/7</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20,14</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67,20</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0,32</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13,38</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30</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30)</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0,01</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2,45</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0,00</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6,43</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30</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160</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2,7</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64,75</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0,04</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12,42</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31</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32</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8,09</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54,91</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0,09</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8,94</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31</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161</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65,15</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0,076</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3,91</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0,14</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1,74</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32</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33</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27,48</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53,80</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0,28</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8,59</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32</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32)</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10,53</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1,11</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0,02</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1,35</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33</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33)</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16,84</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3,11</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0,21</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10,35</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33</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ЗУ-(ТК1/11)</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14,37</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50,69</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0,13</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7,62</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34</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ЗУ-(ТК1/11)</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6,18</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3,23</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0,08</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11,13</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34</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34)</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25,61</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0,08</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10,96</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0,32</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10,24</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35</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38</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20,83</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0,08</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9,46</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0,19</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7,64</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35</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35)</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4,16</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0,032</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1,50</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0,13</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26,86</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36</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36)</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4,15</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3,78</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0,08</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15,26</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36</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36)</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33,15</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2,02</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0,18</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4,40</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37</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36</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13,11</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0,089</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5,80</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0,03</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1,64</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37</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37)</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23,5</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0,032</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1,91</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1,23</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43,61</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38</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37</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3,5</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0,08</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7,72</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0,02</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5,10</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38</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38)</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24,13</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0,032</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1,74</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1,04</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36,03</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39</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ТК1/8</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27,64</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0,089</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17,00</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0,46</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13,91</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39</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39)</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1,48</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11,10</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0,23</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130,56</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40</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42</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24,17</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0,089</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14,28</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0,29</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9,82</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40</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41</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36,48</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2,73</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0,35</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7,96</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41</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41)</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6,02</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1,13</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0,01</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1,41</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41</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41)</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35,98</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1,59</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0,12</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2,74</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42</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42)</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6,06</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8,64</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0,58</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79,23</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42</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ТК1/9</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37,07</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5,64</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1,50</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33,77</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136</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136)</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19,88</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3,88</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0,38</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16,10</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136</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ЗУ-(ТК1/9)</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8,37</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0,025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1,75</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1,40</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139,25</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137</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21</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2,65</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0,2</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141,08</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0,04</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12,77</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137</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21)</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9,61</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6,00</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0,44</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38,26</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160</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ТК1/10</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22,92</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63,17</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0,33</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11,82</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160</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160)</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24,35</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1,58</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0,08</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2,71</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161</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161)</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5,21</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0,076</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1,85</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0,00</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0,40</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161</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161)</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23,24</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0,032</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2,06</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1,41</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50,45</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163</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163)</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60,03</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2,82</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0,61</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8,51</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163</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164</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36,94</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0,108</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33,68</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0,86</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19,36</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164</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165</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1,52</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32,93</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27,90</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164</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164)</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30,63</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0,75</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0,02</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0,63</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165</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167</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21,61</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27,81</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0,52</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19,92</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165</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403)</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3,65</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5,12</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0,12</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27,89</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167</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168</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33,07</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25,45</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0,66</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16,69</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167</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167)</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4,37</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2,36</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0,03</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5,96</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168</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168)</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2,84</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3,61</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13,91</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168</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170</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24,95</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21,84</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0,37</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12,31</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169</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улица Ленина 48</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2,35</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1,82</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0,01</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3,58</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169</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улица Ленина 48</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10,99</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1,79</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3,45</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170</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171</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2,97</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19,92</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0,04</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10,24</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170</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170)</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4,77</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1,92</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0,02</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3,98</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171</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171)</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4,63</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1,87</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0,02</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3,78</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171</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172</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20,65</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0,108</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18,05</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0,14</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5,59</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172</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172)</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5,11</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1,67</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0,02</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3,00</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172</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173</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14,57</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16,38</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0,12</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6,94</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173</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173)</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4,98</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0,032</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1,16</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0,10</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15,97</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173</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174</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10,36</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0,108</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15,23</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3,98</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174</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175</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19,74</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0,108</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14,24</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0,08</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3,49</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174</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174)</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6,93</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0,032</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0,98</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0,10</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11,63</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175</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2266</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13,96</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2,16</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0,08</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5,00</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175</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ЗУ-(ТК1/16)</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27,65</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12,08</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0,13</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3,79</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176</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180</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38,44</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0,159</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6,92</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0,01</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0,11</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176</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176)</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13,15</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0,057</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0,83</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0,01</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0,38</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177</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177)</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6,04</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0,18</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0,00</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0,02</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177</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2358</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27,99</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0,22</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0,00</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0,06</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177</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178</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47,85</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0,057</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0,48</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0,01</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0,13</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178</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2360</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25,36</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0,22</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0,00</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0,06</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178</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2362</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51,94</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0,057</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0,26</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0,00</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0,04</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179</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ТК1/15</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51,43</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0,219</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9,32</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0,00</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0,04</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179</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2350</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131,36</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0,108</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0,94</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0,00</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0,02</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180</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ЗУ-(ТК1/15)</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12,31</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0,108</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5,22</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0,01</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0,48</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180</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180)</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5,66</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1,70</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0,02</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3,12</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181</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ТК1/21</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55,6</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0,108</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0,32</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0,00</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0,00</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181</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181)</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2,02</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0,032</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0,27</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0,00</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0,91</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182</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402</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40,03</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0,032</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0,21</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0,03</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0,56</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182</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ЗУ-(ТК1/21)</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4,72</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0,032</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0,11</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0,00</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0,08</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183</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2304</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98,1</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0,076</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0,57</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0,01</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0,04</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183</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183)</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23,3</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0,032</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0,15</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0,01</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0,29</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184</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184)</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2,09</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0,032</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0,63</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0,01</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4,82</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184</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ТК1/24</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33,51</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2,83</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0,01</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0,22</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185</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185)</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6,51</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0,60</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0,00</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0,40</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185</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186</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32,63</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0,07</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0,53</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0,00</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0,06</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186</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401</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99,96</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0,076</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0,31</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0,00</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0,01</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186</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186)</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28,18</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0,22</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0,00</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0,06</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187</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187)</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3,52</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0,74</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0,00</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0,60</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187</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188</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41,32</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0,08</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0,67</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0,00</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0,04</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188</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400</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45,14</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0,08</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0,46</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0,00</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0,02</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188</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192</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42,26</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0,21</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0,00</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0,04</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189</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190</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5,81</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0,07</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0,34</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0,00</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0,02</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189</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189)</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39,42</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0,11</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0,00</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0,01</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190</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191</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7,34</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0,20</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0,00</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0,03</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190</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189)</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24,48</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0,14</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0,00</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0,01</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191</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330</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24,3</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0,20</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0,00</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0,03</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192</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328</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39,02</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0,21</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0,00</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0,04</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193</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193)</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12,6</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0,14</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0,00</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0,01</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193</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193)</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6,8</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0,08</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0,00</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0,01</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194</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 xml:space="preserve">Пожарный резервуар 100 м3 </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7,12</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0,13</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0,00</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0,01</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194</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Пожарный резервуар 100 м3</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6,42</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0,13</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0,00</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0,01</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195</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196</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12,22</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7,14</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0,00</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0,16</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195</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195)</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6,79</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0,04</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0,60</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0,01</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1,31</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196</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26</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8,15</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6,83</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0,00</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0,14</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196</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196)</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7,21</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0,025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0,30</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0,04</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4,21</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197</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198</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2,55</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0,04</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2,09</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15,50</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197</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2417</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26,52</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0,84</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0,03</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0,78</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198</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197)</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15,48</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1,04</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0,02</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1,19</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198</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198)</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5,6</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0,04</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1,04</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0,03</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3,91</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199</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199)</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6,96</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0,025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1,87</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1,32</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158,40</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199</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улица Сенькина 46</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20,7</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0,032</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2,17</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1,39</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55,90</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200</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улица Сенькина 44</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21,51</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0,032</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2,02</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1,25</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48,42</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200</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397</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128,48</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0,07</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4,68</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0,59</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3,85</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201</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202</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32,05</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0,076</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9,90</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0,42</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10,99</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201</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201)</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51,53</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0,04</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2,83</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1,76</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28,41</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202</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202)</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53,16</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3,40</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0,79</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12,36</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202</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 xml:space="preserve">11А </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13,28</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0,07</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6,49</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0,12</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7,38</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327</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8</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35,62</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0,79</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0,03</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0,69</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327</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327)</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9,82</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1,11</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0,02</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1,36</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328</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193</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23,57</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0,21</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0,00</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0,04</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330</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330)</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8,19</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0,032</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0,20</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0,01</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0,52</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357</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24</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86,53</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11,62</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0,04</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0,41</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362</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улица Бичинёва 9А</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29,48</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2,49</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0,24</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6,64</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363</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4</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21,75</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5,71</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0,91</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34,69</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364</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363</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10,69</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5,71</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0,45</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34,69</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370</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370)</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1,91</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0,032</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1,00</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0,03</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11,98</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370</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6</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0,97</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2,36</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0,01</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5,99</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383</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194</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82,99</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0,26</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0,00</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0,00</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383</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Советская улица 13А</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2,71</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2,23</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0,02</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5,35</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384</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Советская улица 13А</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3,02</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2,37</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0,02</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6,01</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384</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383</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31,91</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2,49</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0,01</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0,17</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387</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370</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25,08</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3,36</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0,36</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12,08</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397</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2461</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111,42</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0,07</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2,04</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0,10</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0,75</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397</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397)</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1,46</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0,025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2,64</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0,55</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315,03</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399</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399)</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2,07</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0,032</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0,18</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0,00</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0,42</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400</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189</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20,32</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0,08</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0,46</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0,00</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0,02</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401</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401)</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6,42</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0,31</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0,00</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0,11</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402</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2300</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28,59</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0,032</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0,13</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0,01</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0,24</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402</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402)</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2,42</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0,032</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0,08</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0,00</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0,03</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403</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улица Ленина 48</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3,89</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2,57</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0,03</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7,11</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403</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улица Ленина 48</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9,73</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2,54</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0,08</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6,94</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2575</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Комсомольская улица 21</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10,63</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1,17</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0,02</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1,49</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2664</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 xml:space="preserve">Пионерская улица </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23,65</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2,56</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0,20</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7,02</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ЗУ-(ТК2/1)</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314</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17,23</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16,22</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0,14</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6,80</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ЗУ-(ТК2/1)</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Комсомольская улица 22</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18,65</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3,17</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0,24</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10,77</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ЗУ-(ТК2/2)</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43</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8,26</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0,07</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9,73</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0,16</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16,51</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ЗУ-(ТК2/4)</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Комсомольская улица 33</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40,03</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4,99</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1,27</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26,45</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ЗУ-(ТК2/5)</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ТК2/5</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3,98</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42,14</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0,22</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45,65</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ЗУ-(ТК2/5)</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Комсомольская улица 16</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10,63</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0,025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1,49</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1,29</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101,47</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ЗУ-(ТК2/5)</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ТК2/4</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33,66</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16,62</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0,29</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7,14</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ЗУ-(ТК2/6)</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356</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58,06</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0,87</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0,06</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0,83</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ЗУ-(ТК2/6)</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Комсомольская улица 36А</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26,61</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0,032</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1,56</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0,93</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29,07</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ЗУ-(ТК2/10)</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75</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46,74</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3,16</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0,60</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10,66</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ЗУ-(ТК2/11)</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ТК2/11</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4,93</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19,56</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0,06</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9,87</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ЗУ-(ТК2/12)</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ТК/13</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57,58</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7,41</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0,10</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1,44</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ЗУ-(ТК2/14)</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290</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38,59</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2,96</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0,44</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9,39</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46)</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улица Дзержинского 24</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35,29</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3,35</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0,51</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11,99</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47)</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ТК2/3</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38,27</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0,159</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41,37</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0,17</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3,73</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49)</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Комсомольская улица 16</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12,17</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2,82</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0,12</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8,52</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50)</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улица Дзержинского 22</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68,42</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1,65</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0,24</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2,94</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51)</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Комсомольская улица 12</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8,07</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0,032</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1,36</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0,21</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22,11</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52)</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 xml:space="preserve">Комсомольская улица </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5,88</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0,032</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1,15</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0,11</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15,84</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53)</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288</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23,65</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0,07</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5,81</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0,17</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5,91</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55)</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Комсомольская улица 19</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23,1</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0,032</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0,71</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0,17</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6,06</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56)</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Комсомольская улица 17</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14,65</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0,07</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1,25</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0,01</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0,29</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57)</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Комсомольская улица 15А</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38,78</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0,75</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0,03</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0,62</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58)</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улица Кирова 25</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81,97</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1,96</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0,41</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4,14</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60)</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Пионерская улица 23</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34</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2,05</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0,19</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4,53</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61)</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Пионерская улица 19</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29,96</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2,21</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0,19</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5,27</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62)</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улица Кирова 24</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12,26</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1,98</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0,06</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4,22</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63)</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улица Кирова 26</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28,37</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1,66</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0,10</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2,96</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72)</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Комсомольская улица 35</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25,5</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1,96</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0,13</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4,13</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75)</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76</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30,83</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0,04</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1,61</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0,34</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9,25</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76)</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Комсомольская улица б/н</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23,98</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0,04</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0,83</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0,07</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2,51</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77)</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 xml:space="preserve"> </w:t>
            </w:r>
            <w:r>
              <w:rPr>
                <w:sz w:val="20"/>
                <w:szCs w:val="20"/>
              </w:rPr>
              <w:t>Пионерская улица (рядом д.17)</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3,23</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0,032</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0,39</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0,01</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1,87</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78)</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Комсомольская улица 32</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34,86</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0,99</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1,07</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78)</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Комсомольская улица 28</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18,35</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0,032</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0,91</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0,22</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9,94</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79)</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Комсомольская улица 36</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3,28</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0,032</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1,14</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0,06</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15,46</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81)</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342</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40,28</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0,08</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5,06</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0,11</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2,21</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82)</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Пионерская улица 6</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24,71</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1,10</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0,04</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1,33</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83)</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Пионерская улица 1</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6,62</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0,032</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2,34</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0,52</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65,25</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291)</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Комсомольская улица 6</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18,41</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2,73</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0,18</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8,00</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291)</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Комсомольская улица 8/1</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4,64</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0,23</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0,00</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0,06</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307)</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 xml:space="preserve"> </w:t>
            </w:r>
            <w:r>
              <w:rPr>
                <w:sz w:val="20"/>
                <w:szCs w:val="20"/>
              </w:rPr>
              <w:t>улица Дзержинского 18А</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6,88</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2,01</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0,04</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4,35</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307)</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улица Дзержинского 18А</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4,98</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2,69</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7,77</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308)</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улица Дзержинского 18А</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4,33</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2,71</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0,04</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7,84</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312)</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Пионерская улица 9</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15,01</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0,032</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2,23</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1,07</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59,29</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312)</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Пионерская улица 5</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5,11</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0,032</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0,96</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0,07</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11,17</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313)</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Пионерская улица 17</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35,42</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1,37</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0,09</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2,05</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316)</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Пионерская улица 15</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14,36</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0,032</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2,67</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1,45</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84,33</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317)</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 xml:space="preserve"> </w:t>
            </w:r>
            <w:r>
              <w:rPr>
                <w:sz w:val="20"/>
                <w:szCs w:val="20"/>
              </w:rPr>
              <w:t>Пионерская улица (рядом д.17)</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2,16</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0,032</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0,22</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0,00</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0,59</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318)</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318</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2,27</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0,07</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5,09</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0,01</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4,55</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342)</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Пионерская улица 3</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6,6</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0,032</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1,86</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0,33</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41,19</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356)</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Комсомольская улица 30</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16,44</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0,032</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0,86</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0,18</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8,99</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389)</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Комсомольская улица 19</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5,68</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0,032</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0,85</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0,06</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8,59</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391)</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72</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48,78</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0,07</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8,41</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0,72</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12,34</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392)</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Пионерская улица 13</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32,61</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2,18</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0,20</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5,10</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Котельная №2</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313</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5,63</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125,79</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2,74</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405,63</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ТК/13</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308</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34,62</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7,41</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0,06</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1,44</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ТК2/1</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ЗУ-(ТК2/1)</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22,74</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3,17</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0,29</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10,77</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ТК2/1</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ТК2/2</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11,72</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105,02</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0,46</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32,61</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ТК2/1</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ЗУ-(ТК2/1)</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22,14</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16,22</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0,18</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6,80</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ТК2/2</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ЗУ-(ТК2/2)</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12,15</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0,07</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9,73</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0,24</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16,51</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ТК2/2</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47</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17,27</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95,28</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0,56</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26,85</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ТК2/3</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Пионерская улица 11А</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86,22</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0,133</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32,86</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0,63</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6,09</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ТК2/3</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ТК2/7</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114,35</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8,51</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0,26</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1,89</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ТК2/4</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58</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17,34</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11,63</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0,07</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3,51</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ТК2/4</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ЗУ-(ТК2/4)</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44,72</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4,99</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1,42</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26,45</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ТК2/5</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49</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32,55</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24,03</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0,58</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14,88</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ТК2/5</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ЗУ-(ТК2/5)</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37,35</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16,62</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0,32</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7,14</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ТК2/5</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ЗУ-(ТК2/5)</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14,2</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0,025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1,49</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1,73</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101,48</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ТК2/6</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ЗУ-(ТК2/6)</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24,24</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0,87</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0,02</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0,83</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ТК2/6</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ЗУ-(ТК2/6)</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31,24</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0,032</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1,56</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1,09</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29,07</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ТК2/7</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81</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42,75</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8,51</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0,10</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1,89</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ТК2/10</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ЗУ-(ТК2/10)</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51,6</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3,16</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0,66</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10,66</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ТК2/11</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ТК2/12</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76,71</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19,56</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0,91</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9,87</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ТК2/12</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ЗУ-(ТК2/12)</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65,66</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7,41</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0,11</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1,44</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ТК2/12</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51</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13,4</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12,14</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0,06</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3,82</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ТК2/14</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ЗУ-(ТК2/14)</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43,77</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2,96</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0,49</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9,39</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43</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Пионерская улица 13</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7,25</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0,07</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3,28</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0,02</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1,90</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43</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44</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17,81</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0,07</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6,46</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0,16</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7,29</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44</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Пионерская улица 13</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7,86</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0,07</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3,23</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0,02</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1,85</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44</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45</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18,14</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0,07</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3,22</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0,04</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1,84</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45</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Пионерская улица 13</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7,72</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0,07</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3,22</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0,02</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1,84</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46</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48</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52,73</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50,56</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0,48</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7,59</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46</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46)</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39,75</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3,35</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0,57</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11,99</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47</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47)</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41,71</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0,159</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41,37</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0,19</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3,74</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47</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46</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13,77</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53,91</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0,14</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8,62</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48</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391</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60,57</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0,07</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8,41</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0,90</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12,35</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48</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ЗУ-(ТК2/5)</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16,06</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42,14</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0,88</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45,65</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49</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49)</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14,33</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2,82</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0,15</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8,52</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49</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50</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14,48</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21,21</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0,20</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11,60</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50</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ЗУ-(ТК2/11)</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21,52</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19,56</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0,26</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9,87</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50</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50)</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72,58</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1,65</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0,26</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2,94</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51</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51)</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10,85</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0,032</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1,36</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0,29</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22,11</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51</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52</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6,86</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10,78</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0,03</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3,02</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52</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52)</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8,45</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0,032</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1,15</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0,16</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15,84</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52</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53</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19,67</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9,63</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0,06</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2,41</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53</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54</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21,59</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3,82</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0,01</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0,39</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53</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53)</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27,99</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0,07</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5,81</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0,20</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5,91</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54</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406</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50,93</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0,219</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3,82</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0,00</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0,01</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55</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55)</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27,3</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0,032</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0,71</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0,20</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6,06</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55</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56</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26,83</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0,07</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3,08</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1,69</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56</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57</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7,05</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0,07</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1,83</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0,01</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0,61</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56</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56)</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20,57</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1,25</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0,04</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1,70</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57</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57)</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41,95</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0,75</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0,03</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0,62</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57</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Комсомольская улица 15</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14,34</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0,07</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1,08</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0,00</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0,22</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58</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58)</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90</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1,96</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0,45</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4,14</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58</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59</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12,93</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9,67</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0,04</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2,43</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59</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60</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20,81</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0,07</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6,03</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0,16</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6,38</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59</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62</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23,21</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3,64</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0,01</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0,35</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60</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61</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5,64</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3,98</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0,11</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16,91</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60</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60)</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38,76</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2,05</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0,21</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4,53</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61</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61)</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3,47</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2,21</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0,02</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5,27</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61</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Пионерская улица 21</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6,85</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1,77</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0,03</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3,37</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62</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62)</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16,4</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1,98</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0,08</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4,22</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62</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63</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46,94</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1,66</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0,00</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0,08</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63</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63)</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32,27</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1,66</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0,12</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2,96</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72</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72)</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29,94</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1,96</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0,15</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4,13</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72</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322</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25,57</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0,07</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6,45</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0,22</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7,28</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73</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Комсомольская улица 24</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9,33</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0,032</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1,30</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0,23</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20,24</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73</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74</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7,63</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0,07</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3,16</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0,02</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1,77</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74</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ТК2/10</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7,27</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0,07</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3,16</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0,02</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1,77</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75</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75)</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37,51</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0,04</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1,61</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0,42</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9,25</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75</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Комсомольская улица 45</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6</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0,04</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1,55</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0,06</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8,59</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76</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76)</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4,69</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0,04</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0,83</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0,01</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2,51</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76</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Комсомольская улица 43</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4,39</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0,04</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0,78</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0,01</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2,18</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77</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Пионерская улица 17А</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29,43</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0,07</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2,31</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0,03</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0,95</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77</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392)</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35,61</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2,18</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0,22</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5,10</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78</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78)</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38,73</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0,99</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1,07</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78</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78)</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21,48</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0,07</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0,91</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0,00</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0,15</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79</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ТК2/6</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14,55</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0,07</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2,43</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0,02</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1,05</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79</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79)</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1,61</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1,14</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0,00</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1,41</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81</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81)</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73,8</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0,08</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5,06</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0,20</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2,21</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81</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82</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16,27</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3,45</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0,01</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0,32</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82</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83</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28,07</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2,34</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0,01</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0,15</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82</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82)</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27,98</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1,10</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0,04</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1,33</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83</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83)</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8,92</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0,032</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2,34</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0,70</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65,25</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288</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2575</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24,83</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1,17</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0,04</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1,49</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288</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389</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47,89</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0,07</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4,64</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0,22</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3,78</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290</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291</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14,22</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2,96</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0,16</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9,39</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291</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291)</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1,17</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0,23</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0,00</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0,06</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291</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291)</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23,28</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2,73</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0,22</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8,00</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307</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307)</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6,61</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2,69</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0,06</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7,77</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307</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307)</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14,65</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2,01</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0,00</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0,11</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308</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308)</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6,63</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2,71</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0,06</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7,84</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308</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307</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13,86</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4,70</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0,01</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0,59</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312</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312)</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17,87</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0,089</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2,23</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0,01</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0,25</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312</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312)</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7,42</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0,032</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0,96</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0,10</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11,17</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313</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313)</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39,09</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1,37</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0,10</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2,05</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313</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ТК2/1</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12,3</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124,41</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0,68</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45,74</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314</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315</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17,1</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0,44</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0,00</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0,01</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314</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316</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2,51</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15,78</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0,02</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6,44</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315</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Пионерская улица (около дома 1</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2,13</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0,025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0,22</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0,01</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2,28</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315</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Пионерская улица (около дома 1</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5,45</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0,025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0,22</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0,02</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2,27</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316</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316)</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17,22</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0,032</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2,67</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1,74</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84,34</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316</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317</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46,46</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0,07</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13,12</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1,67</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29,92</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317</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318)</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12,9</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0,07</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5,09</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0,07</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4,55</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317</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319</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12,13</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0,07</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8,02</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0,16</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11,23</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318</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392</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7,9</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0,07</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4,88</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0,04</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4,18</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318</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317)</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0,98</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0,22</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0,00</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0,04</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319</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320</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60,3</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6,12</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0,07</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0,98</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319</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78</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39,63</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0,07</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1,90</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0,03</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0,65</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320</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2664</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10,78</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2,56</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0,09</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7,02</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320</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79</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44,04</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0,07</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3,56</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0,12</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2,24</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322</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73</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14,27</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0,07</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4,46</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0,06</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3,50</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322</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 xml:space="preserve"> </w:t>
            </w:r>
            <w:r>
              <w:rPr>
                <w:sz w:val="20"/>
                <w:szCs w:val="20"/>
              </w:rPr>
              <w:t>Комсомольская улица,24</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6,45</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1,99</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0,03</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4,27</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342</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385</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12,79</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0,08</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3,20</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0,01</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0,89</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342</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342)</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1,89</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0,032</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1,86</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0,09</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41,19</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356</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356)</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3,29</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0,032</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0,86</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0,04</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8,99</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385</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386</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8,9</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0,089</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3,20</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0,01</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0,51</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386</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312</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20,64</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0,089</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3,20</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0,01</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0,51</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389</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55</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9,91</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0,07</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3,79</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0,03</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2,54</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389</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389)</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2,31</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0,032</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0,85</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0,02</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8,59</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391</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391)</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5,59</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0,07</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8,41</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0,08</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12,34</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392</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77</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3,95</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0,07</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4,49</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0,02</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3,54</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392</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77)</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1,14</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0,39</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0,00</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0,18</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406</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ТК2/14</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9,88</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0,219</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2,96</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0,00</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0,00</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406</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 xml:space="preserve"> </w:t>
            </w:r>
            <w:r>
              <w:rPr>
                <w:sz w:val="20"/>
                <w:szCs w:val="20"/>
              </w:rPr>
              <w:t>улица Дзержинского (рядом с д</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13,59</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0,85</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0,01</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0,81</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3</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641</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Урманная улица 30</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13,62</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1,54</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0,04</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2,56</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3</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2040</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улица Чапаева 14</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5,42</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0,07</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2,44</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0,01</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1,07</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3</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2042</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Урманная улица 5</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4,92</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0,07</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1,12</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0,00</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0,23</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3</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2054</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Урманная улица 9</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18,9</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1,59</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0,06</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2,73</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3</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2064</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104</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37,68</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0,07</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4,84</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0,19</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4,12</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3</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2080</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улица Чапаева 29</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5,43</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0,07</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1,10</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0,00</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0,22</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3</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2196</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улица Калинина 63</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5,58</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2,31</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0,04</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5,71</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3</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2506</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 xml:space="preserve">  </w:t>
            </w:r>
            <w:r>
              <w:rPr>
                <w:sz w:val="20"/>
                <w:szCs w:val="20"/>
              </w:rPr>
              <w:t>Урманная улица (около д.12)</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4,02</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0,032</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2,36</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0,32</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66,02</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3</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ЗУ-(ТК1/5)</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118</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34,25</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0,076</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16,24</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1,21</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29,48</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3</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ЗУ-(ТК1/5)</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13</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25,13</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0,07</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6,32</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0,21</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7,00</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3</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ЗУ-(ТК3/1)</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114</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16,11</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0,07</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11,63</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0,46</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23,54</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3</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ЗУ-(ТК3/1)</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ТК3/2</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39,34</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33,64</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1,37</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29,11</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3</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ЗУ-(ТК3/2)</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улица Фрунзе 13А</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13,2</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4,62</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0,36</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22,72</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3</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ЗУ-(ТК3/2)</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улица Чапаева 4А</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7,64</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0,08</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13,62</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0,15</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15,80</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3</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ЗУ-(ТК3/3)</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158</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40,79</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0,08</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3,22</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0,04</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0,91</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3</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ЗУ-(ТК3/4)</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улица Калинина 50</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37,64</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0,07</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0,54</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0,00</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0,06</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3</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ЗУ-(ТК3/5)</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149</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125,01</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0,07</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2,17</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0,13</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0,84</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3</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ЗУ-(ТК3/5)</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улица Чапаева 53</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38,52</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9,95</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0,12</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2,58</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3</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13)</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улица Чапаева 1</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54,62</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0,032</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1,40</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1,54</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23,49</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3</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86)</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ТК3/1</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15,4</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45,27</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0,11</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6,09</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3</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87)</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улица Чапаева 8А</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11,04</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0,089</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19,18</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0,23</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17,67</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3</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88)</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369</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68,05</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38,34</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0,36</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4,37</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3</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92)</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улица Чапаева 11</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4,84</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0,07</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3,33</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0,01</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1,97</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3</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93)</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улица Чапаева 25</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21,63</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0,07</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1,38</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0,01</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0,35</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3</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94)</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150</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26,61</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4,09</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0,57</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17,88</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3</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96)</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148</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22,6</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2,06</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0,12</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4,57</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3</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97)</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улица Чапаева 51</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6,31</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0,66</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0,00</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0,48</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3</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98)</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Урманная улица 7</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38,99</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0,96</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1,00</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3</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99)</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153</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68,57</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0,07</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3,50</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0,18</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2,17</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3</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100)</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Урманная улица 24</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24,05</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0,076</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1,13</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0,00</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0,15</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3</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104)</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105</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0,72</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0,032</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3,34</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0,11</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132,36</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3</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107)</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улица Фрунзе 23</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14,97</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1,86</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0,07</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3,74</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3</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108)</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381</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61,72</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0,076</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4,09</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0,14</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1,90</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3</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109)</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Урманная улица 6</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50,36</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0,025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0,81</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1,81</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29,92</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3</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110)</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 xml:space="preserve">  </w:t>
            </w:r>
            <w:r>
              <w:rPr>
                <w:sz w:val="20"/>
                <w:szCs w:val="20"/>
              </w:rPr>
              <w:t>Урманная улица (около д.6)</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7,13</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0,025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1,84</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1,32</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153,89</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3</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112)</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Урманная улица 18</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20,34</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0,04</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1,25</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0,14</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5,57</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3</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113)</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Урманная улица 3</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3,42</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0,07</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0,85</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0,00</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0,14</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3</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114)</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улица Чапаева 6</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34,77</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4,50</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0,90</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21,57</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3</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116)</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улица Калинина 67</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17,44</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0,032</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1,33</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0,44</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21,02</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3</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117)</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улица Бичинёва 15</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3,8</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0,85</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0,00</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0,79</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3</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118)</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улица Бичинёва 15</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3,73</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0,89</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0,00</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0,88</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3</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119)</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331</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26,95</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14,75</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0,18</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5,63</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3</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119)</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154</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25,47</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13,82</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0,15</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4,94</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3</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120)</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улица Калинина 52</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4,79</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0,032</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0,65</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0,03</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5,15</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3</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123)</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улица Фрунзе 28</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6,23</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0,65</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0,00</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0,47</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3</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124)</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улица Фрунзе 32</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9,82</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0,74</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0,01</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0,61</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3</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124)</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улица Фрунзе 34</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15,47</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1,11</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0,03</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1,34</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3</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125)</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улица Фрунзе 22</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18,9</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0,032</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0,68</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0,13</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5,53</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3</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127)</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улица Фрунзе 16</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5,14</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0,032</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0,65</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0,03</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5,18</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3</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129)</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улица Фрунзе 5</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17,84</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0,45</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0,01</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0,23</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3</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130)</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улица Фрунзе 8</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60,36</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0,52</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0,02</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0,30</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3</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131)</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улица Фрунзе 6</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7,83</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0,54</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0,00</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0,33</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3</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134)</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135</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42,13</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0,032</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1,48</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1,32</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26,01</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3</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135)</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Медицинская улица 2</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5,26</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0,025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0,82</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0,19</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30,57</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3</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140)</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улица Бичинёва 20</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7,57</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0,032</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3,56</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1,37</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150,35</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3</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140)</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Медицинская улица 1</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54,05</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0,032</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1,36</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1,43</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22,04</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3</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142)</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 xml:space="preserve">  </w:t>
            </w:r>
            <w:r>
              <w:rPr>
                <w:sz w:val="20"/>
                <w:szCs w:val="20"/>
              </w:rPr>
              <w:t>улица Фрунзе (между д.9 и д.</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38,56</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0,032</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0,66</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0,24</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5,25</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3</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143)</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улица Калинина 50</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4,92</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0,57</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0,00</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0,36</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3</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144)</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улица Калинина 48</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35,4</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1,12</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0,06</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1,37</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3</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145)</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улица Калинина 44</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26,88</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0,032</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0,83</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0,27</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8,30</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3</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146)</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146</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6,02</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0,08</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6,88</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0,03</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4,06</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3</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147)</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улица Чапаева 22</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3,39</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0,032</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0,87</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0,04</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9,18</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3</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148)</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 xml:space="preserve"> </w:t>
            </w:r>
            <w:r>
              <w:rPr>
                <w:sz w:val="20"/>
                <w:szCs w:val="20"/>
              </w:rPr>
              <w:t>Урманная улица</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6,55</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0,47</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0,00</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0,26</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3</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150)</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улица Чапаева 35</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2,39</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0,032</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3,22</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0,35</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122,60</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3</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150)</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Школьный переулок 3</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19,6</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0,032</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0,88</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0,22</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9,29</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3</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153)</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Урманная улица 11</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18,61</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0,032</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0,83</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0,19</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8,30</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3</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154)</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155</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14,06</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0,07</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4,87</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0,07</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4,17</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3</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155)</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улица Фрунзе 11</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8,16</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0,032</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1,27</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0,19</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19,13</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3</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156)</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улица Фрунзе 38</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107,44</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0,07</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1,87</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0,08</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0,63</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3</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157)</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157</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2,37</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1,73</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0,00</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0,08</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3</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158)</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улица Фрунзе 26</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20,22</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0,72</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0,01</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0,58</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3</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159)</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улица Шмигельского 16</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59,24</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1,08</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0,09</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1,28</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3</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203)</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улица Фрунзе 10</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54,35</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1,28</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0,12</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1,79</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3</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329)</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улица Чапаева 20</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4,82</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0,032</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0,47</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0,02</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2,72</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3</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331)</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улица Фрунзе 9</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37,97</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0,032</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1,19</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0,77</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16,85</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3</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333)</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улица Чапаева 20</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5,49</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0,032</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0,47</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0,02</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2,73</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3</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334)</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улица Фрунзе 24</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10,62</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0,032</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0,51</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0,04</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3,20</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3</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381)</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Урманная улица 1</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3,54</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2,12</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0,02</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4,82</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3</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390)</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96</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12,23</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0,01</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3,88</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3</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393)</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393</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4,67</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57,52</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0,06</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9,81</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3</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394)</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 xml:space="preserve">  </w:t>
            </w:r>
            <w:r>
              <w:rPr>
                <w:sz w:val="20"/>
                <w:szCs w:val="20"/>
              </w:rPr>
              <w:t>улица Чапаева (около 6Б)</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8,96</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1,81</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0,04</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3,54</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3</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Котельная №3</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86</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13,06</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0,2</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116,82</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0,14</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8,77</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3</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Котельная №3</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ТК1/5</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367,32</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22,57</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0,67</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1,53</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3</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ТК1/5</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ЗУ-(ТК1/5)</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26,16</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0,076</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6,32</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0,14</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4,51</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3</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ТК1/5</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ЗУ-(ТК1/5)</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3,17</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0,07</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16,24</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0,17</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45,79</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3</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ТК3/1</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ЗУ-(ТК3/1)</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20,87</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0,076</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11,63</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0,38</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15,16</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3</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ТК3/1</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ЗУ-(ТК3/1)</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42,57</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33,64</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1,49</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29,11</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3</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ТК3/2</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115</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66,65</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15,40</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0,49</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6,13</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3</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ТК3/2</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ЗУ-(ТК3/2)</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11,5</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0,08</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13,62</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0,22</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15,80</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3</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ТК3/2</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ЗУ-(ТК3/2)</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16,62</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4,62</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0,45</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22,72</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3</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ТК3/3</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334</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39,06</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5,72</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0,04</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0,86</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3</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ТК3/3</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ЗУ-(ТК3/3)</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44,6</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0,08</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3,22</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0,91</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3</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ТК3/4</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121</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18,43</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11,14</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0,07</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3,22</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3</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ТК3/4</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ЗУ-(ТК3/4)</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41,84</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0,076</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0,54</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0,00</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0,04</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3</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ТК3/5</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ЗУ-(ТК3/5)</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43,32</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9,95</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0,13</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2,58</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3</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ТК3/5</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ЗУ-(ТК3/5)</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129,8</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0,076</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2,17</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0,09</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0,55</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3</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13</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13)</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62,62</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0,032</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1,40</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1,77</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23,49</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3</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13</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140</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18,72</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0,076</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4,92</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0,06</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2,74</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3</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86</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86)</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2,31</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45,27</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0,02</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6,09</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3</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86</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394</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36,11</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14,02</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0,22</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5,09</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3</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86</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393)</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83,1</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57,52</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0,98</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9,81</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3</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87</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368</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21,54</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38,34</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0,11</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4,37</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3</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87</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87)</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13,54</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0,089</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19,18</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0,29</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17,68</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3</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88</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88)</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71,28</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38,34</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0,37</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4,37</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3</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88</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89</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23,46</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0,78</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0,00</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0,00</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3</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89</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2086</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15,04</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0,78</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0,00</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0,00</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3</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91</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92</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17,43</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0,076</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5,82</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0,08</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3,82</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3</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91</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94</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59,06</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32,52</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0,22</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3,15</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3</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92</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92)</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1,38</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0,07</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3,33</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0,00</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1,97</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3</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92</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93</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13,79</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0,07</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2,48</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0,02</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1,10</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3</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93</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2080</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52,69</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0,076</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1,10</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0,01</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0,15</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3</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93</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93)</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21,47</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0,032</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1,38</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0,59</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22,83</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3</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94</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94)</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16,03</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4,09</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0,34</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17,88</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3</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94</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95</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44,63</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28,42</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0,13</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2,41</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3</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95</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97</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25,41</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12,79</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0,02</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0,50</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3</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95</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390</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20,36</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15,63</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0,15</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6,32</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3</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96</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99</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32,63</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10,16</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0,11</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2,69</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3</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96</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96)</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25,97</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2,06</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0,14</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4,57</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3</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97</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ТК3/5</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20,98</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12,13</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0,01</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0,45</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3</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97</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97)</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8,99</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0,66</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0,01</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0,48</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3</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98</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2040</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24,3</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0,089</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2,45</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0,01</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0,30</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3</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98</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98)</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40,51</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0,96</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1,00</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3</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99</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333</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20,6</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6,66</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0,03</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1,16</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3</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99</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99)</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75,28</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0,076</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3,50</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0,13</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1,40</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3</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100</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100)</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27,24</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0,076</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1,13</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0,01</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0,15</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3</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100</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641</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67,61</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0,076</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1,54</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0,02</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0,28</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3</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102</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2064</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2,47</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0,07</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4,84</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0,01</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4,12</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3</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102</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147</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36,76</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0,87</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0,00</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0,02</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3</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104</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104)</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0,71</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0,032</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3,34</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0,11</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132,36</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3</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104</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106</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8,53</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0,07</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1,50</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0,00</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0,41</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3</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105</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улица Чапаева 19</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9,72</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0,032</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1,55</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0,33</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28,48</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3</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105</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улица Чапаева 19</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11,31</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0,076</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1,80</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0,01</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0,38</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3</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106</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улица Чапаева 17</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6,08</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0,032</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1,50</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0,20</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26,84</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3</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107</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107)</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20,43</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1,86</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0,09</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3,74</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3</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107</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108</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95</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10,35</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0,32</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2,78</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3</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108</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108)</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98,18</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0,076</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4,09</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0,22</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1,90</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3</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108</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109</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18,68</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6,25</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0,02</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1,03</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3</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109</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110</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30,19</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0,076</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5,44</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0,12</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3,35</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3</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109</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109)</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52,18</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0,025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0,81</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1,87</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29,92</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3</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110</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110)</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8,12</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0,025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1,84</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1,50</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153,89</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3</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110</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111</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23,28</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0,076</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3,60</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0,04</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1,48</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3</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111</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366</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55,03</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1,25</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0,11</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1,69</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3</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111</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2506</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13,77</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0,032</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2,36</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1,09</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66,02</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3</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112</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112)</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23,23</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0,04</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1,25</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0,16</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5,58</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3</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113</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2042</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17,01</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0,076</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1,12</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0,00</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0,15</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3</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113</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113)</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1,74</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0,032</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0,85</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0,02</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8,77</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3</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114</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365</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49,57</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0,076</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7,13</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0,34</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5,73</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3</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114</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114)</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38,53</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4,50</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1,00</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21,57</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3</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115</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119</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7,19</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28,57</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0,02</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2,43</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3</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116</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115</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52,77</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13,17</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0,29</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4,49</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3</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116</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116)</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20,64</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0,032</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1,33</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0,52</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21,02</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3</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117</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116</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34,17</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0,076</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14,50</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0,96</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23,52</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3</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117</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117)</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5,25</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0,85</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0,01</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0,79</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3</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118</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117</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9,87</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0,076</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15,34</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0,31</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26,34</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3</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118</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118)</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5,35</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0,89</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0,01</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0,88</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3</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119</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119)</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28,51</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13,82</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0,17</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4,94</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3</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119</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119)</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29,22</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14,75</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0,20</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5,63</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3</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120</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142</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3,34</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12,91</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0,02</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4,32</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3</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120</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120)</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7,39</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0,032</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0,65</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5,15</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3</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121</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144</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14,31</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8,83</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0,04</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2,03</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3</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121</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2196</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28,79</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2,31</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0,20</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5,72</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3</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122</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ТК3/3</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6,01</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8,94</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0,02</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2,08</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3</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123</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123)</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8,3</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0,02</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0,65</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0,65</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65,19</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3</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123</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124</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28,77</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1,85</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0,13</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3,69</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3</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124</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124)</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13,5</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0,74</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0,01</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0,61</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3</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124</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124)</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18,8</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1,11</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0,03</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1,34</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3</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125</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127</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20,35</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4,53</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0,01</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0,54</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3</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125</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125)</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22,97</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0,68</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0,01</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0,51</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3</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127</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128</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15,22</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3,87</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0,01</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0,40</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3</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127</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127)</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7,13</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0,032</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0,65</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0,04</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5,18</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3</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128</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129</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7,91</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1,53</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0,00</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0,07</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3</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128</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130</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17,44</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0,076</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2,34</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0,01</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0,63</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3</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129</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129)</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20,36</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0,45</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0,01</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0,23</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3</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129</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159</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27,16</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1,08</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0,00</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0,03</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3</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130</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130)</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62,66</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0,52</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0,02</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0,30</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3</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130</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131</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21,45</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0,076</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1,82</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0,01</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0,39</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3</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131</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203</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12,33</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0,076</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1,28</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0,00</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0,20</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3</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131</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131)</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10,46</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0,54</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0,00</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0,33</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3</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133</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134</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50,33</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0,076</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3,34</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0,08</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1,27</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3</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133</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улица Чапаева 5</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21,69</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0,032</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2,78</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2,40</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92,04</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3</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134</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улица Чапаева 5А</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24,96</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0,032</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1,86</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1,23</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41,19</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3</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134</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134)</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45,22</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0,032</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1,48</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1,41</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26,01</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3</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135</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135)</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10,96</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0,025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0,82</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0,40</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30,57</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3</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135</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 xml:space="preserve">  </w:t>
            </w:r>
            <w:r>
              <w:rPr>
                <w:sz w:val="20"/>
                <w:szCs w:val="20"/>
              </w:rPr>
              <w:t>Медицинская улица,2а</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18</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0,032</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0,66</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0,11</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5,25</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3</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140</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140)</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2,42</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0,032</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3,56</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0,44</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150,35</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3</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140</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140)</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57,9</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0,032</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1,36</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1,53</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22,05</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3</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142</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142)</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41,35</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0,032</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0,66</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0,26</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5,25</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3</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142</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143</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8,62</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12,25</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0,04</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3,89</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3</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143</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ТК3/4</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22,17</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11,68</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0,09</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3,54</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3</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143</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143)</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7,42</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0,57</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0,00</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0,36</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3</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144</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144)</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38,6</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1,12</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0,06</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1,37</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3</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144</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145</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17,75</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7,72</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0,03</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1,56</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3</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145</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145)</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28,35</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0,032</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0,83</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0,28</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8,30</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3</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145</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146)</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42,65</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0,08</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6,88</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0,21</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4,06</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3</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146</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улица Калинина 44</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5,96</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4,03</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0,12</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17,36</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3</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146</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улица Калинина 44</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23,28</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2,85</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0,24</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8,69</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3</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147</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147)</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2,11</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0,032</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0,87</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0,02</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9,18</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3</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148</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148)</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9</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0,47</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0,00</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0,26</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3</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148</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2054</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36,32</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1,59</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0,12</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2,73</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3</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149</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улица Чапаева 53А</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23,24</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0,07</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1,09</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0,01</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0,22</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3</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149</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улица Чапаева 53А</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5,78</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0,07</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1,09</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0,00</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0,22</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3</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150</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150)</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22,22</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0,032</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0,88</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0,25</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9,29</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3</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150</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150)</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1,07</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0,032</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3,22</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0,16</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122,60</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3</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153</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153)</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16,89</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0,032</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0,83</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0,17</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8,30</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3</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153</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100</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19,76</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0,076</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2,67</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0,02</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0,82</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3</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154</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154)</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17,09</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0,076</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4,87</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0,06</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2,69</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3</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154</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122</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27,19</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8,94</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0,07</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2,08</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3</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155</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155)</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10,15</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0,032</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1,27</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0,23</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19,13</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3</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155</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156</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33,99</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0,076</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3,61</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0,06</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1,48</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3</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156</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156)</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110,42</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0,076</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1,88</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0,41</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3</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156</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157)</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25,71</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1,73</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0,00</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0,08</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3</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157</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 xml:space="preserve">  </w:t>
            </w:r>
            <w:r>
              <w:rPr>
                <w:sz w:val="20"/>
                <w:szCs w:val="20"/>
              </w:rPr>
              <w:t>улица Фрунзе, 19</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8,36</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0,04</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0,86</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0,03</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2,67</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3</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157</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 xml:space="preserve">  </w:t>
            </w:r>
            <w:r>
              <w:rPr>
                <w:sz w:val="20"/>
                <w:szCs w:val="20"/>
              </w:rPr>
              <w:t>улица Фрунзе, 19</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2,55</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0,87</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0,00</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0,02</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3</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158</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158)</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23,51</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0,72</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0,02</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0,58</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3</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158</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123</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13,63</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0,08</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2,50</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0,01</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0,55</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3</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159</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159)</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62,02</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1,08</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0,10</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1,28</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3</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203</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203)</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57,72</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1,28</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0,12</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1,79</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3</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329</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329)</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7,42</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0,032</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0,47</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0,02</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2,72</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3</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329</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333)</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4,87</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0,032</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0,47</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0,02</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2,73</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3</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331</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120</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19,23</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13,56</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0,11</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4,76</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3</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331</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331)</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3,91</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0,032</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1,19</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0,08</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16,85</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3</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333</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329</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7,05</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0,032</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0,94</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0,09</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10,71</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3</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333</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102</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8,04</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5,72</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0,01</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0,86</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3</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334</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334)</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3,59</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0,032</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0,51</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0,01</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3,20</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3</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334</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125</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31,35</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5,20</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0,03</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0,71</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3</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365</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371</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6,98</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0,076</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7,13</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5,73</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3</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366</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112</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28,76</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1,25</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0,06</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1,69</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3</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368</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88</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37,4</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38,34</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0,20</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4,37</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3</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369</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91</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55,61</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38,33</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0,29</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4,37</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3</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371</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улица Чапаева 5</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10,03</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0,032</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1,01</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0,15</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12,16</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3</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371</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133</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23,51</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0,076</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6,12</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0,12</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4,23</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3</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372</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98</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18,91</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0,089</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3,40</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0,01</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0,57</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3</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381</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381)</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1,9</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2,12</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0,01</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4,82</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3</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381</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113</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36,2</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0,07</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1,97</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0,03</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0,70</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3</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390</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390)</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1,73</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12,23</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0,01</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3,88</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3</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390</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372</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42,41</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0,089</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3,40</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0,03</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0,57</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3</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393</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87</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15,98</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57,52</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0,19</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9,81</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3</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394</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394)</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3,32</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1,81</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0,01</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3,54</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3</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394</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107</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26,86</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12,21</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0,13</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3,87</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6</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2612</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улица Гагарина 6</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6,73</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0,81</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0,01</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0,73</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6</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2641</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303</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27,42</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0,56</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0,01</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0,35</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6</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2738</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улица Дзержинского 4</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11,94</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0,07</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1,64</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0,01</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0,49</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6</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ЗУ-(ТК6/2)</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улица Рыбникова 1</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4,96</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4,68</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0,14</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23,34</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6</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ЗУ-(ТК6/2)</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улица Рыбникова 2</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13,78</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4,31</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0,33</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19,83</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6</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ЗУ-(ТК6/3)</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улица Рыбникова 6</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8,47</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3,14</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0,11</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10,55</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6</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ЗУ-(ТК6/3)</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улица Рыбникова 3</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8,28</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2,34</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0,06</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5,88</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6</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ЗУ-(ТК6/4)</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301</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25,14</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1,57</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0,08</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2,68</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6</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ЗУ-(ТК6/7)</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304</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41,6</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0,57</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0,02</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0,36</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6</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289)</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улица Дзержинского 10</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26</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3,20</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0,34</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10,98</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6</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292)</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293</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3,51</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0,032</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0,92</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0,04</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10,13</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6</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294)</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улица Дзержинского 6</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4,52</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0,032</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3,45</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0,77</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141,37</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6</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295)</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Комсомольская улица 2</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55,88</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1,53</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0,17</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2,54</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6</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297)</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297</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27,13</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11,46</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0,01</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0,40</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6</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298)</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 xml:space="preserve"> </w:t>
            </w:r>
            <w:r>
              <w:rPr>
                <w:sz w:val="20"/>
                <w:szCs w:val="20"/>
              </w:rPr>
              <w:t>потребитель б/н</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3,31</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0,025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0,16</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0,01</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1,19</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6</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299)</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улица Дзержинского 1</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16,2</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1,44</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0,04</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2,24</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6</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301)</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улица Рыбникова 5</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16,05</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0,76</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0,01</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0,64</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6</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302)</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 xml:space="preserve"> </w:t>
            </w:r>
            <w:r>
              <w:rPr>
                <w:sz w:val="20"/>
                <w:szCs w:val="20"/>
              </w:rPr>
              <w:t>потребитель б/н</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71,5</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0,07</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2,05</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0,07</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0,75</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6</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302)</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302</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11,19</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44,50</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0,08</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5,88</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6</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303)</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улица Гагарина 9</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11,83</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0,025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0,24</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0,04</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2,74</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6</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304)</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улица Рыбникова 13</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30,91</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0,032</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0,13</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0,01</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0,13</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6</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305)</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 xml:space="preserve"> </w:t>
            </w:r>
            <w:r>
              <w:rPr>
                <w:sz w:val="20"/>
                <w:szCs w:val="20"/>
              </w:rPr>
              <w:t>потребитель б/н</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13,89</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0,72</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0,01</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0,57</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6</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325)</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улица Дзержинского 5</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4,54</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4,34</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0,11</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20,07</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6</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Котельная №6</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302)</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9,77</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44,50</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0,07</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5,88</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6</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ТК6/1</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ТК6/2</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42,75</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42,44</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0,28</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5,35</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6</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ТК6/2</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ЗУ-(ТК6/2)</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8,26</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4,68</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0,23</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23,34</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6</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ТК6/2</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ЗУ-(ТК6/2)</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18,41</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4,31</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0,44</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19,84</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6</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ТК6/2</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ТК6/3</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46,59</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33,45</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1,61</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28,78</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6</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ТК6/3</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ЗУ-(ТК6/3)</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12,18</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2,34</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0,09</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5,88</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6</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ТК6/3</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300</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30,61</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27,96</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0,74</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20,13</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6</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ТК6/3</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ЗУ-(ТК6/3)</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14,84</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3,14</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0,19</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10,55</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6</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ТК6/4</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ТК6/8</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33,78</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12,90</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0,02</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0,50</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6</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ТК6/4</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ТК6/5</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24,44</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0,108</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13,49</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0,09</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3,13</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6</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ТК6/5</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улица Рыбникова 7</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12,56</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0,076</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4,70</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0,04</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2,51</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6</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ТК6/5</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ТК6/7</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48,33</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0,108</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6,19</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0,04</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0,67</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6</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ТК6/5</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ТК6/6</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5,57</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2,60</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7,23</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6</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ТК6/6</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улица Рыбникова 12</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8,84</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2,60</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0,08</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7,23</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6</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ТК6/7</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ЗУ-(ТК6/7)</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47,55</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0,57</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0,02</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0,36</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6</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ТК6/7</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325</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48,91</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0,108</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5,06</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0,03</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0,45</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6</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ТК6/7</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2641</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38,06</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0,56</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0,02</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0,36</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6</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ТК6/8</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ТК6/9</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39,54</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11,46</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0,02</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0,40</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6</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ТК6/8</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299</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0,91</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1,44</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0,00</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2,24</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6</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ТК6/9</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297)</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23,46</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11,46</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0,01</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0,40</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6</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ТК6/10</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улица Дзержинского 1А</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44,88</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0,025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0,55</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0,75</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13,83</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6</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289</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289)</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28,12</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3,20</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0,37</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10,98</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6</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292</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292)</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2,68</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0,032</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0,92</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0,03</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10,13</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6</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292</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289</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47,88</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3,21</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0,02</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0,28</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6</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293</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 xml:space="preserve">Пожарный резервуар 100 м3 </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8,36</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0,032</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0,44</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0,02</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2,41</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6</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293</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Пожарный резервуар 100 м3</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12,41</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0,032</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0,47</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0,04</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2,75</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6</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294</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292</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48,47</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4,13</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0,03</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0,45</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6</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294</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294)</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1,47</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0,032</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3,45</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0,25</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141,37</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6</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295</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294</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20,86</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7,58</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0,04</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1,50</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6</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295</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296</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0,6</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3,17</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0,00</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0,27</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6</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296</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2738</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20,92</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0,07</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1,64</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0,01</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0,49</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6</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296</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295)</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54,19</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1,53</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0,17</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2,54</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6</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297</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295</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28,11</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10,75</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0,10</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3,00</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6</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297</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298</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19,43</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0,71</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0,01</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0,56</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6</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298</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ТК6/10</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25,6</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0,025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0,55</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0,43</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13,84</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6</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298</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298)</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1,44</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0,025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0,16</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0,00</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1,19</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6</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299</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299)</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22,83</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1,44</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0,06</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2,24</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6</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300</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ЗУ-(ТК6/4)</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29,84</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1,57</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0,10</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2,68</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6</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300</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ТК6/4</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4,38</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26,39</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0,09</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17,94</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6</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301</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2612</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27,63</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0,81</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0,02</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0,73</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6</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301</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301)</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19,23</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0,76</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0,02</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0,64</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6</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302</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302)</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74,07</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0,07</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2,05</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0,07</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0,75</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6</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302</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ТК6/1</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63,85</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42,45</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0,41</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5,35</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6</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303</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 xml:space="preserve"> </w:t>
            </w:r>
            <w:r>
              <w:rPr>
                <w:sz w:val="20"/>
                <w:szCs w:val="20"/>
              </w:rPr>
              <w:t>улица Гагарина 8</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45,22</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0,32</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0,01</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0,12</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6</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303</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303)</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14,95</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0,025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0,24</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2,74</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6</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304</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304)</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22,89</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0,032</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0,13</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0,00</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0,13</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6</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304</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улица Дзержинского 9</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13,94</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0,43</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0,00</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0,22</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6</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305</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325)</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6,73</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4,34</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0,16</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20,07</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6</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325</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305</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2,14</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4,34</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20,07</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6</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325</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305)</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17,07</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0,72</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0,01</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0,57</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7</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ЗУ-(ТК12/4)</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283</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44,77</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0,2</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17,69</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0,01</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0,21</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7</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264)</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273</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4,35</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0,76</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0,00</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0,64</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7</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265)</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351</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137,48</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0,08</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1,34</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0,03</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0,16</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7</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276)</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 xml:space="preserve"> </w:t>
            </w:r>
            <w:r>
              <w:rPr>
                <w:sz w:val="20"/>
                <w:szCs w:val="20"/>
              </w:rPr>
              <w:t>Здание у водозабора №10</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8,22</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0,07</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0,00</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0,01</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7</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277)</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Здание у водозабора №10</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16,78</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0,04</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0,00</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0,00</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7</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278)</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279</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1,62</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6,94</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0,00</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1,26</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7</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281)</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 xml:space="preserve"> </w:t>
            </w:r>
            <w:r>
              <w:rPr>
                <w:sz w:val="20"/>
                <w:szCs w:val="20"/>
              </w:rPr>
              <w:t>Медицинская улица 5а</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8,02</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0,032</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0,35</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0,02</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1,54</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7</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282)</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 xml:space="preserve">  </w:t>
            </w:r>
            <w:r>
              <w:rPr>
                <w:sz w:val="20"/>
                <w:szCs w:val="20"/>
              </w:rPr>
              <w:t>Медицинская улица 5</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50,03</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0,032</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0,26</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0,85</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7</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282)</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 xml:space="preserve"> </w:t>
            </w:r>
            <w:r>
              <w:rPr>
                <w:sz w:val="20"/>
                <w:szCs w:val="20"/>
              </w:rPr>
              <w:t>Медицинская улица 6а</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39,01</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0,45</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0,01</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0,23</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7</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285)</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286</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127,02</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0,2</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4,09</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0,00</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0,01</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7</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285)</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Медицинская улица 3</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11,02</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7,28</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0,74</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56,22</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7</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286)</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 xml:space="preserve">Медицинская улица </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6,35</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1,38</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0,02</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2,06</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7</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287)</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 xml:space="preserve">Медицинская улица </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5,69</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1,95</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0,03</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4,08</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7</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287)</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287</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5,31</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2,71</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0,00</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0,20</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7</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388)</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388</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1,76</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0,2</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2,11</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0,00</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0,00</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7</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413)</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Медицинская улица 3</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32,38</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4,93</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1,00</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25,84</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7</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Котельная №7</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265</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2,92</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0,219</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26,74</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0,00</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0,29</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7</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Котельная №7</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267</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19,62</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0,219</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0,07</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0,00</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0,00</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7</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ТК12/4</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278)</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1,91</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6,94</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0,00</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1,26</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7</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ТК12/4</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ЗУ-(ТК12/4)</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50,29</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0,219</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17,69</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0,01</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0,13</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7</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264</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264)</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6,97</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0,76</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0,01</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0,64</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7</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264</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ЗУ-(ТК12/1)</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30,54</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0,219</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0,00</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0,00</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0,00</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7</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265</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ТК12/4</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36,77</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0,219</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24,63</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0,01</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0,25</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7</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265</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388)</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2,39</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0,219</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2,11</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0,00</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0,00</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7</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267</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 xml:space="preserve">  </w:t>
            </w:r>
            <w:r>
              <w:rPr>
                <w:sz w:val="20"/>
                <w:szCs w:val="20"/>
              </w:rPr>
              <w:t>здание около котельной №7</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3,11</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0,08</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0,06</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0,00</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0,00</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7</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273</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275</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11,68</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0,76</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0,01</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0,64</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7</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274</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276</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5,14</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0,73</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0,00</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0,02</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7</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275</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274</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4,04</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0,73</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0,00</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0,02</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7</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275</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 xml:space="preserve"> </w:t>
            </w:r>
            <w:r>
              <w:rPr>
                <w:sz w:val="20"/>
                <w:szCs w:val="20"/>
              </w:rPr>
              <w:t>потребитель б/н</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1,98</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0,14</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0,00</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0,01</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7</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276</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277</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1,45</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0,69</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0,00</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0,53</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7</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276</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277)</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4,44</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0,04</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0,00</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0,00</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7</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277</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Светлая улица 5</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58,66</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0,62</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0,03</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0,43</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7</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277</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276)</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10</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0,07</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0,00</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0,01</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7</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278</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284</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25,27</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6,00</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0,03</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0,95</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7</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278</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275</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109,58</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0,12</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0,00</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0,00</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7</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279</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278</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1,15</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6,12</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0,00</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0,98</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7</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279</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Медицинская улица 3Г</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13,65</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0,75</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0,01</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0,62</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7</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279</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 xml:space="preserve"> </w:t>
            </w:r>
            <w:r>
              <w:rPr>
                <w:sz w:val="20"/>
                <w:szCs w:val="20"/>
              </w:rPr>
              <w:t>потребитель б/н</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5,63</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0,07</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0,00</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0,01</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7</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280</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Светлая улица 3</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41,21</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0,60</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0,02</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0,40</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7</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280</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Светлая улица 1</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8,85</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5,27</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0,31</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29,55</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7</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281</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282</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8,21</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0,08</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0,71</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0,00</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7</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281</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281)</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12,48</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0,032</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0,35</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0,02</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1,54</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7</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282</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282)</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43,62</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0,45</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0,01</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0,23</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7</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282</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282)</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54,1</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0,032</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0,26</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0,06</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0,85</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7</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283</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285</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28,69</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0,2</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11,38</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0,00</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0,09</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7</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283</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Медицинская улица 3А</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36,08</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1,21</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0,07</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1,59</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7</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283</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 xml:space="preserve"> </w:t>
            </w:r>
            <w:r>
              <w:rPr>
                <w:sz w:val="20"/>
                <w:szCs w:val="20"/>
              </w:rPr>
              <w:t>Медицинская улица 2</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38,37</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0,17</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0,00</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0,02</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7</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283</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413)</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43,39</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4,93</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1,35</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25,85</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7</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284</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29,16</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0,14</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0,00</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0,01</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7</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284</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280</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41,23</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5,87</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1,81</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36,61</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7</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285</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285)</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114,08</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0,2</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4,10</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0,00</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0,01</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7</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285</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285)</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20,9</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7,28</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1,41</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56,22</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7</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286</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286)</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9,35</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1,38</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0,02</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2,06</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7</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286</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287)</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17,98</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2,71</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0,00</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0,20</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7</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287</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287)</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8,23</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1,95</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0,04</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4,08</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7</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287</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Медицинская улица 4</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83,84</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0,76</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0,07</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0,64</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7</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351</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281</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58,24</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0,08</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1,06</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0,01</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0,10</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7</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351</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Медицинская улица 8</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7,43</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0,032</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0,28</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0,01</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0,99</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7</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388</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265)</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134,51</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0,08</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1,35</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0,03</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0,16</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7</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388</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264</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21,64</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0,2</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0,76</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0,00</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0,00</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8</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Котельная №8</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ТК38А/1</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5,95</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24,45</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0,11</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15,41</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8</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ТК38А/1</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ТК38А/2</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10,71</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24,45</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0,20</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15,41</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8</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ТК38А/2</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311</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20,32</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24,45</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0,38</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15,41</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8</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ТК38А/3</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310</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19,62</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13,02</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0,10</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4,39</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8</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309</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улица 50 лет Победы 40А</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102,66</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13,02</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0,54</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4,39</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8</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310</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309</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52,34</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13,02</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0,28</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4,39</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8</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311</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ТК38А/3</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17,58</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13,02</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0,09</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4,39</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8</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311</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улица 50 лет Победы 38</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12,69</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11,43</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3,39</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10</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Котельная №10</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улица Сенькина 1А</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23,38</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8,97</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2,40</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85,43</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1850</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343</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8,37</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0,80</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0,01</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0,71</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1852</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Сплавная улица 11</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4,86</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0,37</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0,00</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0,16</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1884</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улица 50 лет Победы 13</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57,09</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0,33</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0,01</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0,13</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1982</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Светлая улица 11</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48,88</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0,076</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4,14</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0,11</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1,95</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1986</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улица Шмигельского 42</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14,74</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0,08</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5,69</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2,78</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2781</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улица 50 лет Победы 7</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8,49</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0,37</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0,00</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0,16</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ЗУ-(ТК12/7)</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ТК12/12</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179,07</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0,076</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4,56</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0,51</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2,36</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ЗУ-(ТК12/9)</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382</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41,57</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5,06</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0,00</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0,08</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ЗУ-(ТК12/12)</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улица Шмигельского 51Б</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35,8</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0,076</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4,55</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0,10</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2,35</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ЗУ-(ТК12/14)</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улица 50 лет Победы 5</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14,17</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2,78</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0,14</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8,27</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ЗУ-(ТК12/14)</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218</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119,82</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13,80</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0,08</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0,58</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ЗУ-(ТК12/14)</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244</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78,79</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4,17</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0,04</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0,46</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ЗУ-(ТК12/16)</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улица Чапаева 75А</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14,4</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0,39</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0,00</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0,18</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ЗУ-(ТК12/16)</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ТК12/16</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4,01</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2,70</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0,00</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0,02</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ЗУ-(ТК12/16)</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345</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443,36</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0,65</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0,25</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0,48</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ЗУ-(ТК12/16)</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236</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40,16</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1,65</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0,00</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0,08</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205)</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улица 50 лет Победы 20</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155,15</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0,40</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0,03</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0,18</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206)</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улица 50 лет Победы 11</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47,97</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0,08</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4,61</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0,11</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1,83</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208)</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378</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9,84</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1,24</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0,02</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1,68</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210)</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 xml:space="preserve"> </w:t>
            </w:r>
            <w:r>
              <w:rPr>
                <w:sz w:val="20"/>
                <w:szCs w:val="20"/>
              </w:rPr>
              <w:t>улица 50 лет Победы (около д.</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4,42</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0,16</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0,00</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0,02</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211)</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215</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22,24</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0,07</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0,61</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0,00</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0,07</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212)</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339</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22,84</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0,29</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0,00</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0,10</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216)</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ТК12/14</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56,64</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20,76</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0,09</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1,29</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218)</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улица Чапаева 83</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4,26</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1,30</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0,01</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1,84</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219)</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улица 50 лет Победы 2</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15,06</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4,10</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0,32</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17,92</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220)</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377</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40,17</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0,64</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0,02</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0,46</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221)</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улица Чапаева 76А</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13,53</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0,77</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0,01</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0,66</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230)</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улица Чапаева 79</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38,18</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0,74</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0,03</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0,61</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231)</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231</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4,45</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4,46</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0,00</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0,06</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233)</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улица Чапаева 77</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12,64</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0,74</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0,01</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0,61</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236)</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улица 50 лет Победы 80</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5,1</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0,49</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0,00</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0,27</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237)</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улица Чапаева 90</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30,81</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0,56</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0,01</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0,35</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238)</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улица 50 Лет Победы 85</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16,61</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0,70</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0,01</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0,54</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241)</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 xml:space="preserve"> </w:t>
            </w:r>
            <w:r>
              <w:rPr>
                <w:sz w:val="20"/>
                <w:szCs w:val="20"/>
              </w:rPr>
              <w:t>улица 50 лет Победы (около д.</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49,88</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0,03</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0,37</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0,14</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2,39</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242)</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улица 50 лет Победы 10</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5,11</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0,96</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0,01</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1,01</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243)</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улица 50 лет Победы 12</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22,51</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0,56</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0,01</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0,36</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245)</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 xml:space="preserve">  </w:t>
            </w:r>
            <w:r>
              <w:rPr>
                <w:sz w:val="20"/>
                <w:szCs w:val="20"/>
              </w:rPr>
              <w:t>Кондинская улица,8</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11,38</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0,032</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0,71</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0,08</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6,03</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246)</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улица 50 лет Победы 3</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19,7</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0,08</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6,36</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0,08</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3,47</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248)</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улица 50 лет Победы 1</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21,34</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2,12</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0,12</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4,84</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249)</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Кондинская улица 2</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3,09</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0,90</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0,00</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0,89</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250)</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ТК12/13</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51,4</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1,86</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0,01</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0,10</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252)</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373</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109,59</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0,07</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0,59</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0,01</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0,07</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257)</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Медицинская улица 4А</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3,93</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2,03</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0,02</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4,41</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258)</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Светлая улица 9</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14,2</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0,08</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5,05</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0,04</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2,19</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335)</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 xml:space="preserve">  </w:t>
            </w:r>
            <w:r>
              <w:rPr>
                <w:sz w:val="20"/>
                <w:szCs w:val="20"/>
              </w:rPr>
              <w:t>Кондинская улица (около д.2)</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4,55</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0,23</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0,00</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0,06</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340)</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Кондинская улица 16</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33,43</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0,025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0,22</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0,09</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2,27</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343)</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 xml:space="preserve">   </w:t>
            </w:r>
            <w:r>
              <w:rPr>
                <w:sz w:val="20"/>
                <w:szCs w:val="20"/>
              </w:rPr>
              <w:t>улица Чапаева</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73,88</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0,34</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0,01</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0,14</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344)</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улица 50 лет Победы 79</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18,61</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0,62</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0,01</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0,43</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345)</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347</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16,27</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0,65</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0,01</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0,47</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346)</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улица Чапаева 74</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6,55</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0,61</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0,00</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0,41</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348)</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улица Чапаева 76</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20,06</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0,39</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0,00</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0,18</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348)</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354</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20,24</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0,07</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0,43</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0,00</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0,04</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360)</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улица 50 лет Победы 78</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10,19</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0,60</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0,01</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0,41</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367)</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Медицинская улица 16</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10</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0,032</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1,86</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0,50</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41,21</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374)</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улица 50 лет Победы 10</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2,99</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0,03</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0,79</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0,04</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10,72</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378)</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улица 50 лет Победы 9А</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0,50</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0,00</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0,29</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379)</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улица 50 лет Победы 11</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9,03</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0,48</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0,00</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0,27</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404)</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 xml:space="preserve">  </w:t>
            </w:r>
            <w:r>
              <w:rPr>
                <w:sz w:val="20"/>
                <w:szCs w:val="20"/>
              </w:rPr>
              <w:t>Кондинская улица,16</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53,13</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0,54</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0,02</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0,33</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407)</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340</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3,31</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0,07</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0,95</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0,00</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0,17</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409)</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257</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6,17</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0,219</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26,55</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0,00</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0,29</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409)</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256</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89,69</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41,96</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0,56</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5,23</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Котельная №12</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262</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4,74</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0,219</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69,33</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0,01</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1,92</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ТК12/1</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409)</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4,53</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41,96</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0,03</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5,23</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ТК12/1</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409)</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10,26</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0,2</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26,55</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0,01</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0,46</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ТК12/7</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259</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3,38</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0,159</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15,32</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0,00</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0,52</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ТК12/7</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1982</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61,37</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0,076</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4,14</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0,14</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1,95</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ТК12/8</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ТК12/9</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72,48</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0,159</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10,76</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0,02</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0,26</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ТК12/9</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ЗУ-(ТК12/9)</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75,76</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5,06</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0,01</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0,08</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ТК12/9</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ТК12/10</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21,19</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5,69</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0,02</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0,85</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ТК12/10</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1986</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74,3</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5,69</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0,08</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0,85</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ТК12/12</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ЗУ-(ТК12/12)</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42,34</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0,076</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4,56</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0,12</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2,35</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ТК12/13</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367</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13,76</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1,86</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0,00</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0,10</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ТК12/14</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ЗУ-(ТК12/14)</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16,31</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2,78</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0,16</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8,27</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ТК12/14</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ЗУ-(ТК12/14)</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122,45</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13,81</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0,09</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0,58</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ТК12/14</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ЗУ-(ТК12/14)</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3,09</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4,17</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0,00</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0,06</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ТК12/16</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ЗУ-(ТК12/16)</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469,95</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0,66</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0,27</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0,48</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ТК12/16</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ЗУ-(ТК12/16)</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0,39</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0,00</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0,18</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ТК12/16</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ЗУ-(ТК12/16)</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25,16</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1,65</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0,00</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0,08</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205</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1884</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52,62</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0,33</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0,01</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0,13</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205</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205)</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4,82</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0,40</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0,00</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0,18</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206</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407)</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3,18</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0,07</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0,95</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0,00</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0,17</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206</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206)</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52,95</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0,08</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4,61</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0,12</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1,83</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208</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206</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50,87</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5,56</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2,01</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32,85</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208</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208)</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25,17</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1,24</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1,68</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210</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404</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10,22</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7,34</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0,00</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0,17</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210</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210)</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10,92</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0,16</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0,00</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0,02</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211</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211)</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16,84</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0,07</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0,61</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0,00</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0,07</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211</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210</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59,71</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7,51</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0,01</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0,17</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212</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212)</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25,16</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0,29</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0,00</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0,10</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212</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211</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8,28</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8,12</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0,00</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0,20</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215</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 xml:space="preserve"> </w:t>
            </w:r>
            <w:r>
              <w:rPr>
                <w:sz w:val="20"/>
                <w:szCs w:val="20"/>
              </w:rPr>
              <w:t>Кондинская улица 10</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3,19</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0,07</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0,61</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0,00</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0,07</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215</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213</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80,57</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0,07</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1,65</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0,49</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216</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216)</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63,86</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20,76</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0,10</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1,29</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216</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212</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21,14</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8,41</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0,01</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0,22</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218</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230</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31,94</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5,20</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0,03</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0,71</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218</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218)</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5,77</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1,30</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0,00</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218</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219</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32,05</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7,29</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1,39</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219</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220</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47,03</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3,19</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0,02</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0,27</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219</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219)</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17,95</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4,10</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0,39</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17,92</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220</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220)</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29,89</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0,64</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0,02</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0,46</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220</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221</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14,69</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2,55</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0,12</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6,95</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221</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346</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112,08</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0,08</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1,78</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0,04</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0,28</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221</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221)</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17,3</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0,77</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0,01</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0,66</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222</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223</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2,15</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0,08</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1,17</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0,00</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0,13</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223</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1850</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26,02</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0,80</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0,02</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0,71</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223</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226</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6,81</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0,07</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0,37</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0,00</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0,03</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224</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Сплавная улица 13</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6,87</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0,23</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0,00</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0,07</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225</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Сплавная улица 13</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7,03</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0,23</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0,00</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0,07</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225</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224</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3,4</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0,23</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0,00</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0,07</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226</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228</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15,41</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0,07</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0,37</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0,00</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0,03</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228</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1852</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16,98</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0,37</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0,00</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0,16</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228</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16,91</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0,07</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0,00</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0,00</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0,00</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230</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230)</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42,31</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0,74</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0,03</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0,61</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230</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231)</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45,54</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4,46</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0,00</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0,06</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231</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344</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1,44</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0,07</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1,76</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0,00</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0,56</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231</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ЗУ-(ТК12/16)</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18,51</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2,70</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0,00</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0,02</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233</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348</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13,06</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0,07</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0,39</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0,00</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0,03</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233</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233)</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14,45</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0,74</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0,01</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0,61</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236</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236)</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8,63</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0,49</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0,00</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0,27</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236</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237</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20,17</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1,16</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0,04</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1,47</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237</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360</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3,47</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0,60</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0,00</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0,41</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237</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237)</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33,57</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0,56</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0,01</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0,35</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238</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374</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23,44</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0,07</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3,26</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1,88</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238</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238)</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21,06</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0,70</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0,01</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0,54</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241</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241)</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53,06</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0,03</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0,37</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0,15</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2,39</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241</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242</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17,83</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0,07</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2,09</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0,02</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0,79</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242</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379</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75,84</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0,07</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1,13</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0,02</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0,24</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242</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242)</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7,34</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0,96</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0,01</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1,01</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243</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380</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18,07</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0,09</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0,00</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0,01</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243</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243)</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25,82</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0,56</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0,01</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0,36</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244</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238</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13,13</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3,95</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0,01</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0,42</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244</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улица 50 Лет Победы (рядом с д</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4,46</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0,22</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0,00</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0,06</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245</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216</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48,36</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29,18</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0,15</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2,54</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245</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245)</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14,44</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0,032</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0,71</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0,11</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6,03</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246</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245</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52,69</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29,89</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0,17</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2,66</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246</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246)</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24,59</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0,08</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6,36</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0,10</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3,47</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247</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246</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5,31</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36,25</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0,03</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3,91</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248</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247</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16,2</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36,25</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0,08</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3,91</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248</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248)</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25,26</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2,12</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0,15</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4,84</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249</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249)</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3,93</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0,90</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0,00</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0,89</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249</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248</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66,71</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38,37</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0,35</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4,38</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250</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250)</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38,25</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1,86</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0,00</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0,10</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250</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335</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12,31</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39,50</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0,07</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4,64</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252</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252)</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54,62</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0,07</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0,59</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0,00</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0,07</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252</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250</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18,07</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41,37</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0,11</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5,09</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256</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252</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56,39</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41,96</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0,35</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5,23</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257</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257)</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2,2</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0,07</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2,03</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0,00</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0,74</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257</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258</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75,63</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0,219</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24,52</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0,02</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0,24</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258</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ТК12/7</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107,16</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0,159</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19,47</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0,11</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0,84</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258</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258)</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20,21</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0,08</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5,05</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2,19</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259</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ЗУ-(ТК12/7)</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183,78</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0,076</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4,56</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0,52</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2,36</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259</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ТК12/8</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42,4</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0,159</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10,76</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0,01</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0,26</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261</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405</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26,33</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0,08</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0,66</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0,00</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0,04</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262</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ТК12/1</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7,66</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0,2</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68,51</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0,03</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3,03</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262</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263</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10,1</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0,82</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0,00</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0,02</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263</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269</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54,72</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0,82</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0,00</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0,02</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269</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270</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55,09</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0,48</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0,00</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0,01</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269</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 xml:space="preserve">  </w:t>
            </w:r>
            <w:r>
              <w:rPr>
                <w:sz w:val="20"/>
                <w:szCs w:val="20"/>
              </w:rPr>
              <w:t>здание около котельной №7</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10,83</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0,34</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0,00</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0,13</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270</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 xml:space="preserve">Пожарный резервуар 100 м3 </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4,29</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0,16</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0,00</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0,02</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270</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271</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5,3</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0,32</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0,00</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0,00</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271</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272</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4,96</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0,16</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0,00</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0,00</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271</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 xml:space="preserve">Пожарный резервуар 100 м3 </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3,58</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0,16</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0,00</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0,02</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272</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 xml:space="preserve">Пожарный резервуар 100 м3 </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3,53</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0,16</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0,00</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0,02</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335</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249</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21,17</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39,27</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0,12</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4,59</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335</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335)</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1,4</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0,23</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0,00</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0,06</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339</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 xml:space="preserve"> </w:t>
            </w:r>
            <w:r>
              <w:rPr>
                <w:sz w:val="20"/>
                <w:szCs w:val="20"/>
              </w:rPr>
              <w:t>Пожарные резервуары 2х100 м3</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8,53</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0,15</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0,00</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0,02</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339</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 xml:space="preserve"> </w:t>
            </w:r>
            <w:r>
              <w:rPr>
                <w:sz w:val="20"/>
                <w:szCs w:val="20"/>
              </w:rPr>
              <w:t>Пожарные резервуары 2х100 м3</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5,76</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0,15</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0,00</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0,02</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340</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340)</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5,51</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0,025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0,22</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0,02</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2,27</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340</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205</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85,37</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0,07</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0,73</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0,01</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0,10</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343</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225</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9,08</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0,46</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0,00</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0,24</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343</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343)</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94,15</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0,34</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0,02</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0,14</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344</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233</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32,34</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0,07</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1,14</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0,01</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0,24</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344</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344)</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3,6</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0,62</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0,00</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0,43</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345</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345)</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3,01</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0,65</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0,00</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0,47</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346</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346)</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0,99</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0,61</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0,00</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0,41</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346</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222</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20,38</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0,08</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1,17</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0,00</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0,13</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347</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улица Чапаева 79Б</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9,94</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0,65</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0,01</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0,47</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348</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348)</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5,77</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0,39</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0,00</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0,18</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360</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360)</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2,53</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0,60</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0,00</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0,41</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367</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367)</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2,8</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0,032</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1,86</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0,14</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41,21</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373</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Кондинская улица 5</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49,99</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0,07</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0,59</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0,00</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0,07</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374</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241</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20,63</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0,07</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2,46</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0,03</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1,08</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374</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374)</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1,38</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0,03</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0,79</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0,02</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10,72</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377</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улица Чапаева 73</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5,25</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0,47</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0,00</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0,25</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377</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 xml:space="preserve"> </w:t>
            </w:r>
            <w:r>
              <w:rPr>
                <w:sz w:val="20"/>
                <w:szCs w:val="20"/>
              </w:rPr>
              <w:t>потребитель б/н</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18,61</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0,17</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0,00</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0,02</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378</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2781</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12,29</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0,37</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0,00</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0,16</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378</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412</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3,88</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0,87</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0,00</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0,84</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379</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379)</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3,19</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0,48</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0,00</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0,27</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379</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243</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40,1</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0,07</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0,65</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0,00</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0,08</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380</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 xml:space="preserve"> </w:t>
            </w:r>
            <w:r>
              <w:rPr>
                <w:sz w:val="20"/>
                <w:szCs w:val="20"/>
              </w:rPr>
              <w:t>улица 50 лет Победы (рядом с</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11,65</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0,09</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0,00</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0,01</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382</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261</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27,31</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0,66</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0,00</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0,00</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382</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улица Шмигельского 44</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28,47</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0,08</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4,40</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0,06</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1,67</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404</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404)</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60,23</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0,54</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0,02</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0,33</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404</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208</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11,38</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6,80</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0,00</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0,14</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405</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Регулятор расхода ввод 1</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9,57</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0,33</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0,00</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0,13</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405</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Регулятор расхода ввод 2</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9,88</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0,33</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0,00</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0,13</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412</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ЗУ-(Уз. 378)</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3,01</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0,50</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0,00</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0,29</w:t>
            </w:r>
          </w:p>
        </w:tc>
      </w:tr>
      <w:tr>
        <w:trPr>
          <w:trHeight w:val="20"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95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Уз. 412</w:t>
            </w:r>
          </w:p>
        </w:tc>
        <w:tc>
          <w:tcPr>
            <w:tcW w:w="206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улица 50 лет Победы 9</w:t>
            </w:r>
          </w:p>
        </w:tc>
        <w:tc>
          <w:tcPr>
            <w:tcW w:w="1224"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15,13</w:t>
            </w:r>
          </w:p>
        </w:tc>
        <w:tc>
          <w:tcPr>
            <w:tcW w:w="1933"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0,05</w:t>
            </w:r>
          </w:p>
        </w:tc>
        <w:tc>
          <w:tcPr>
            <w:tcW w:w="1998"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1,2</w:t>
            </w:r>
          </w:p>
        </w:tc>
        <w:tc>
          <w:tcPr>
            <w:tcW w:w="107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0,37</w:t>
            </w:r>
          </w:p>
        </w:tc>
        <w:tc>
          <w:tcPr>
            <w:tcW w:w="1146"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0,00</w:t>
            </w:r>
          </w:p>
        </w:tc>
        <w:tc>
          <w:tcPr>
            <w:tcW w:w="1417" w:type="dxa"/>
            <w:tcBorders>
              <w:bottom w:val="single" w:sz="4" w:space="0" w:color="000000"/>
              <w:right w:val="single" w:sz="4" w:space="0" w:color="000000"/>
            </w:tcBorders>
            <w:shd w:color="auto" w:fill="auto" w:val="clear"/>
            <w:vAlign w:val="center"/>
          </w:tcPr>
          <w:p>
            <w:pPr>
              <w:pStyle w:val="Normal"/>
              <w:rPr>
                <w:sz w:val="20"/>
                <w:szCs w:val="20"/>
              </w:rPr>
            </w:pPr>
            <w:r>
              <w:rPr>
                <w:sz w:val="20"/>
                <w:szCs w:val="20"/>
              </w:rPr>
              <w:t>0,16</w:t>
            </w:r>
          </w:p>
        </w:tc>
      </w:tr>
    </w:tbl>
    <w:p>
      <w:pPr>
        <w:pStyle w:val="Normal"/>
        <w:jc w:val="right"/>
        <w:rPr>
          <w:rFonts w:eastAsia="Calibri" w:cs="Calibri"/>
          <w:iCs/>
          <w:szCs w:val="18"/>
          <w:lang w:eastAsia="en-US"/>
        </w:rPr>
      </w:pPr>
      <w:r>
        <w:rPr>
          <w:rFonts w:eastAsia="Calibri" w:cs="Calibri"/>
          <w:iCs/>
          <w:szCs w:val="18"/>
          <w:lang w:eastAsia="en-US"/>
        </w:rPr>
      </w:r>
    </w:p>
    <w:p>
      <w:pPr>
        <w:pStyle w:val="Normal"/>
        <w:jc w:val="right"/>
        <w:rPr>
          <w:rFonts w:eastAsia="Calibri" w:cs="Calibri"/>
          <w:iCs/>
          <w:szCs w:val="18"/>
          <w:lang w:eastAsia="en-US"/>
        </w:rPr>
      </w:pPr>
      <w:r>
        <w:rPr>
          <w:rFonts w:eastAsia="Calibri" w:cs="Calibri"/>
          <w:iCs/>
          <w:szCs w:val="18"/>
          <w:lang w:eastAsia="en-US"/>
        </w:rPr>
      </w:r>
    </w:p>
    <w:p>
      <w:pPr>
        <w:pStyle w:val="Normal"/>
        <w:jc w:val="right"/>
        <w:rPr>
          <w:rFonts w:eastAsia="Calibri" w:cs="Calibri"/>
          <w:iCs/>
          <w:szCs w:val="18"/>
          <w:lang w:eastAsia="en-US"/>
        </w:rPr>
      </w:pPr>
      <w:r>
        <w:rPr>
          <w:rFonts w:eastAsia="Calibri" w:cs="Calibri"/>
          <w:iCs/>
          <w:szCs w:val="18"/>
          <w:lang w:eastAsia="en-US"/>
        </w:rPr>
      </w:r>
    </w:p>
    <w:p>
      <w:pPr>
        <w:pStyle w:val="Normal"/>
        <w:jc w:val="right"/>
        <w:rPr>
          <w:rFonts w:eastAsia="Calibri" w:cs="Calibri"/>
          <w:iCs/>
          <w:szCs w:val="18"/>
          <w:lang w:eastAsia="en-US"/>
        </w:rPr>
      </w:pPr>
      <w:r>
        <w:rPr>
          <w:rFonts w:eastAsia="Calibri" w:cs="Calibri"/>
          <w:iCs/>
          <w:szCs w:val="18"/>
          <w:lang w:eastAsia="en-US"/>
        </w:rPr>
      </w:r>
    </w:p>
    <w:p>
      <w:pPr>
        <w:pStyle w:val="Normal"/>
        <w:jc w:val="right"/>
        <w:rPr>
          <w:rFonts w:eastAsia="Calibri" w:cs="Calibri"/>
          <w:iCs/>
          <w:szCs w:val="18"/>
          <w:lang w:eastAsia="en-US"/>
        </w:rPr>
      </w:pPr>
      <w:r>
        <w:rPr>
          <w:rFonts w:eastAsia="Calibri" w:cs="Calibri"/>
          <w:iCs/>
          <w:szCs w:val="18"/>
          <w:lang w:eastAsia="en-US"/>
        </w:rPr>
      </w:r>
    </w:p>
    <w:p>
      <w:pPr>
        <w:pStyle w:val="Normal"/>
        <w:jc w:val="right"/>
        <w:rPr>
          <w:rFonts w:eastAsia="Calibri"/>
          <w:b/>
          <w:b/>
          <w:i/>
          <w:i/>
          <w:iCs/>
          <w:szCs w:val="18"/>
          <w:lang w:eastAsia="en-US"/>
        </w:rPr>
      </w:pPr>
      <w:r>
        <w:rPr>
          <w:rFonts w:eastAsia="Calibri"/>
          <w:b/>
          <w:i/>
          <w:iCs/>
          <w:szCs w:val="18"/>
          <w:lang w:eastAsia="en-US"/>
        </w:rPr>
      </w:r>
    </w:p>
    <w:p>
      <w:pPr>
        <w:pStyle w:val="Normal"/>
        <w:keepNext w:val="true"/>
        <w:spacing w:before="240" w:after="0"/>
        <w:jc w:val="both"/>
        <w:rPr>
          <w:rFonts w:eastAsia="Calibri" w:cs="Calibri"/>
          <w:b/>
          <w:b/>
          <w:iCs/>
          <w:szCs w:val="18"/>
          <w:lang w:eastAsia="en-US"/>
        </w:rPr>
      </w:pPr>
      <w:r>
        <w:rPr>
          <w:rFonts w:eastAsia="Calibri" w:cs="Calibri"/>
          <w:b/>
          <w:iCs/>
          <w:szCs w:val="18"/>
          <w:lang w:eastAsia="en-US"/>
        </w:rPr>
      </w:r>
    </w:p>
    <w:p>
      <w:pPr>
        <w:pStyle w:val="Normal"/>
        <w:spacing w:before="240" w:after="0"/>
        <w:jc w:val="center"/>
        <w:rPr>
          <w:rFonts w:eastAsia="Calibri"/>
          <w:lang w:eastAsia="en-US"/>
        </w:rPr>
      </w:pPr>
      <w:r>
        <w:rPr>
          <w:rFonts w:eastAsia="Calibri"/>
          <w:lang w:eastAsia="en-US"/>
        </w:rPr>
      </w:r>
    </w:p>
    <w:p>
      <w:pPr>
        <w:pStyle w:val="Normal"/>
        <w:spacing w:before="240" w:after="0"/>
        <w:jc w:val="center"/>
        <w:rPr>
          <w:rFonts w:eastAsia="Calibri"/>
          <w:lang w:eastAsia="en-US"/>
        </w:rPr>
      </w:pPr>
      <w:r>
        <w:rPr>
          <w:rFonts w:eastAsia="Calibri"/>
          <w:lang w:eastAsia="en-US"/>
        </w:rPr>
      </w:r>
    </w:p>
    <w:p>
      <w:pPr>
        <w:pStyle w:val="Normal"/>
        <w:spacing w:before="240" w:after="0"/>
        <w:jc w:val="center"/>
        <w:rPr>
          <w:rFonts w:eastAsia="Calibri"/>
          <w:lang w:eastAsia="en-US"/>
        </w:rPr>
      </w:pPr>
      <w:r>
        <w:rPr>
          <w:rFonts w:eastAsia="Calibri"/>
          <w:lang w:eastAsia="en-US"/>
        </w:rPr>
      </w:r>
    </w:p>
    <w:p>
      <w:pPr>
        <w:pStyle w:val="Normal"/>
        <w:spacing w:before="240" w:after="0"/>
        <w:jc w:val="center"/>
        <w:rPr>
          <w:rFonts w:eastAsia="Calibri"/>
          <w:lang w:eastAsia="en-US"/>
        </w:rPr>
      </w:pPr>
      <w:r>
        <w:rPr/>
        <w:drawing>
          <wp:inline distT="0" distB="0" distL="0" distR="0">
            <wp:extent cx="9181465" cy="4065905"/>
            <wp:effectExtent l="0" t="0" r="0" b="0"/>
            <wp:docPr id="3" name="Изображение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Изображение2" descr=""/>
                    <pic:cNvPicPr>
                      <a:picLocks noChangeAspect="1" noChangeArrowheads="1"/>
                    </pic:cNvPicPr>
                  </pic:nvPicPr>
                  <pic:blipFill>
                    <a:blip r:embed="rId39"/>
                    <a:stretch>
                      <a:fillRect/>
                    </a:stretch>
                  </pic:blipFill>
                  <pic:spPr bwMode="auto">
                    <a:xfrm>
                      <a:off x="0" y="0"/>
                      <a:ext cx="9181465" cy="4065905"/>
                    </a:xfrm>
                    <a:prstGeom prst="rect">
                      <a:avLst/>
                    </a:prstGeom>
                  </pic:spPr>
                </pic:pic>
              </a:graphicData>
            </a:graphic>
          </wp:inline>
        </w:drawing>
      </w:r>
    </w:p>
    <w:p>
      <w:pPr>
        <w:pStyle w:val="Normal"/>
        <w:spacing w:before="240" w:after="0"/>
        <w:rPr>
          <w:bCs/>
          <w:iCs/>
        </w:rPr>
      </w:pPr>
      <w:bookmarkStart w:id="628" w:name="_Ref83824082"/>
      <w:bookmarkEnd w:id="628"/>
      <w:r>
        <w:rPr/>
        <w:t>Рисунок 1</w:t>
      </w:r>
      <w:r>
        <w:rPr>
          <w:iCs/>
        </w:rPr>
        <w:t xml:space="preserve">- </w:t>
      </w:r>
      <w:r>
        <w:rPr>
          <w:bCs/>
          <w:iCs/>
        </w:rPr>
        <w:t>Пьезометрический график тепловой сети</w:t>
      </w:r>
      <w:r>
        <w:rPr>
          <w:iCs/>
        </w:rPr>
        <w:t xml:space="preserve"> котельной № 1 МП МО Октябрьский район «ОКС»</w:t>
      </w:r>
      <w:r>
        <w:rPr>
          <w:bCs/>
          <w:iCs/>
        </w:rPr>
        <w:t xml:space="preserve"> на территории городского поселения</w:t>
      </w:r>
    </w:p>
    <w:p>
      <w:pPr>
        <w:pStyle w:val="Normal"/>
        <w:spacing w:before="240" w:after="0"/>
        <w:rPr>
          <w:bCs/>
          <w:iCs/>
        </w:rPr>
      </w:pPr>
      <w:r>
        <w:rPr>
          <w:bCs/>
          <w:iCs/>
        </w:rPr>
      </w:r>
    </w:p>
    <w:p>
      <w:pPr>
        <w:pStyle w:val="Normal"/>
        <w:spacing w:before="240" w:after="0"/>
        <w:rPr>
          <w:bCs/>
          <w:iCs/>
        </w:rPr>
      </w:pPr>
      <w:r>
        <w:rPr>
          <w:bCs/>
          <w:iCs/>
        </w:rPr>
      </w:r>
    </w:p>
    <w:p>
      <w:pPr>
        <w:pStyle w:val="Normal"/>
        <w:spacing w:before="240" w:after="0"/>
        <w:rPr>
          <w:bCs/>
          <w:iCs/>
        </w:rPr>
      </w:pPr>
      <w:r>
        <w:rPr>
          <w:bCs/>
          <w:iCs/>
        </w:rPr>
      </w:r>
    </w:p>
    <w:p>
      <w:pPr>
        <w:pStyle w:val="Normal"/>
        <w:spacing w:before="240" w:after="0"/>
        <w:rPr>
          <w:rFonts w:eastAsia="Calibri"/>
          <w:b/>
          <w:b/>
          <w:lang w:eastAsia="en-US"/>
        </w:rPr>
      </w:pPr>
      <w:r>
        <w:rPr/>
        <w:drawing>
          <wp:inline distT="0" distB="0" distL="0" distR="0">
            <wp:extent cx="9181465" cy="4028440"/>
            <wp:effectExtent l="0" t="0" r="0" b="0"/>
            <wp:docPr id="4" name="Рисунок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8" descr=""/>
                    <pic:cNvPicPr>
                      <a:picLocks noChangeAspect="1" noChangeArrowheads="1"/>
                    </pic:cNvPicPr>
                  </pic:nvPicPr>
                  <pic:blipFill>
                    <a:blip r:embed="rId40"/>
                    <a:stretch>
                      <a:fillRect/>
                    </a:stretch>
                  </pic:blipFill>
                  <pic:spPr bwMode="auto">
                    <a:xfrm>
                      <a:off x="0" y="0"/>
                      <a:ext cx="9181465" cy="4028440"/>
                    </a:xfrm>
                    <a:prstGeom prst="rect">
                      <a:avLst/>
                    </a:prstGeom>
                  </pic:spPr>
                </pic:pic>
              </a:graphicData>
            </a:graphic>
          </wp:inline>
        </w:drawing>
      </w:r>
    </w:p>
    <w:p>
      <w:pPr>
        <w:pStyle w:val="Normal"/>
        <w:spacing w:before="240" w:after="0"/>
        <w:rPr>
          <w:rFonts w:eastAsia="Calibri"/>
          <w:b/>
          <w:b/>
          <w:lang w:eastAsia="en-US"/>
        </w:rPr>
      </w:pPr>
      <w:r>
        <w:rPr>
          <w:rFonts w:eastAsia="Calibri"/>
          <w:b/>
          <w:lang w:eastAsia="en-US"/>
        </w:rPr>
      </w:r>
    </w:p>
    <w:p>
      <w:pPr>
        <w:pStyle w:val="Caption"/>
        <w:spacing w:before="240" w:after="240"/>
        <w:jc w:val="both"/>
        <w:rPr>
          <w:rFonts w:ascii="Times New Roman" w:hAnsi="Times New Roman" w:cs="Times New Roman"/>
          <w:bCs/>
          <w:i w:val="false"/>
          <w:i w:val="false"/>
          <w:iCs w:val="false"/>
        </w:rPr>
      </w:pPr>
      <w:r>
        <w:rPr>
          <w:rFonts w:cs="Times New Roman" w:ascii="Times New Roman" w:hAnsi="Times New Roman"/>
          <w:i w:val="false"/>
          <w:iCs w:val="false"/>
        </w:rPr>
        <w:t xml:space="preserve">Рисунок 2 – </w:t>
      </w:r>
      <w:r>
        <w:rPr>
          <w:rFonts w:cs="Times New Roman" w:ascii="Times New Roman" w:hAnsi="Times New Roman"/>
          <w:bCs/>
          <w:i w:val="false"/>
          <w:iCs w:val="false"/>
        </w:rPr>
        <w:t>Пьезометрический график тепловой сети</w:t>
      </w:r>
      <w:r>
        <w:rPr>
          <w:rFonts w:cs="Times New Roman" w:ascii="Times New Roman" w:hAnsi="Times New Roman"/>
          <w:i w:val="false"/>
          <w:iCs w:val="false"/>
        </w:rPr>
        <w:t xml:space="preserve"> котельной № 2 МП МО Октябрьский район «ОКС»</w:t>
      </w:r>
      <w:r>
        <w:rPr>
          <w:rFonts w:cs="Times New Roman" w:ascii="Times New Roman" w:hAnsi="Times New Roman"/>
          <w:bCs/>
          <w:i w:val="false"/>
          <w:iCs w:val="false"/>
        </w:rPr>
        <w:t xml:space="preserve"> на территории городского поселения </w:t>
      </w:r>
    </w:p>
    <w:p>
      <w:pPr>
        <w:pStyle w:val="Caption"/>
        <w:spacing w:before="240" w:after="240"/>
        <w:jc w:val="both"/>
        <w:rPr>
          <w:rFonts w:ascii="Times New Roman" w:hAnsi="Times New Roman" w:cs="Times New Roman"/>
          <w:bCs/>
          <w:i w:val="false"/>
          <w:i w:val="false"/>
          <w:iCs w:val="false"/>
        </w:rPr>
      </w:pPr>
      <w:r>
        <w:rPr>
          <w:rFonts w:cs="Times New Roman" w:ascii="Times New Roman" w:hAnsi="Times New Roman"/>
          <w:bCs/>
          <w:i w:val="false"/>
          <w:iCs w:val="false"/>
        </w:rPr>
      </w:r>
    </w:p>
    <w:p>
      <w:pPr>
        <w:pStyle w:val="Caption"/>
        <w:spacing w:before="240" w:after="240"/>
        <w:jc w:val="both"/>
        <w:rPr>
          <w:rFonts w:ascii="Times New Roman" w:hAnsi="Times New Roman" w:cs="Times New Roman"/>
          <w:bCs/>
          <w:i w:val="false"/>
          <w:i w:val="false"/>
          <w:iCs w:val="false"/>
        </w:rPr>
      </w:pPr>
      <w:r>
        <w:rPr>
          <w:rFonts w:cs="Times New Roman" w:ascii="Times New Roman" w:hAnsi="Times New Roman"/>
          <w:bCs/>
          <w:i w:val="false"/>
          <w:iCs w:val="false"/>
        </w:rPr>
      </w:r>
    </w:p>
    <w:p>
      <w:pPr>
        <w:pStyle w:val="Caption"/>
        <w:spacing w:before="240" w:after="240"/>
        <w:jc w:val="both"/>
        <w:rPr>
          <w:rFonts w:ascii="Times New Roman" w:hAnsi="Times New Roman" w:cs="Times New Roman"/>
          <w:bCs/>
          <w:i w:val="false"/>
          <w:i w:val="false"/>
          <w:iCs w:val="false"/>
        </w:rPr>
      </w:pPr>
      <w:r>
        <w:rPr>
          <w:rFonts w:cs="Times New Roman" w:ascii="Times New Roman" w:hAnsi="Times New Roman"/>
          <w:bCs/>
          <w:i w:val="false"/>
          <w:iCs w:val="false"/>
        </w:rPr>
      </w:r>
    </w:p>
    <w:p>
      <w:pPr>
        <w:pStyle w:val="Caption"/>
        <w:spacing w:before="240" w:after="240"/>
        <w:jc w:val="both"/>
        <w:rPr>
          <w:rFonts w:ascii="Times New Roman" w:hAnsi="Times New Roman" w:cs="Times New Roman"/>
          <w:i w:val="false"/>
          <w:i w:val="false"/>
          <w:iCs w:val="false"/>
        </w:rPr>
      </w:pPr>
      <w:r>
        <w:rPr/>
        <w:drawing>
          <wp:inline distT="0" distB="0" distL="0" distR="0">
            <wp:extent cx="9181465" cy="3669665"/>
            <wp:effectExtent l="0" t="0" r="0" b="0"/>
            <wp:docPr id="5" name="Рисунок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9" descr=""/>
                    <pic:cNvPicPr>
                      <a:picLocks noChangeAspect="1" noChangeArrowheads="1"/>
                    </pic:cNvPicPr>
                  </pic:nvPicPr>
                  <pic:blipFill>
                    <a:blip r:embed="rId41"/>
                    <a:stretch>
                      <a:fillRect/>
                    </a:stretch>
                  </pic:blipFill>
                  <pic:spPr bwMode="auto">
                    <a:xfrm>
                      <a:off x="0" y="0"/>
                      <a:ext cx="9181465" cy="3669665"/>
                    </a:xfrm>
                    <a:prstGeom prst="rect">
                      <a:avLst/>
                    </a:prstGeom>
                  </pic:spPr>
                </pic:pic>
              </a:graphicData>
            </a:graphic>
          </wp:inline>
        </w:drawing>
      </w:r>
    </w:p>
    <w:p>
      <w:pPr>
        <w:pStyle w:val="Caption"/>
        <w:spacing w:before="240" w:after="240"/>
        <w:jc w:val="both"/>
        <w:rPr>
          <w:rFonts w:ascii="Times New Roman" w:hAnsi="Times New Roman" w:cs="Times New Roman"/>
          <w:i w:val="false"/>
          <w:i w:val="false"/>
          <w:iCs w:val="false"/>
        </w:rPr>
      </w:pPr>
      <w:r>
        <w:rPr>
          <w:rFonts w:cs="Times New Roman" w:ascii="Times New Roman" w:hAnsi="Times New Roman"/>
          <w:i w:val="false"/>
          <w:iCs w:val="false"/>
        </w:rPr>
      </w:r>
    </w:p>
    <w:p>
      <w:pPr>
        <w:sectPr>
          <w:headerReference w:type="default" r:id="rId42"/>
          <w:footerReference w:type="default" r:id="rId43"/>
          <w:type w:val="nextPage"/>
          <w:pgSz w:orient="landscape" w:w="16838" w:h="11906"/>
          <w:pgMar w:left="1701" w:right="850" w:header="0" w:top="708" w:footer="0" w:bottom="708" w:gutter="0"/>
          <w:pgNumType w:fmt="decimal"/>
          <w:formProt w:val="false"/>
          <w:textDirection w:val="lrTb"/>
          <w:docGrid w:type="default" w:linePitch="360" w:charSpace="0"/>
        </w:sectPr>
        <w:pStyle w:val="Caption"/>
        <w:spacing w:before="240" w:after="240"/>
        <w:jc w:val="both"/>
        <w:rPr>
          <w:rFonts w:ascii="Times New Roman" w:hAnsi="Times New Roman" w:cs="Times New Roman"/>
          <w:i w:val="false"/>
          <w:i w:val="false"/>
          <w:iCs w:val="false"/>
        </w:rPr>
      </w:pPr>
      <w:r>
        <w:rPr>
          <w:rFonts w:cs="Times New Roman" w:ascii="Times New Roman" w:hAnsi="Times New Roman"/>
          <w:i w:val="false"/>
          <w:iCs w:val="false"/>
        </w:rPr>
        <w:t>Рис</w:t>
      </w:r>
      <w:bookmarkStart w:id="629" w:name="_Ref83310429"/>
      <w:bookmarkEnd w:id="629"/>
      <w:r>
        <w:rPr>
          <w:rFonts w:cs="Times New Roman" w:ascii="Times New Roman" w:hAnsi="Times New Roman"/>
          <w:i w:val="false"/>
          <w:iCs w:val="false"/>
        </w:rPr>
        <w:t xml:space="preserve">унок 3 – </w:t>
      </w:r>
      <w:r>
        <w:rPr>
          <w:rFonts w:cs="Times New Roman" w:ascii="Times New Roman" w:hAnsi="Times New Roman"/>
          <w:bCs/>
          <w:i w:val="false"/>
          <w:iCs w:val="false"/>
        </w:rPr>
        <w:t>Пьезометрический график тепловой сети</w:t>
      </w:r>
      <w:r>
        <w:rPr>
          <w:rFonts w:cs="Times New Roman" w:ascii="Times New Roman" w:hAnsi="Times New Roman"/>
          <w:i w:val="false"/>
          <w:iCs w:val="false"/>
        </w:rPr>
        <w:t xml:space="preserve"> котельной № 6 МП МО Октябрьский район «ОКС»</w:t>
      </w:r>
      <w:r>
        <w:rPr>
          <w:rFonts w:cs="Times New Roman" w:ascii="Times New Roman" w:hAnsi="Times New Roman"/>
          <w:bCs/>
          <w:i w:val="false"/>
          <w:iCs w:val="false"/>
        </w:rPr>
        <w:t xml:space="preserve"> на территории городского поселения </w:t>
      </w:r>
    </w:p>
    <w:p>
      <w:pPr>
        <w:pStyle w:val="Normal"/>
        <w:keepNext w:val="true"/>
        <w:keepLines/>
        <w:numPr>
          <w:ilvl w:val="0"/>
          <w:numId w:val="0"/>
        </w:numPr>
        <w:ind w:left="0" w:firstLine="709"/>
        <w:jc w:val="both"/>
        <w:outlineLvl w:val="2"/>
        <w:rPr>
          <w:rFonts w:eastAsia="Calibri Light" w:cs="Calibri Light"/>
          <w:b/>
          <w:b/>
          <w:lang w:eastAsia="en-US"/>
        </w:rPr>
      </w:pPr>
      <w:bookmarkStart w:id="630" w:name="_Toc181340370"/>
      <w:bookmarkStart w:id="631" w:name="_Toc160529903"/>
      <w:bookmarkStart w:id="632" w:name="sub_1319"/>
      <w:bookmarkStart w:id="633" w:name="_Toc535409498"/>
      <w:bookmarkEnd w:id="632"/>
      <w:bookmarkEnd w:id="633"/>
      <w:r>
        <w:rPr>
          <w:rFonts w:eastAsia="Calibri Light" w:cs="Calibri Light"/>
          <w:b/>
          <w:lang w:eastAsia="en-US"/>
        </w:rPr>
        <w:t>1.3.9. Статистика отказов тепловых сетей (аварийных ситуаций) за последние 5 лет</w:t>
      </w:r>
      <w:bookmarkEnd w:id="630"/>
      <w:bookmarkEnd w:id="631"/>
    </w:p>
    <w:p>
      <w:pPr>
        <w:pStyle w:val="Normal"/>
        <w:ind w:firstLine="709"/>
        <w:jc w:val="both"/>
        <w:rPr>
          <w:rFonts w:eastAsia="Calibri"/>
          <w:szCs w:val="22"/>
          <w:lang w:eastAsia="en-US"/>
        </w:rPr>
      </w:pPr>
      <w:r>
        <w:rPr>
          <w:rFonts w:eastAsia="Calibri" w:cs="Calibri"/>
          <w:szCs w:val="22"/>
          <w:lang w:eastAsia="en-US"/>
        </w:rPr>
        <w:t xml:space="preserve">По информации, представленной теплоснабжающей организацией, отказов тепловых сетей (аварийных ситуаций) за последние 5 лет не происходило. </w:t>
      </w:r>
    </w:p>
    <w:p>
      <w:pPr>
        <w:pStyle w:val="Normal"/>
        <w:ind w:firstLine="709"/>
        <w:jc w:val="both"/>
        <w:rPr>
          <w:rFonts w:eastAsia="Calibri"/>
          <w:szCs w:val="22"/>
          <w:lang w:eastAsia="en-US"/>
        </w:rPr>
      </w:pPr>
      <w:r>
        <w:rPr>
          <w:rFonts w:eastAsia="Calibri"/>
          <w:szCs w:val="22"/>
          <w:lang w:eastAsia="en-US"/>
        </w:rPr>
      </w:r>
    </w:p>
    <w:p>
      <w:pPr>
        <w:pStyle w:val="Normal"/>
        <w:keepNext w:val="true"/>
        <w:keepLines/>
        <w:numPr>
          <w:ilvl w:val="0"/>
          <w:numId w:val="0"/>
        </w:numPr>
        <w:ind w:left="0" w:firstLine="709"/>
        <w:jc w:val="both"/>
        <w:outlineLvl w:val="2"/>
        <w:rPr>
          <w:rFonts w:eastAsia="Calibri Light" w:cs="Calibri Light"/>
          <w:b/>
          <w:b/>
          <w:lang w:eastAsia="en-US"/>
        </w:rPr>
      </w:pPr>
      <w:bookmarkStart w:id="634" w:name="_Toc181340371"/>
      <w:bookmarkStart w:id="635" w:name="_Toc535409499"/>
      <w:bookmarkStart w:id="636" w:name="_Toc160529904"/>
      <w:r>
        <w:rPr>
          <w:rFonts w:eastAsia="Calibri Light" w:cs="Calibri Light"/>
          <w:b/>
          <w:lang w:eastAsia="en-US"/>
        </w:rPr>
        <w:t>1.3.10. Статистика восстановлений (аварийно-восстановительных ремонтов) тепловых сетей и среднее время, затраченное на восстановление работоспособности тепловых сетей, за последние 5 лет</w:t>
      </w:r>
      <w:bookmarkStart w:id="637" w:name="sub_13110"/>
      <w:bookmarkEnd w:id="634"/>
      <w:bookmarkEnd w:id="635"/>
      <w:bookmarkEnd w:id="636"/>
      <w:bookmarkEnd w:id="637"/>
    </w:p>
    <w:p>
      <w:pPr>
        <w:pStyle w:val="Normal"/>
        <w:keepNext w:val="true"/>
        <w:keepLines/>
        <w:numPr>
          <w:ilvl w:val="0"/>
          <w:numId w:val="0"/>
        </w:numPr>
        <w:ind w:left="0" w:firstLine="709"/>
        <w:jc w:val="both"/>
        <w:outlineLvl w:val="2"/>
        <w:rPr>
          <w:rFonts w:eastAsia="Calibri Light" w:cs="Calibri Light"/>
          <w:b/>
          <w:b/>
          <w:lang w:eastAsia="en-US"/>
        </w:rPr>
      </w:pPr>
      <w:r>
        <w:rPr>
          <w:rFonts w:eastAsia="Calibri" w:cs="Calibri"/>
          <w:szCs w:val="22"/>
          <w:lang w:eastAsia="en-US"/>
        </w:rPr>
        <w:t xml:space="preserve">По информации, представленной теплоснабжающей организацией, отказов тепловых сетей (аварийных ситуаций) за последние 5 лет не происходило. </w:t>
      </w:r>
      <w:bookmarkStart w:id="638" w:name="_Toc160529905"/>
      <w:bookmarkStart w:id="639" w:name="_Toc535409500"/>
      <w:bookmarkStart w:id="640" w:name="_Toc181340372"/>
    </w:p>
    <w:p>
      <w:pPr>
        <w:pStyle w:val="Normal"/>
        <w:keepNext w:val="true"/>
        <w:keepLines/>
        <w:numPr>
          <w:ilvl w:val="0"/>
          <w:numId w:val="0"/>
        </w:numPr>
        <w:ind w:left="0" w:firstLine="709"/>
        <w:jc w:val="both"/>
        <w:outlineLvl w:val="2"/>
        <w:rPr>
          <w:rFonts w:eastAsia="Calibri Light" w:cs="Calibri Light"/>
          <w:b/>
          <w:b/>
          <w:lang w:eastAsia="en-US"/>
        </w:rPr>
      </w:pPr>
      <w:r>
        <w:rPr>
          <w:rFonts w:eastAsia="Calibri Light" w:cs="Calibri Light"/>
          <w:b/>
          <w:lang w:eastAsia="en-US"/>
        </w:rPr>
      </w:r>
    </w:p>
    <w:p>
      <w:pPr>
        <w:pStyle w:val="Normal"/>
        <w:keepNext w:val="true"/>
        <w:keepLines/>
        <w:numPr>
          <w:ilvl w:val="0"/>
          <w:numId w:val="0"/>
        </w:numPr>
        <w:ind w:left="0" w:firstLine="709"/>
        <w:jc w:val="both"/>
        <w:outlineLvl w:val="2"/>
        <w:rPr>
          <w:rFonts w:eastAsia="Calibri Light" w:cs="Calibri Light"/>
          <w:b/>
          <w:b/>
          <w:lang w:eastAsia="en-US"/>
        </w:rPr>
      </w:pPr>
      <w:r>
        <w:rPr>
          <w:rFonts w:eastAsia="Calibri Light" w:cs="Calibri Light"/>
          <w:b/>
          <w:lang w:eastAsia="en-US"/>
        </w:rPr>
        <w:t>1.3.11. Описание процедур диагностики состояния тепловых сетей и планирования капитальных (текущих) ремонтов</w:t>
      </w:r>
      <w:bookmarkStart w:id="641" w:name="sub_13111"/>
      <w:bookmarkEnd w:id="638"/>
      <w:bookmarkEnd w:id="639"/>
      <w:bookmarkEnd w:id="640"/>
      <w:bookmarkEnd w:id="641"/>
    </w:p>
    <w:p>
      <w:pPr>
        <w:pStyle w:val="Normal"/>
        <w:keepNext w:val="true"/>
        <w:keepLines/>
        <w:numPr>
          <w:ilvl w:val="0"/>
          <w:numId w:val="0"/>
        </w:numPr>
        <w:ind w:left="0" w:firstLine="709"/>
        <w:jc w:val="both"/>
        <w:outlineLvl w:val="2"/>
        <w:rPr>
          <w:rFonts w:eastAsia="Calibri" w:cs="Calibri"/>
          <w:szCs w:val="22"/>
          <w:lang w:eastAsia="ru-RU"/>
        </w:rPr>
      </w:pPr>
      <w:r>
        <w:rPr/>
        <w:t xml:space="preserve">Пунктом 6.82 </w:t>
      </w:r>
      <w:r>
        <w:rPr>
          <w:bCs/>
        </w:rPr>
        <w:t>Типовой инструкции по технической эксплуатации тепловых сетей систем коммунального теплоснабжения, утвержденной приказом Госстроя России                  от 13.12.2000 № 285 установлено каким</w:t>
      </w:r>
      <w:r>
        <w:rPr/>
        <w:t xml:space="preserve"> испытаниям должны подвергаться тепловые сети, находящиеся в эксплуатации.</w:t>
      </w:r>
    </w:p>
    <w:p>
      <w:pPr>
        <w:pStyle w:val="Normal"/>
        <w:keepNext w:val="true"/>
        <w:keepLines/>
        <w:numPr>
          <w:ilvl w:val="0"/>
          <w:numId w:val="0"/>
        </w:numPr>
        <w:ind w:left="0" w:firstLine="709"/>
        <w:jc w:val="both"/>
        <w:outlineLvl w:val="2"/>
        <w:rPr>
          <w:rFonts w:eastAsia="Calibri Light" w:cs="Calibri Light"/>
          <w:b/>
          <w:b/>
          <w:lang w:eastAsia="en-US"/>
        </w:rPr>
      </w:pPr>
      <w:r>
        <w:rPr/>
        <w:t>Для выявления мест утечек теплоносителя из трубопроводов, теплоснабжающая организация применяет следующие методы:</w:t>
      </w:r>
    </w:p>
    <w:p>
      <w:pPr>
        <w:pStyle w:val="Normal"/>
        <w:keepNext w:val="true"/>
        <w:keepLines/>
        <w:numPr>
          <w:ilvl w:val="0"/>
          <w:numId w:val="0"/>
        </w:numPr>
        <w:ind w:left="0" w:firstLine="709"/>
        <w:jc w:val="both"/>
        <w:outlineLvl w:val="2"/>
        <w:rPr>
          <w:rFonts w:eastAsia="Calibri Light" w:cs="Calibri Light"/>
          <w:b/>
          <w:b/>
          <w:lang w:eastAsia="en-US"/>
        </w:rPr>
      </w:pPr>
      <w:r>
        <w:rPr>
          <w:rFonts w:eastAsia="Calibri" w:cs="Calibri"/>
          <w:b/>
          <w:bCs/>
          <w:szCs w:val="22"/>
          <w:lang w:eastAsia="en-US"/>
        </w:rPr>
        <w:t>Испытание на прочность и плотность повышенным давлением (опрес</w:t>
      </w:r>
      <w:r>
        <w:rPr>
          <w:rFonts w:eastAsia="Calibri" w:cs="Calibri"/>
          <w:b/>
          <w:bCs/>
          <w:szCs w:val="22"/>
          <w:lang w:val="en-US" w:eastAsia="en-US"/>
        </w:rPr>
        <w:t>c</w:t>
      </w:r>
      <w:r>
        <w:rPr>
          <w:rFonts w:eastAsia="Calibri" w:cs="Calibri"/>
          <w:b/>
          <w:bCs/>
          <w:szCs w:val="22"/>
          <w:lang w:eastAsia="en-US"/>
        </w:rPr>
        <w:t xml:space="preserve">овка). </w:t>
      </w:r>
      <w:r>
        <w:rPr>
          <w:rFonts w:eastAsia="Calibri" w:cs="Calibri"/>
          <w:szCs w:val="22"/>
          <w:lang w:eastAsia="en-US"/>
        </w:rPr>
        <w:t>Метод применяется и был разработан с целью выявления ослабленных мест трубопровода в ремонтный период и исключения появления повреждений в отопительный период. Метод применяется в комплексе оперативной системы сбора и анализа данных о состоянии теплопроводов.</w:t>
      </w:r>
    </w:p>
    <w:p>
      <w:pPr>
        <w:pStyle w:val="Normal"/>
        <w:keepNext w:val="true"/>
        <w:keepLines/>
        <w:numPr>
          <w:ilvl w:val="0"/>
          <w:numId w:val="0"/>
        </w:numPr>
        <w:ind w:left="0" w:firstLine="709"/>
        <w:jc w:val="both"/>
        <w:outlineLvl w:val="2"/>
        <w:rPr>
          <w:rFonts w:eastAsia="Calibri Light" w:cs="Calibri Light"/>
          <w:b/>
          <w:b/>
          <w:lang w:eastAsia="en-US"/>
        </w:rPr>
      </w:pPr>
      <w:r>
        <w:rPr>
          <w:rFonts w:eastAsia="Calibri" w:cs="Calibri"/>
          <w:b/>
          <w:bCs/>
          <w:szCs w:val="22"/>
          <w:lang w:eastAsia="en-US"/>
        </w:rPr>
        <w:t xml:space="preserve">Метод наземного тепловизионного обследования с помощью тепловизора. </w:t>
      </w:r>
      <w:r>
        <w:rPr>
          <w:rFonts w:eastAsia="Calibri" w:cs="Calibri"/>
          <w:szCs w:val="22"/>
          <w:lang w:eastAsia="en-US"/>
        </w:rPr>
        <w:t>При доступной поверхности трассы, желательно с однородным покрытием, наличием точной исполнительной документации, с применением специального программного обеспечения, может очень хорошо показывать состояние обследуемого участка. По вышеназванным условиям применение возможно только на 10% старых прокладок. В некоторых случаях метод эффективен для поиска утечек.</w:t>
      </w:r>
    </w:p>
    <w:p>
      <w:pPr>
        <w:pStyle w:val="Normal"/>
        <w:ind w:firstLine="709"/>
        <w:jc w:val="both"/>
        <w:rPr>
          <w:rFonts w:eastAsia="Calibri"/>
          <w:szCs w:val="22"/>
          <w:lang w:eastAsia="en-US"/>
        </w:rPr>
      </w:pPr>
      <w:r>
        <w:rPr>
          <w:rFonts w:eastAsia="Calibri" w:cs="Calibri"/>
          <w:szCs w:val="22"/>
          <w:lang w:eastAsia="en-US"/>
        </w:rPr>
        <w:t>После ремонта в межотопительный период, тепловые сети подвергаются испытаниям в соответствии с существующими техническими регламентами и прочими руководящими документами.</w:t>
      </w:r>
      <w:bookmarkStart w:id="642" w:name="_Toc160529906"/>
      <w:bookmarkStart w:id="643" w:name="_Toc181340373"/>
      <w:bookmarkStart w:id="644" w:name="sub_13112"/>
      <w:bookmarkStart w:id="645" w:name="_Toc535409501"/>
      <w:bookmarkEnd w:id="644"/>
      <w:bookmarkEnd w:id="645"/>
    </w:p>
    <w:p>
      <w:pPr>
        <w:pStyle w:val="Normal"/>
        <w:ind w:firstLine="709"/>
        <w:jc w:val="both"/>
        <w:rPr>
          <w:rFonts w:eastAsia="Calibri"/>
          <w:szCs w:val="22"/>
          <w:lang w:eastAsia="en-US"/>
        </w:rPr>
      </w:pPr>
      <w:r>
        <w:rPr>
          <w:rFonts w:eastAsia="Calibri"/>
          <w:szCs w:val="22"/>
          <w:lang w:eastAsia="en-US"/>
        </w:rPr>
      </w:r>
    </w:p>
    <w:p>
      <w:pPr>
        <w:pStyle w:val="Normal"/>
        <w:ind w:firstLine="709"/>
        <w:jc w:val="both"/>
        <w:rPr>
          <w:rFonts w:eastAsia="Calibri Light" w:cs="Calibri Light"/>
          <w:b/>
          <w:b/>
          <w:lang w:eastAsia="en-US"/>
        </w:rPr>
      </w:pPr>
      <w:r>
        <w:rPr>
          <w:rFonts w:eastAsia="Calibri Light" w:cs="Calibri Light"/>
          <w:b/>
          <w:lang w:eastAsia="en-US"/>
        </w:rPr>
        <w:t>1.3.12. Описание периодичности и соответствия требованиям технических регламентов и иным обязательным требованиям процедур летнего ремонта с параметрами и методами испытаний (гидравлических, температурных, на тепловые потери) тепловых сете</w:t>
      </w:r>
      <w:bookmarkEnd w:id="642"/>
      <w:bookmarkEnd w:id="643"/>
      <w:r>
        <w:rPr>
          <w:rFonts w:eastAsia="Calibri Light" w:cs="Calibri Light"/>
          <w:b/>
          <w:lang w:eastAsia="en-US"/>
        </w:rPr>
        <w:t>й</w:t>
      </w:r>
    </w:p>
    <w:p>
      <w:pPr>
        <w:pStyle w:val="Normal"/>
        <w:ind w:firstLine="709"/>
        <w:jc w:val="both"/>
        <w:rPr>
          <w:rFonts w:eastAsia="Calibri" w:cs="Calibri"/>
          <w:szCs w:val="22"/>
          <w:lang w:eastAsia="ru-RU"/>
        </w:rPr>
      </w:pPr>
      <w:r>
        <w:rPr/>
        <w:t xml:space="preserve">Летние ремонты производятся в соответствии с главой 9 «Ремонт тепловых сетей» типовой инструкции по технической эксплуатации систем транспорта и распределения тепловой энергии (тепловых сетей) РД 153-34.0-20.507-98. </w:t>
      </w:r>
    </w:p>
    <w:p>
      <w:pPr>
        <w:pStyle w:val="Normal"/>
        <w:ind w:firstLine="709"/>
        <w:jc w:val="both"/>
        <w:rPr>
          <w:rFonts w:eastAsia="Calibri" w:cs="Calibri"/>
          <w:szCs w:val="22"/>
          <w:lang w:eastAsia="ru-RU"/>
        </w:rPr>
      </w:pPr>
      <w:r>
        <w:rPr/>
        <w:t xml:space="preserve">ТСО выполняет опрессовку тепловых сетей насосным оборудованием источника тепловой энергии. Для повышения качества опрессовки, гидравлические испытания трубопроводов проводятся на участках секционирования стационарными насосами опрессовочных узлов или передвижными опрессовочными помпами. </w:t>
      </w:r>
    </w:p>
    <w:p>
      <w:pPr>
        <w:pStyle w:val="Normal"/>
        <w:ind w:firstLine="709"/>
        <w:jc w:val="both"/>
        <w:rPr>
          <w:rFonts w:eastAsia="Calibri" w:cs="Calibri"/>
          <w:szCs w:val="22"/>
          <w:lang w:eastAsia="ru-RU"/>
        </w:rPr>
      </w:pPr>
      <w:r>
        <w:rPr/>
        <w:t xml:space="preserve">Температурные испытания на тепловых сетях не проводятся. </w:t>
      </w:r>
    </w:p>
    <w:p>
      <w:pPr>
        <w:pStyle w:val="Normal"/>
        <w:ind w:firstLine="709"/>
        <w:jc w:val="both"/>
        <w:rPr>
          <w:rFonts w:eastAsia="Calibri"/>
          <w:szCs w:val="22"/>
          <w:lang w:eastAsia="en-US"/>
        </w:rPr>
      </w:pPr>
      <w:r>
        <w:rPr/>
        <w:t>Ежегодный расчёт тепловых потерь осуществляется в соответствии с действующими методическими указаниями. Испытания тепловых сетей на тепловые потери не проводятся.</w:t>
      </w:r>
      <w:bookmarkStart w:id="646" w:name="_Toc160529907"/>
      <w:bookmarkStart w:id="647" w:name="_Toc181340374"/>
      <w:bookmarkStart w:id="648" w:name="_Toc535409502"/>
      <w:bookmarkStart w:id="649" w:name="_Hlk160709224"/>
      <w:bookmarkEnd w:id="648"/>
      <w:bookmarkEnd w:id="649"/>
    </w:p>
    <w:p>
      <w:pPr>
        <w:pStyle w:val="Normal"/>
        <w:ind w:firstLine="709"/>
        <w:jc w:val="both"/>
        <w:rPr>
          <w:rFonts w:eastAsia="Calibri"/>
          <w:szCs w:val="22"/>
          <w:lang w:eastAsia="en-US"/>
        </w:rPr>
      </w:pPr>
      <w:r>
        <w:rPr>
          <w:rFonts w:eastAsia="Calibri"/>
          <w:szCs w:val="22"/>
          <w:lang w:eastAsia="en-US"/>
        </w:rPr>
      </w:r>
    </w:p>
    <w:p>
      <w:pPr>
        <w:pStyle w:val="Normal"/>
        <w:ind w:firstLine="709"/>
        <w:jc w:val="both"/>
        <w:rPr>
          <w:rFonts w:eastAsia="Calibri Light" w:cs="Calibri Light"/>
          <w:b/>
          <w:b/>
          <w:lang w:eastAsia="en-US"/>
        </w:rPr>
      </w:pPr>
      <w:r>
        <w:rPr>
          <w:rFonts w:eastAsia="Calibri Light" w:cs="Calibri Light"/>
          <w:b/>
          <w:lang w:eastAsia="en-US"/>
        </w:rPr>
      </w:r>
    </w:p>
    <w:p>
      <w:pPr>
        <w:pStyle w:val="Normal"/>
        <w:ind w:firstLine="709"/>
        <w:jc w:val="both"/>
        <w:rPr>
          <w:rFonts w:eastAsia="Calibri Light" w:cs="Calibri Light"/>
          <w:b/>
          <w:b/>
          <w:lang w:eastAsia="en-US"/>
        </w:rPr>
      </w:pPr>
      <w:r>
        <w:rPr>
          <w:rFonts w:eastAsia="Calibri Light" w:cs="Calibri Light"/>
          <w:b/>
          <w:lang w:eastAsia="en-US"/>
        </w:rPr>
      </w:r>
    </w:p>
    <w:p>
      <w:pPr>
        <w:pStyle w:val="Normal"/>
        <w:ind w:firstLine="709"/>
        <w:jc w:val="both"/>
        <w:rPr>
          <w:rFonts w:eastAsia="Calibri Light" w:cs="Calibri Light"/>
          <w:b/>
          <w:b/>
          <w:lang w:eastAsia="en-US"/>
        </w:rPr>
      </w:pPr>
      <w:r>
        <w:rPr>
          <w:rFonts w:eastAsia="Calibri Light" w:cs="Calibri Light"/>
          <w:b/>
          <w:lang w:eastAsia="en-US"/>
        </w:rPr>
      </w:r>
    </w:p>
    <w:p>
      <w:pPr>
        <w:pStyle w:val="Normal"/>
        <w:ind w:firstLine="709"/>
        <w:jc w:val="both"/>
        <w:rPr>
          <w:rFonts w:eastAsia="Calibri"/>
          <w:szCs w:val="22"/>
          <w:lang w:eastAsia="en-US"/>
        </w:rPr>
      </w:pPr>
      <w:r>
        <w:rPr>
          <w:rFonts w:eastAsia="Calibri Light" w:cs="Calibri Light"/>
          <w:b/>
          <w:lang w:eastAsia="en-US"/>
        </w:rPr>
        <w:t xml:space="preserve">1.3.13. </w:t>
      </w:r>
      <w:r>
        <w:rPr>
          <w:b/>
        </w:rPr>
        <w:t>Описание нормативов технологических потерь при передаче тепловой энергии (мощности) и теплоносителя, включаемых в расчет отпущенных тепловой энергии (мощности) и теплоносителя в случаях, установленных пунктом 6 части 2 статьи 4 и пунктом 2 части 2 статьи 5 Федерального закона «О теплоснабжении»                      (в ценовых зонах теплоснабжения – также плановых потерь, определяемых                            в соответствии с методическими указаниями по разработке схем теплоснабжения)</w:t>
      </w:r>
    </w:p>
    <w:p>
      <w:pPr>
        <w:pStyle w:val="Normal"/>
        <w:keepNext w:val="true"/>
        <w:keepLines/>
        <w:numPr>
          <w:ilvl w:val="0"/>
          <w:numId w:val="0"/>
        </w:numPr>
        <w:ind w:left="0" w:firstLine="709"/>
        <w:jc w:val="both"/>
        <w:outlineLvl w:val="2"/>
        <w:rPr>
          <w:rFonts w:eastAsia="Calibri" w:cs="Calibri"/>
          <w:szCs w:val="22"/>
          <w:lang w:eastAsia="ru-RU"/>
        </w:rPr>
      </w:pPr>
      <w:r>
        <w:rPr/>
        <w:t>Расчет нормативов технологических потерь при передаче тепловой энергии производится в соответствии с приказом Минэнерго России от 30.12.2008 № 325                «Об утверждении порядка определения нормативов технологических потерь при передаче тепловой энергии, теплоносителя».</w:t>
      </w:r>
    </w:p>
    <w:p>
      <w:pPr>
        <w:pStyle w:val="Normal"/>
        <w:keepNext w:val="true"/>
        <w:keepLines/>
        <w:numPr>
          <w:ilvl w:val="0"/>
          <w:numId w:val="0"/>
        </w:numPr>
        <w:ind w:left="0" w:firstLine="709"/>
        <w:jc w:val="both"/>
        <w:outlineLvl w:val="2"/>
        <w:rPr>
          <w:rFonts w:eastAsia="Calibri Light" w:cs="Calibri Light"/>
          <w:b/>
          <w:b/>
          <w:lang w:eastAsia="en-US"/>
        </w:rPr>
      </w:pPr>
      <w:r>
        <w:rPr>
          <w:color w:val="000000"/>
        </w:rPr>
        <w:t>Расчет реальных тепловых потерь в тепловых сетях от источника теплоснабжения производится в соответствии с п</w:t>
      </w:r>
      <w:hyperlink r:id="rId44">
        <w:r>
          <w:rPr>
            <w:color w:val="000000"/>
          </w:rPr>
          <w:t>риказ</w:t>
        </w:r>
      </w:hyperlink>
      <w:r>
        <w:rPr>
          <w:color w:val="000000"/>
        </w:rPr>
        <w:t xml:space="preserve">ом </w:t>
      </w:r>
      <w:r>
        <w:rPr/>
        <w:t>Минстроя России от 17.03.2014 № 99/пр                        «Об утверждении Методики осуществления коммерческого учета тепловой энергии, теплоносителя».</w:t>
      </w:r>
      <w:bookmarkEnd w:id="646"/>
      <w:bookmarkEnd w:id="647"/>
    </w:p>
    <w:p>
      <w:pPr>
        <w:pStyle w:val="Normal"/>
        <w:keepNext w:val="true"/>
        <w:keepLines/>
        <w:numPr>
          <w:ilvl w:val="0"/>
          <w:numId w:val="0"/>
        </w:numPr>
        <w:ind w:left="0" w:firstLine="709"/>
        <w:jc w:val="both"/>
        <w:outlineLvl w:val="2"/>
        <w:rPr>
          <w:rFonts w:eastAsia="Calibri Light" w:cs="Calibri Light"/>
          <w:b/>
          <w:b/>
          <w:lang w:eastAsia="en-US"/>
        </w:rPr>
      </w:pPr>
      <w:r>
        <w:rPr>
          <w:lang w:eastAsia="ru-RU"/>
        </w:rPr>
        <w:t>Плановый объем технологических потерь при передаче тепловой энергии включаемый в расчет отпущенной тепловой энергии составляет 1,31 тыс. Гкал в год.</w:t>
      </w:r>
    </w:p>
    <w:p>
      <w:pPr>
        <w:pStyle w:val="Normal"/>
        <w:keepNext w:val="true"/>
        <w:keepLines/>
        <w:numPr>
          <w:ilvl w:val="0"/>
          <w:numId w:val="0"/>
        </w:numPr>
        <w:ind w:left="0" w:hanging="0"/>
        <w:jc w:val="both"/>
        <w:outlineLvl w:val="2"/>
        <w:rPr>
          <w:rFonts w:eastAsia="Calibri Light" w:cs="Calibri Light"/>
          <w:b/>
          <w:b/>
          <w:lang w:eastAsia="en-US"/>
        </w:rPr>
      </w:pPr>
      <w:r>
        <w:rPr>
          <w:rFonts w:eastAsia="Calibri Light" w:cs="Calibri Light"/>
          <w:b/>
          <w:lang w:eastAsia="en-US"/>
        </w:rPr>
      </w:r>
      <w:bookmarkStart w:id="650" w:name="sub_13113"/>
      <w:bookmarkStart w:id="651" w:name="sub_13113"/>
      <w:bookmarkEnd w:id="651"/>
    </w:p>
    <w:p>
      <w:pPr>
        <w:pStyle w:val="Normal"/>
        <w:keepNext w:val="true"/>
        <w:keepLines/>
        <w:numPr>
          <w:ilvl w:val="0"/>
          <w:numId w:val="0"/>
        </w:numPr>
        <w:ind w:left="0" w:firstLine="709"/>
        <w:jc w:val="both"/>
        <w:outlineLvl w:val="2"/>
        <w:rPr>
          <w:b/>
          <w:b/>
        </w:rPr>
      </w:pPr>
      <w:r>
        <w:rPr>
          <w:b/>
        </w:rPr>
        <w:t>1.3.14. Оценка фактических потерь тепловой энергии и теплоносителя при передаче тепловой энергии и теплоносителя по тепловым сетям за последние 3 года</w:t>
      </w:r>
    </w:p>
    <w:p>
      <w:pPr>
        <w:pStyle w:val="Normal"/>
        <w:keepNext w:val="true"/>
        <w:keepLines/>
        <w:numPr>
          <w:ilvl w:val="0"/>
          <w:numId w:val="0"/>
        </w:numPr>
        <w:ind w:left="0" w:firstLine="709"/>
        <w:jc w:val="both"/>
        <w:outlineLvl w:val="2"/>
        <w:rPr>
          <w:rFonts w:eastAsia="Calibri Light" w:cs="Calibri Light"/>
          <w:b/>
          <w:b/>
          <w:lang w:eastAsia="en-US"/>
        </w:rPr>
      </w:pPr>
      <w:bookmarkStart w:id="652" w:name="_Toc160529908"/>
      <w:bookmarkStart w:id="653" w:name="_Toc181340375"/>
      <w:r>
        <w:rPr/>
        <w:t>Сведения о фактических потерях тепловой энергии и теплоносителя при передаче тепловой энергии и теплоносителя по тепловым сетям представлены в таблице 9.</w:t>
      </w:r>
      <w:bookmarkEnd w:id="652"/>
      <w:bookmarkEnd w:id="653"/>
    </w:p>
    <w:p>
      <w:pPr>
        <w:pStyle w:val="Normal"/>
        <w:ind w:firstLine="709"/>
        <w:jc w:val="right"/>
        <w:rPr>
          <w:rFonts w:eastAsia="Calibri" w:cs="Calibri"/>
          <w:szCs w:val="22"/>
          <w:lang w:eastAsia="ru-RU"/>
        </w:rPr>
      </w:pPr>
      <w:r>
        <w:rPr/>
        <w:t xml:space="preserve">Таблица </w:t>
      </w:r>
      <w:r>
        <w:rPr>
          <w:rFonts w:eastAsia="Times New Roman" w:cs="Times New Roman"/>
          <w:b/>
          <w:sz w:val="24"/>
          <w:lang w:bidi="ar-SA"/>
        </w:rPr>
        <w:t>9</w:t>
      </w:r>
      <w:r>
        <w:rPr/>
        <w:t xml:space="preserve"> –</w:t>
      </w:r>
      <w:r>
        <w:rPr>
          <w:color w:val="C00000"/>
        </w:rPr>
        <w:t xml:space="preserve"> </w:t>
      </w:r>
      <w:r>
        <w:rPr/>
        <w:t>Сведения о фактических потерях тепловой энергии и теплоносителя при передаче тепловой энергии и теплоносителя по тепловым сетям</w:t>
      </w:r>
    </w:p>
    <w:tbl>
      <w:tblPr>
        <w:tblW w:w="4850" w:type="pct"/>
        <w:jc w:val="left"/>
        <w:tblInd w:w="108" w:type="dxa"/>
        <w:tblCellMar>
          <w:top w:w="0" w:type="dxa"/>
          <w:left w:w="108" w:type="dxa"/>
          <w:bottom w:w="0" w:type="dxa"/>
          <w:right w:w="108" w:type="dxa"/>
        </w:tblCellMar>
        <w:tblLook w:val="04a0" w:noVBand="1" w:noHBand="0" w:lastColumn="0" w:firstColumn="1" w:lastRow="0" w:firstRow="1"/>
      </w:tblPr>
      <w:tblGrid>
        <w:gridCol w:w="1026"/>
        <w:gridCol w:w="4127"/>
        <w:gridCol w:w="2258"/>
        <w:gridCol w:w="1936"/>
      </w:tblGrid>
      <w:tr>
        <w:trPr>
          <w:tblHeader w:val="true"/>
          <w:trHeight w:val="20" w:hRule="atLeast"/>
        </w:trPr>
        <w:tc>
          <w:tcPr>
            <w:tcW w:w="10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xml:space="preserve">№ </w:t>
            </w:r>
            <w:r>
              <w:rPr>
                <w:sz w:val="20"/>
                <w:szCs w:val="20"/>
                <w:lang w:eastAsia="ru-RU"/>
              </w:rPr>
              <w:t>п/п</w:t>
            </w:r>
          </w:p>
        </w:tc>
        <w:tc>
          <w:tcPr>
            <w:tcW w:w="412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Наименование котельной</w:t>
            </w:r>
          </w:p>
        </w:tc>
        <w:tc>
          <w:tcPr>
            <w:tcW w:w="22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Отпуск тепловой энергии, Гкал/год</w:t>
            </w:r>
          </w:p>
        </w:tc>
        <w:tc>
          <w:tcPr>
            <w:tcW w:w="193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Потери, Гкал/год</w:t>
            </w:r>
          </w:p>
        </w:tc>
      </w:tr>
      <w:tr>
        <w:trPr>
          <w:trHeight w:val="20" w:hRule="atLeast"/>
        </w:trPr>
        <w:tc>
          <w:tcPr>
            <w:tcW w:w="9347"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городское поселение Октябрьское</w:t>
            </w:r>
          </w:p>
        </w:tc>
      </w:tr>
      <w:tr>
        <w:trPr>
          <w:trHeight w:val="20" w:hRule="atLeast"/>
        </w:trPr>
        <w:tc>
          <w:tcPr>
            <w:tcW w:w="10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w:t>
            </w:r>
          </w:p>
        </w:tc>
        <w:tc>
          <w:tcPr>
            <w:tcW w:w="412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котельная № 1, пгт.Октябрьское,</w:t>
            </w:r>
          </w:p>
          <w:p>
            <w:pPr>
              <w:pStyle w:val="Normal"/>
              <w:jc w:val="center"/>
              <w:rPr>
                <w:sz w:val="20"/>
                <w:szCs w:val="20"/>
                <w:lang w:eastAsia="ru-RU"/>
              </w:rPr>
            </w:pPr>
            <w:r>
              <w:rPr>
                <w:sz w:val="20"/>
                <w:szCs w:val="20"/>
                <w:lang w:eastAsia="ru-RU"/>
              </w:rPr>
              <w:t xml:space="preserve"> </w:t>
            </w:r>
            <w:r>
              <w:rPr>
                <w:sz w:val="20"/>
                <w:szCs w:val="20"/>
                <w:lang w:eastAsia="ru-RU"/>
              </w:rPr>
              <w:t>ул.Сенькина, 46б</w:t>
            </w:r>
          </w:p>
        </w:tc>
        <w:tc>
          <w:tcPr>
            <w:tcW w:w="2258"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6994,3</w:t>
            </w:r>
          </w:p>
        </w:tc>
        <w:tc>
          <w:tcPr>
            <w:tcW w:w="1936"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234,0</w:t>
            </w:r>
          </w:p>
        </w:tc>
      </w:tr>
      <w:tr>
        <w:trPr>
          <w:trHeight w:val="20" w:hRule="atLeast"/>
        </w:trPr>
        <w:tc>
          <w:tcPr>
            <w:tcW w:w="10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2</w:t>
            </w:r>
          </w:p>
        </w:tc>
        <w:tc>
          <w:tcPr>
            <w:tcW w:w="412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xml:space="preserve">котельная № 2, пгт.Октябрьское, </w:t>
            </w:r>
          </w:p>
          <w:p>
            <w:pPr>
              <w:pStyle w:val="Normal"/>
              <w:jc w:val="center"/>
              <w:rPr>
                <w:sz w:val="20"/>
                <w:szCs w:val="20"/>
                <w:lang w:eastAsia="ru-RU"/>
              </w:rPr>
            </w:pPr>
            <w:r>
              <w:rPr>
                <w:sz w:val="20"/>
                <w:szCs w:val="20"/>
                <w:lang w:eastAsia="ru-RU"/>
              </w:rPr>
              <w:t>ул.Пионерская, 17б</w:t>
            </w:r>
          </w:p>
        </w:tc>
        <w:tc>
          <w:tcPr>
            <w:tcW w:w="2258"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4710,3</w:t>
            </w:r>
          </w:p>
        </w:tc>
        <w:tc>
          <w:tcPr>
            <w:tcW w:w="1936"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157,6</w:t>
            </w:r>
          </w:p>
        </w:tc>
      </w:tr>
      <w:tr>
        <w:trPr>
          <w:trHeight w:val="20" w:hRule="atLeast"/>
        </w:trPr>
        <w:tc>
          <w:tcPr>
            <w:tcW w:w="10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3</w:t>
            </w:r>
          </w:p>
        </w:tc>
        <w:tc>
          <w:tcPr>
            <w:tcW w:w="412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xml:space="preserve">котельная № 3, пгт.Октябрьское, </w:t>
            </w:r>
          </w:p>
          <w:p>
            <w:pPr>
              <w:pStyle w:val="Normal"/>
              <w:jc w:val="center"/>
              <w:rPr>
                <w:sz w:val="20"/>
                <w:szCs w:val="20"/>
                <w:lang w:eastAsia="ru-RU"/>
              </w:rPr>
            </w:pPr>
            <w:r>
              <w:rPr>
                <w:sz w:val="20"/>
                <w:szCs w:val="20"/>
                <w:lang w:eastAsia="ru-RU"/>
              </w:rPr>
              <w:t>ул.Чапаева, 6б</w:t>
            </w:r>
          </w:p>
        </w:tc>
        <w:tc>
          <w:tcPr>
            <w:tcW w:w="2258"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4358,9</w:t>
            </w:r>
          </w:p>
        </w:tc>
        <w:tc>
          <w:tcPr>
            <w:tcW w:w="1936"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145,9</w:t>
            </w:r>
          </w:p>
        </w:tc>
      </w:tr>
      <w:tr>
        <w:trPr>
          <w:trHeight w:val="20" w:hRule="atLeast"/>
        </w:trPr>
        <w:tc>
          <w:tcPr>
            <w:tcW w:w="10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4</w:t>
            </w:r>
          </w:p>
        </w:tc>
        <w:tc>
          <w:tcPr>
            <w:tcW w:w="412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xml:space="preserve">котельная № 6, пгт.Октябрьское, </w:t>
            </w:r>
          </w:p>
          <w:p>
            <w:pPr>
              <w:pStyle w:val="Normal"/>
              <w:jc w:val="center"/>
              <w:rPr>
                <w:sz w:val="20"/>
                <w:szCs w:val="20"/>
                <w:lang w:eastAsia="ru-RU"/>
              </w:rPr>
            </w:pPr>
            <w:r>
              <w:rPr>
                <w:sz w:val="20"/>
                <w:szCs w:val="20"/>
                <w:lang w:eastAsia="ru-RU"/>
              </w:rPr>
              <w:t>ул. Дзержинского, 2б</w:t>
            </w:r>
          </w:p>
        </w:tc>
        <w:tc>
          <w:tcPr>
            <w:tcW w:w="2258"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2727,4</w:t>
            </w:r>
          </w:p>
        </w:tc>
        <w:tc>
          <w:tcPr>
            <w:tcW w:w="1936"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91,3</w:t>
            </w:r>
          </w:p>
        </w:tc>
      </w:tr>
      <w:tr>
        <w:trPr>
          <w:trHeight w:val="20" w:hRule="atLeast"/>
        </w:trPr>
        <w:tc>
          <w:tcPr>
            <w:tcW w:w="10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5</w:t>
            </w:r>
          </w:p>
        </w:tc>
        <w:tc>
          <w:tcPr>
            <w:tcW w:w="412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xml:space="preserve">котельная № 7, пгт.Октябрьское, </w:t>
            </w:r>
          </w:p>
          <w:p>
            <w:pPr>
              <w:pStyle w:val="Normal"/>
              <w:jc w:val="center"/>
              <w:rPr>
                <w:sz w:val="20"/>
                <w:szCs w:val="20"/>
                <w:lang w:eastAsia="ru-RU"/>
              </w:rPr>
            </w:pPr>
            <w:r>
              <w:rPr>
                <w:sz w:val="20"/>
                <w:szCs w:val="20"/>
                <w:lang w:eastAsia="ru-RU"/>
              </w:rPr>
              <w:t>ул.Медицинская, 3Б</w:t>
            </w:r>
          </w:p>
        </w:tc>
        <w:tc>
          <w:tcPr>
            <w:tcW w:w="2258"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3320,2</w:t>
            </w:r>
          </w:p>
        </w:tc>
        <w:tc>
          <w:tcPr>
            <w:tcW w:w="1936"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111,1</w:t>
            </w:r>
          </w:p>
        </w:tc>
      </w:tr>
      <w:tr>
        <w:trPr>
          <w:trHeight w:val="20" w:hRule="atLeast"/>
        </w:trPr>
        <w:tc>
          <w:tcPr>
            <w:tcW w:w="10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6</w:t>
            </w:r>
          </w:p>
        </w:tc>
        <w:tc>
          <w:tcPr>
            <w:tcW w:w="412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xml:space="preserve">котельная № 12, пгт.Октябрьское, </w:t>
            </w:r>
          </w:p>
          <w:p>
            <w:pPr>
              <w:pStyle w:val="Normal"/>
              <w:jc w:val="center"/>
              <w:rPr>
                <w:sz w:val="20"/>
                <w:szCs w:val="20"/>
                <w:lang w:eastAsia="ru-RU"/>
              </w:rPr>
            </w:pPr>
            <w:r>
              <w:rPr>
                <w:sz w:val="20"/>
                <w:szCs w:val="20"/>
                <w:lang w:eastAsia="ru-RU"/>
              </w:rPr>
              <w:t>ул.Медицинская, 3к</w:t>
            </w:r>
          </w:p>
        </w:tc>
        <w:tc>
          <w:tcPr>
            <w:tcW w:w="2258"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1363,8</w:t>
            </w:r>
          </w:p>
        </w:tc>
        <w:tc>
          <w:tcPr>
            <w:tcW w:w="1936"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45,6</w:t>
            </w:r>
          </w:p>
        </w:tc>
      </w:tr>
      <w:tr>
        <w:trPr>
          <w:trHeight w:val="20" w:hRule="atLeast"/>
        </w:trPr>
        <w:tc>
          <w:tcPr>
            <w:tcW w:w="10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7</w:t>
            </w:r>
          </w:p>
        </w:tc>
        <w:tc>
          <w:tcPr>
            <w:tcW w:w="412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xml:space="preserve">котельная № 8, пгт.Октябрьское, </w:t>
            </w:r>
          </w:p>
          <w:p>
            <w:pPr>
              <w:pStyle w:val="Normal"/>
              <w:jc w:val="center"/>
              <w:rPr>
                <w:sz w:val="20"/>
                <w:szCs w:val="20"/>
                <w:lang w:eastAsia="ru-RU"/>
              </w:rPr>
            </w:pPr>
            <w:r>
              <w:rPr>
                <w:sz w:val="20"/>
                <w:szCs w:val="20"/>
                <w:lang w:eastAsia="ru-RU"/>
              </w:rPr>
              <w:t>ул.50 лет Победы, 38А</w:t>
            </w:r>
          </w:p>
        </w:tc>
        <w:tc>
          <w:tcPr>
            <w:tcW w:w="2258"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133,9</w:t>
            </w:r>
          </w:p>
        </w:tc>
        <w:tc>
          <w:tcPr>
            <w:tcW w:w="1936"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4,5</w:t>
            </w:r>
          </w:p>
        </w:tc>
      </w:tr>
    </w:tbl>
    <w:p>
      <w:pPr>
        <w:pStyle w:val="Normal"/>
        <w:keepNext w:val="true"/>
        <w:keepLines/>
        <w:numPr>
          <w:ilvl w:val="0"/>
          <w:numId w:val="0"/>
        </w:numPr>
        <w:ind w:left="0" w:firstLine="709"/>
        <w:jc w:val="both"/>
        <w:outlineLvl w:val="2"/>
        <w:rPr>
          <w:rFonts w:eastAsia="Calibri Light" w:cs="Calibri Light"/>
          <w:b/>
          <w:b/>
          <w:lang w:eastAsia="en-US"/>
        </w:rPr>
      </w:pPr>
      <w:bookmarkStart w:id="654" w:name="_Toc160529909"/>
      <w:bookmarkStart w:id="655" w:name="_Toc181340376"/>
      <w:bookmarkStart w:id="656" w:name="sub_13115"/>
      <w:bookmarkStart w:id="657" w:name="_Toc535409504"/>
      <w:bookmarkEnd w:id="656"/>
      <w:bookmarkEnd w:id="657"/>
      <w:r>
        <w:rPr>
          <w:rFonts w:eastAsia="Calibri Light" w:cs="Calibri Light"/>
          <w:b/>
          <w:lang w:eastAsia="en-US"/>
        </w:rPr>
        <w:t>1.3.15. Предписания надзорных органов по запрещению дальнейшей эксплуатации участков тепловой сети и результаты их исполнения</w:t>
      </w:r>
      <w:bookmarkEnd w:id="654"/>
      <w:bookmarkEnd w:id="655"/>
    </w:p>
    <w:p>
      <w:pPr>
        <w:pStyle w:val="Normal"/>
        <w:keepNext w:val="true"/>
        <w:keepLines/>
        <w:numPr>
          <w:ilvl w:val="0"/>
          <w:numId w:val="0"/>
        </w:numPr>
        <w:ind w:left="0" w:firstLine="709"/>
        <w:jc w:val="both"/>
        <w:outlineLvl w:val="2"/>
        <w:rPr>
          <w:rFonts w:eastAsia="Calibri Light" w:cs="Calibri Light"/>
          <w:b/>
          <w:b/>
          <w:lang w:eastAsia="en-US"/>
        </w:rPr>
      </w:pPr>
      <w:r>
        <w:rPr>
          <w:rFonts w:eastAsia="Calibri" w:cs="Calibri"/>
          <w:szCs w:val="22"/>
          <w:lang w:eastAsia="en-US"/>
        </w:rPr>
        <w:t xml:space="preserve">Информация о предписаниях надзорных органов по запрещению дальнейшей эксплуатации участков тепловой сети отсутствует. </w:t>
      </w:r>
      <w:bookmarkStart w:id="658" w:name="_Toc181340377"/>
      <w:bookmarkStart w:id="659" w:name="_Toc160529910"/>
      <w:bookmarkStart w:id="660" w:name="_Toc535409505"/>
    </w:p>
    <w:p>
      <w:pPr>
        <w:pStyle w:val="Normal"/>
        <w:keepNext w:val="true"/>
        <w:keepLines/>
        <w:numPr>
          <w:ilvl w:val="0"/>
          <w:numId w:val="0"/>
        </w:numPr>
        <w:ind w:left="0" w:firstLine="709"/>
        <w:jc w:val="both"/>
        <w:outlineLvl w:val="2"/>
        <w:rPr>
          <w:rFonts w:eastAsia="Calibri Light" w:cs="Calibri Light"/>
          <w:b/>
          <w:b/>
          <w:lang w:eastAsia="en-US"/>
        </w:rPr>
      </w:pPr>
      <w:r>
        <w:rPr>
          <w:rFonts w:eastAsia="Calibri Light" w:cs="Calibri Light"/>
          <w:b/>
          <w:lang w:eastAsia="en-US"/>
        </w:rPr>
        <w:t>1.3.16. Описание наиболее распространенных типов присоединений теплопотребляющих установок потребителей к тепловым сетям, определяющих выбор и обоснование графика регулирования отпуска тепловой энергии потребителям</w:t>
      </w:r>
      <w:bookmarkStart w:id="661" w:name="_Hlk160645766"/>
      <w:bookmarkEnd w:id="658"/>
      <w:bookmarkEnd w:id="659"/>
      <w:bookmarkEnd w:id="660"/>
      <w:bookmarkEnd w:id="661"/>
    </w:p>
    <w:p>
      <w:pPr>
        <w:pStyle w:val="Normal"/>
        <w:keepNext w:val="true"/>
        <w:keepLines/>
        <w:numPr>
          <w:ilvl w:val="0"/>
          <w:numId w:val="0"/>
        </w:numPr>
        <w:ind w:left="0" w:firstLine="709"/>
        <w:jc w:val="both"/>
        <w:outlineLvl w:val="2"/>
        <w:rPr>
          <w:rFonts w:eastAsia="Calibri Light" w:cs="Calibri Light"/>
          <w:b/>
          <w:b/>
          <w:lang w:eastAsia="en-US"/>
        </w:rPr>
      </w:pPr>
      <w:r>
        <w:rPr>
          <w:rFonts w:eastAsia="Calibri" w:cs="Calibri"/>
          <w:szCs w:val="22"/>
          <w:lang w:eastAsia="en-US"/>
        </w:rPr>
        <w:t xml:space="preserve">Потребителями тепла в поселении являются здания для проживания населения (жилые и многоквартирные дома), общественные здания (социально-культурные и административные объекты) и объекты здравоохранения. </w:t>
      </w:r>
    </w:p>
    <w:p>
      <w:pPr>
        <w:pStyle w:val="Normal"/>
        <w:keepNext w:val="true"/>
        <w:keepLines/>
        <w:numPr>
          <w:ilvl w:val="0"/>
          <w:numId w:val="0"/>
        </w:numPr>
        <w:ind w:left="0" w:firstLine="709"/>
        <w:jc w:val="both"/>
        <w:outlineLvl w:val="2"/>
        <w:rPr>
          <w:rFonts w:eastAsia="Calibri Light" w:cs="Calibri Light"/>
          <w:b/>
          <w:b/>
          <w:lang w:eastAsia="en-US"/>
        </w:rPr>
      </w:pPr>
      <w:r>
        <w:rPr>
          <w:rFonts w:eastAsia="Calibri" w:cs="Calibri"/>
          <w:szCs w:val="22"/>
          <w:lang w:eastAsia="en-US"/>
        </w:rPr>
        <w:t xml:space="preserve">Системы отопления зданий поселения оборудованы приборами конвективно - излучающего действия различных типов. </w:t>
      </w:r>
    </w:p>
    <w:p>
      <w:pPr>
        <w:pStyle w:val="Normal"/>
        <w:keepNext w:val="true"/>
        <w:keepLines/>
        <w:numPr>
          <w:ilvl w:val="0"/>
          <w:numId w:val="0"/>
        </w:numPr>
        <w:ind w:left="0" w:firstLine="709"/>
        <w:jc w:val="both"/>
        <w:outlineLvl w:val="2"/>
        <w:rPr>
          <w:rFonts w:eastAsia="Calibri Light" w:cs="Calibri Light"/>
          <w:b/>
          <w:b/>
          <w:lang w:eastAsia="en-US"/>
        </w:rPr>
      </w:pPr>
      <w:r>
        <w:rPr>
          <w:rFonts w:eastAsia="Calibri" w:cs="Calibri"/>
          <w:szCs w:val="22"/>
          <w:lang w:eastAsia="en-US"/>
        </w:rPr>
        <w:t xml:space="preserve">Присоединение систем теплопотребления к тепловой сети первого контура выполнено по независимой схеме через водоводяные подогреватели. Для системы теплоснабжения поселения характерны следующие типы присоединения теплопотребляющих установок потребителей к тепловым сетям: </w:t>
      </w:r>
    </w:p>
    <w:p>
      <w:pPr>
        <w:pStyle w:val="Normal"/>
        <w:keepNext w:val="true"/>
        <w:keepLines/>
        <w:numPr>
          <w:ilvl w:val="0"/>
          <w:numId w:val="0"/>
        </w:numPr>
        <w:ind w:left="0" w:firstLine="709"/>
        <w:jc w:val="both"/>
        <w:outlineLvl w:val="2"/>
        <w:rPr>
          <w:rFonts w:eastAsia="Calibri" w:cs="Calibri"/>
          <w:szCs w:val="22"/>
          <w:lang w:eastAsia="en-US"/>
        </w:rPr>
      </w:pPr>
      <w:r>
        <w:rPr>
          <w:rFonts w:eastAsia="Calibri" w:cs="Calibri"/>
          <w:szCs w:val="22"/>
          <w:lang w:eastAsia="en-US"/>
        </w:rPr>
        <w:t>- ТП с непосредственным присоединением (при температурном графике отпуска тепла от источника в тепловые сети 95/70°С).</w:t>
      </w:r>
    </w:p>
    <w:p>
      <w:pPr>
        <w:pStyle w:val="Normal"/>
        <w:ind w:firstLine="709"/>
        <w:jc w:val="both"/>
        <w:rPr>
          <w:rFonts w:eastAsia="Calibri"/>
          <w:szCs w:val="22"/>
          <w:lang w:eastAsia="en-US"/>
        </w:rPr>
      </w:pPr>
      <w:r>
        <w:rPr>
          <w:rFonts w:eastAsia="Calibri"/>
          <w:szCs w:val="22"/>
          <w:lang w:eastAsia="en-US"/>
        </w:rPr>
      </w:r>
    </w:p>
    <w:p>
      <w:pPr>
        <w:pStyle w:val="Normal"/>
        <w:keepNext w:val="true"/>
        <w:keepLines/>
        <w:numPr>
          <w:ilvl w:val="0"/>
          <w:numId w:val="0"/>
        </w:numPr>
        <w:ind w:left="0" w:firstLine="709"/>
        <w:jc w:val="both"/>
        <w:outlineLvl w:val="2"/>
        <w:rPr>
          <w:rFonts w:eastAsia="Calibri Light" w:cs="Calibri Light"/>
          <w:b/>
          <w:b/>
          <w:lang w:eastAsia="en-US"/>
        </w:rPr>
      </w:pPr>
      <w:bookmarkStart w:id="662" w:name="_Toc181340378"/>
      <w:bookmarkStart w:id="663" w:name="_Toc160529911"/>
      <w:bookmarkStart w:id="664" w:name="_Toc535409506"/>
      <w:bookmarkStart w:id="665" w:name="sub_13117"/>
      <w:bookmarkStart w:id="666" w:name="_Hlk160645753"/>
      <w:bookmarkEnd w:id="664"/>
      <w:bookmarkEnd w:id="665"/>
      <w:bookmarkEnd w:id="666"/>
      <w:r>
        <w:rPr>
          <w:rFonts w:eastAsia="Calibri Light" w:cs="Calibri Light"/>
          <w:b/>
          <w:lang w:eastAsia="en-US"/>
        </w:rPr>
        <w:t>1.3.17. Сведения о наличии коммерческого приборного учета тепловой энергии, отпущенной из тепловых сетей потребителям, и анализ планов по установке приборов учета тепловой энергии и теплоносителя</w:t>
      </w:r>
      <w:bookmarkEnd w:id="662"/>
      <w:bookmarkEnd w:id="663"/>
    </w:p>
    <w:p>
      <w:pPr>
        <w:pStyle w:val="Normal"/>
        <w:keepNext w:val="true"/>
        <w:keepLines/>
        <w:numPr>
          <w:ilvl w:val="0"/>
          <w:numId w:val="0"/>
        </w:numPr>
        <w:ind w:left="0" w:firstLine="709"/>
        <w:jc w:val="both"/>
        <w:outlineLvl w:val="2"/>
        <w:rPr>
          <w:rFonts w:eastAsia="Calibri Light" w:cs="Calibri Light"/>
          <w:b/>
          <w:b/>
          <w:lang w:eastAsia="en-US"/>
        </w:rPr>
      </w:pPr>
      <w:r>
        <w:rPr>
          <w:rFonts w:eastAsia="Calibri" w:cs="Calibri"/>
          <w:szCs w:val="22"/>
          <w:lang w:eastAsia="en-US"/>
        </w:rPr>
        <w:t>В системе теплоснабжения поселения не организован в полном объеме коммерческий приборный учёт тепловой энергии, отпущенной из тепловых сетей потребителям. Планы по установке приборов учета тепловой энергии и теплоносителя отсутствуют.</w:t>
      </w:r>
    </w:p>
    <w:p>
      <w:pPr>
        <w:pStyle w:val="Normal"/>
        <w:keepNext w:val="true"/>
        <w:keepLines/>
        <w:numPr>
          <w:ilvl w:val="0"/>
          <w:numId w:val="0"/>
        </w:numPr>
        <w:ind w:left="0" w:firstLine="709"/>
        <w:jc w:val="both"/>
        <w:outlineLvl w:val="2"/>
        <w:rPr>
          <w:rFonts w:eastAsia="Calibri Light" w:cs="Calibri Light"/>
          <w:b/>
          <w:b/>
          <w:lang w:eastAsia="en-US"/>
        </w:rPr>
      </w:pPr>
      <w:r>
        <w:rPr>
          <w:lang w:eastAsia="en-US"/>
        </w:rPr>
        <w:t xml:space="preserve">Для потребителей, не оснащенных ОДПУ, количество отпущенной тепловой энергии на части теплопотребляющих установок определяется расчетным методом. </w:t>
      </w:r>
      <w:bookmarkStart w:id="667" w:name="_Toc535409507"/>
      <w:bookmarkStart w:id="668" w:name="_Toc160529912"/>
      <w:bookmarkStart w:id="669" w:name="_Toc181340379"/>
      <w:bookmarkEnd w:id="667"/>
      <w:bookmarkEnd w:id="668"/>
      <w:bookmarkEnd w:id="669"/>
    </w:p>
    <w:p>
      <w:pPr>
        <w:pStyle w:val="Normal"/>
        <w:keepNext w:val="true"/>
        <w:keepLines/>
        <w:numPr>
          <w:ilvl w:val="0"/>
          <w:numId w:val="0"/>
        </w:numPr>
        <w:ind w:left="0" w:firstLine="709"/>
        <w:jc w:val="both"/>
        <w:outlineLvl w:val="2"/>
        <w:rPr>
          <w:rFonts w:eastAsia="Calibri Light" w:cs="Calibri Light"/>
          <w:b/>
          <w:b/>
          <w:lang w:eastAsia="en-US"/>
        </w:rPr>
      </w:pPr>
      <w:r>
        <w:rPr>
          <w:rFonts w:eastAsia="Calibri Light" w:cs="Calibri Light"/>
          <w:b/>
          <w:lang w:eastAsia="en-US"/>
        </w:rPr>
        <w:t>1.3.18. Анализ работы диспетчерских служб теплоснабжающих (теплосетевых) организаций и используемых средств автоматизации, телемеханизации и связи</w:t>
      </w:r>
      <w:bookmarkStart w:id="670" w:name="_Toc5354095071"/>
      <w:bookmarkStart w:id="671" w:name="_Toc1605299121"/>
      <w:bookmarkStart w:id="672" w:name="_Toc1813403791"/>
      <w:bookmarkEnd w:id="670"/>
      <w:bookmarkEnd w:id="671"/>
      <w:bookmarkEnd w:id="672"/>
    </w:p>
    <w:p>
      <w:pPr>
        <w:pStyle w:val="Normal"/>
        <w:keepNext w:val="true"/>
        <w:keepLines/>
        <w:numPr>
          <w:ilvl w:val="0"/>
          <w:numId w:val="0"/>
        </w:numPr>
        <w:ind w:left="0" w:firstLine="709"/>
        <w:jc w:val="both"/>
        <w:outlineLvl w:val="2"/>
        <w:rPr>
          <w:rFonts w:eastAsia="Calibri Light" w:cs="Calibri Light"/>
          <w:b/>
          <w:b/>
          <w:lang w:eastAsia="en-US"/>
        </w:rPr>
      </w:pPr>
      <w:r>
        <w:rPr>
          <w:rFonts w:eastAsia="Calibri" w:cs="Calibri"/>
          <w:szCs w:val="22"/>
          <w:lang w:eastAsia="en-US"/>
        </w:rPr>
        <w:t>Основными целями диспетчерской службы являются контроль и предоставление оперативной информации, дистанционное регулирование параметров работы котельных, оперативное реагирование аварийной бригады на внештатные ситуации, как на котельных, так и на сетях путём проведения аварийно-восстановительных работ.</w:t>
      </w:r>
    </w:p>
    <w:p>
      <w:pPr>
        <w:pStyle w:val="Normal"/>
        <w:keepNext w:val="true"/>
        <w:keepLines/>
        <w:numPr>
          <w:ilvl w:val="0"/>
          <w:numId w:val="0"/>
        </w:numPr>
        <w:ind w:left="0" w:firstLine="709"/>
        <w:jc w:val="both"/>
        <w:outlineLvl w:val="2"/>
        <w:rPr>
          <w:rFonts w:eastAsia="Calibri Light" w:cs="Calibri Light"/>
          <w:b/>
          <w:b/>
          <w:lang w:eastAsia="en-US"/>
        </w:rPr>
      </w:pPr>
      <w:r>
        <w:rPr>
          <w:rFonts w:eastAsia="Calibri" w:cs="Calibri"/>
          <w:szCs w:val="22"/>
          <w:lang w:eastAsia="en-US"/>
        </w:rPr>
        <w:t xml:space="preserve">Диспетчер по телефону получает информацию о параметрах работы тепловой сети от оператора и дает команду для корректировки при необходимости. </w:t>
      </w:r>
    </w:p>
    <w:p>
      <w:pPr>
        <w:pStyle w:val="Normal"/>
        <w:keepNext w:val="true"/>
        <w:keepLines/>
        <w:numPr>
          <w:ilvl w:val="0"/>
          <w:numId w:val="0"/>
        </w:numPr>
        <w:ind w:left="0" w:firstLine="709"/>
        <w:jc w:val="both"/>
        <w:outlineLvl w:val="2"/>
        <w:rPr>
          <w:rFonts w:eastAsia="Calibri Light" w:cs="Calibri Light"/>
          <w:b/>
          <w:b/>
          <w:lang w:eastAsia="en-US"/>
        </w:rPr>
      </w:pPr>
      <w:r>
        <w:rPr>
          <w:rFonts w:eastAsia="Calibri" w:cs="Calibri"/>
          <w:szCs w:val="22"/>
          <w:lang w:eastAsia="en-US"/>
        </w:rPr>
        <w:t xml:space="preserve">Средства автоматизации и телемеханизации отсутствуют. </w:t>
      </w:r>
      <w:bookmarkStart w:id="673" w:name="_Toc181340380"/>
      <w:bookmarkStart w:id="674" w:name="_Toc160529913"/>
      <w:bookmarkStart w:id="675" w:name="_Hlk160645781"/>
      <w:bookmarkStart w:id="676" w:name="sub_13119"/>
      <w:bookmarkStart w:id="677" w:name="_Toc535409508"/>
      <w:bookmarkEnd w:id="675"/>
      <w:bookmarkEnd w:id="676"/>
      <w:bookmarkEnd w:id="677"/>
    </w:p>
    <w:p>
      <w:pPr>
        <w:pStyle w:val="Normal"/>
        <w:keepNext w:val="true"/>
        <w:keepLines/>
        <w:numPr>
          <w:ilvl w:val="0"/>
          <w:numId w:val="0"/>
        </w:numPr>
        <w:ind w:left="0" w:firstLine="709"/>
        <w:jc w:val="both"/>
        <w:outlineLvl w:val="2"/>
        <w:rPr>
          <w:rFonts w:eastAsia="Calibri Light" w:cs="Calibri Light"/>
          <w:b/>
          <w:b/>
          <w:lang w:eastAsia="en-US"/>
        </w:rPr>
      </w:pPr>
      <w:r>
        <w:rPr>
          <w:rFonts w:eastAsia="Calibri Light" w:cs="Calibri Light"/>
          <w:b/>
          <w:lang w:eastAsia="en-US"/>
        </w:rPr>
        <w:t>1.3.19. Уровень автоматизации и обслуживания центральных тепловых пунктов, насосных станций</w:t>
      </w:r>
      <w:bookmarkEnd w:id="673"/>
      <w:bookmarkEnd w:id="674"/>
    </w:p>
    <w:p>
      <w:pPr>
        <w:pStyle w:val="Normal"/>
        <w:keepNext w:val="true"/>
        <w:keepLines/>
        <w:numPr>
          <w:ilvl w:val="0"/>
          <w:numId w:val="0"/>
        </w:numPr>
        <w:ind w:left="0" w:firstLine="709"/>
        <w:jc w:val="both"/>
        <w:outlineLvl w:val="2"/>
        <w:rPr>
          <w:rFonts w:eastAsia="Calibri Light" w:cs="Calibri Light"/>
          <w:b/>
          <w:b/>
          <w:lang w:eastAsia="en-US"/>
        </w:rPr>
      </w:pPr>
      <w:r>
        <w:rPr>
          <w:rFonts w:eastAsia="Calibri" w:cs="Calibri"/>
          <w:szCs w:val="22"/>
          <w:lang w:eastAsia="en-US"/>
        </w:rPr>
        <w:t xml:space="preserve">Центральные тепловые пункты и насосные станции отсутствуют. </w:t>
      </w:r>
      <w:bookmarkStart w:id="678" w:name="_Toc535409509"/>
      <w:bookmarkStart w:id="679" w:name="_Toc181340381"/>
      <w:bookmarkStart w:id="680" w:name="_Toc160529914"/>
    </w:p>
    <w:p>
      <w:pPr>
        <w:pStyle w:val="Normal"/>
        <w:keepNext w:val="true"/>
        <w:keepLines/>
        <w:numPr>
          <w:ilvl w:val="0"/>
          <w:numId w:val="0"/>
        </w:numPr>
        <w:ind w:left="0" w:firstLine="709"/>
        <w:jc w:val="both"/>
        <w:outlineLvl w:val="2"/>
        <w:rPr>
          <w:rFonts w:eastAsia="Calibri Light" w:cs="Calibri Light"/>
          <w:b/>
          <w:b/>
          <w:lang w:eastAsia="en-US"/>
        </w:rPr>
      </w:pPr>
      <w:r>
        <w:rPr>
          <w:rFonts w:eastAsia="Calibri Light" w:cs="Calibri Light"/>
          <w:b/>
          <w:lang w:eastAsia="en-US"/>
        </w:rPr>
        <w:t>1.3.20. Сведения о наличии защиты тепловых сетей от превышения давления</w:t>
      </w:r>
      <w:bookmarkEnd w:id="678"/>
      <w:bookmarkEnd w:id="679"/>
      <w:bookmarkEnd w:id="680"/>
    </w:p>
    <w:p>
      <w:pPr>
        <w:pStyle w:val="Normal"/>
        <w:keepNext w:val="true"/>
        <w:keepLines/>
        <w:numPr>
          <w:ilvl w:val="0"/>
          <w:numId w:val="0"/>
        </w:numPr>
        <w:ind w:left="0" w:firstLine="709"/>
        <w:jc w:val="both"/>
        <w:outlineLvl w:val="2"/>
        <w:rPr>
          <w:rFonts w:eastAsia="Calibri Light" w:cs="Calibri Light"/>
          <w:b/>
          <w:b/>
          <w:lang w:eastAsia="en-US"/>
        </w:rPr>
      </w:pPr>
      <w:r>
        <w:rPr>
          <w:rFonts w:eastAsia="Calibri" w:cs="Calibri"/>
          <w:szCs w:val="22"/>
          <w:lang w:eastAsia="en-US"/>
        </w:rPr>
        <w:t>Защита тепловых сетей от превышения давления отсутствует.</w:t>
      </w:r>
      <w:bookmarkStart w:id="681" w:name="_Toc181340382"/>
      <w:bookmarkStart w:id="682" w:name="_Toc535409510"/>
      <w:bookmarkStart w:id="683" w:name="_Toc160529915"/>
      <w:bookmarkStart w:id="684" w:name="sub_13120"/>
      <w:bookmarkEnd w:id="684"/>
    </w:p>
    <w:p>
      <w:pPr>
        <w:pStyle w:val="Normal"/>
        <w:keepNext w:val="true"/>
        <w:keepLines/>
        <w:numPr>
          <w:ilvl w:val="0"/>
          <w:numId w:val="0"/>
        </w:numPr>
        <w:ind w:left="0" w:firstLine="709"/>
        <w:jc w:val="both"/>
        <w:outlineLvl w:val="2"/>
        <w:rPr>
          <w:rFonts w:eastAsia="Calibri Light" w:cs="Calibri Light"/>
          <w:b/>
          <w:b/>
          <w:lang w:eastAsia="en-US"/>
        </w:rPr>
      </w:pPr>
      <w:r>
        <w:rPr>
          <w:rFonts w:eastAsia="Calibri Light" w:cs="Calibri Light"/>
          <w:b/>
          <w:lang w:eastAsia="en-US"/>
        </w:rPr>
        <w:t>1.3.21. Перечень выявленных бесхозяйных тепловых сетей и обоснование выбора организации, уполномоченной на их эксплуатацию</w:t>
      </w:r>
      <w:bookmarkEnd w:id="681"/>
      <w:bookmarkEnd w:id="682"/>
      <w:bookmarkEnd w:id="683"/>
    </w:p>
    <w:p>
      <w:pPr>
        <w:pStyle w:val="Normal"/>
        <w:keepNext w:val="true"/>
        <w:keepLines/>
        <w:numPr>
          <w:ilvl w:val="0"/>
          <w:numId w:val="0"/>
        </w:numPr>
        <w:ind w:left="0" w:firstLine="709"/>
        <w:jc w:val="both"/>
        <w:outlineLvl w:val="2"/>
        <w:rPr>
          <w:rFonts w:eastAsia="Calibri Light" w:cs="Calibri Light"/>
          <w:b/>
          <w:b/>
          <w:lang w:eastAsia="en-US"/>
        </w:rPr>
      </w:pPr>
      <w:r>
        <w:rPr/>
        <w:t>Бесхозяйные тепловые сети на территории поселения отсутствуют.</w:t>
      </w:r>
      <w:bookmarkStart w:id="685" w:name="_Toc160529916"/>
      <w:bookmarkStart w:id="686" w:name="_Toc181340383"/>
      <w:bookmarkStart w:id="687" w:name="_Hlk160645799"/>
      <w:bookmarkStart w:id="688" w:name="_Toc535409511"/>
      <w:bookmarkEnd w:id="687"/>
      <w:bookmarkEnd w:id="688"/>
    </w:p>
    <w:p>
      <w:pPr>
        <w:pStyle w:val="Normal"/>
        <w:keepNext w:val="true"/>
        <w:keepLines/>
        <w:numPr>
          <w:ilvl w:val="0"/>
          <w:numId w:val="0"/>
        </w:numPr>
        <w:ind w:left="0" w:firstLine="709"/>
        <w:jc w:val="both"/>
        <w:outlineLvl w:val="2"/>
        <w:rPr>
          <w:rFonts w:eastAsia="Calibri Light" w:cs="Calibri Light"/>
          <w:b/>
          <w:b/>
          <w:lang w:eastAsia="en-US"/>
        </w:rPr>
      </w:pPr>
      <w:r>
        <w:rPr>
          <w:rFonts w:eastAsia="Calibri Light" w:cs="Calibri Light"/>
          <w:b/>
          <w:lang w:eastAsia="en-US"/>
        </w:rPr>
        <w:t>1.3.22. Данные энергетических характеристик тепловых сетей (при их наличии)</w:t>
      </w:r>
      <w:bookmarkEnd w:id="685"/>
      <w:bookmarkEnd w:id="686"/>
    </w:p>
    <w:p>
      <w:pPr>
        <w:pStyle w:val="Normal"/>
        <w:keepNext w:val="true"/>
        <w:keepLines/>
        <w:numPr>
          <w:ilvl w:val="0"/>
          <w:numId w:val="0"/>
        </w:numPr>
        <w:ind w:left="0" w:firstLine="709"/>
        <w:jc w:val="both"/>
        <w:outlineLvl w:val="2"/>
        <w:rPr>
          <w:rFonts w:eastAsia="Calibri Light" w:cs="Calibri Light"/>
          <w:b/>
          <w:b/>
          <w:lang w:eastAsia="en-US"/>
        </w:rPr>
      </w:pPr>
      <w:r>
        <w:rPr/>
        <w:t xml:space="preserve">Данные энергетических характеристик тепловых сетей представлены в таблице 10.  </w:t>
      </w:r>
    </w:p>
    <w:p>
      <w:pPr>
        <w:pStyle w:val="Normal"/>
        <w:ind w:firstLine="567"/>
        <w:jc w:val="both"/>
        <w:rPr>
          <w:rFonts w:eastAsia="Calibri"/>
          <w:szCs w:val="22"/>
          <w:lang w:eastAsia="en-US"/>
        </w:rPr>
      </w:pPr>
      <w:r>
        <w:rPr>
          <w:rFonts w:eastAsia="Calibri"/>
          <w:szCs w:val="22"/>
          <w:lang w:eastAsia="en-US"/>
        </w:rPr>
      </w:r>
    </w:p>
    <w:p>
      <w:pPr>
        <w:pStyle w:val="Normal"/>
        <w:ind w:firstLine="567"/>
        <w:jc w:val="both"/>
        <w:rPr>
          <w:rFonts w:eastAsia="Calibri"/>
          <w:szCs w:val="22"/>
          <w:lang w:eastAsia="en-US"/>
        </w:rPr>
      </w:pPr>
      <w:r>
        <w:rPr>
          <w:rFonts w:eastAsia="Calibri"/>
          <w:szCs w:val="22"/>
          <w:lang w:eastAsia="en-US"/>
        </w:rPr>
      </w:r>
    </w:p>
    <w:p>
      <w:pPr>
        <w:pStyle w:val="Normal"/>
        <w:ind w:firstLine="567"/>
        <w:jc w:val="both"/>
        <w:rPr>
          <w:rFonts w:eastAsia="Calibri"/>
          <w:szCs w:val="22"/>
          <w:lang w:eastAsia="en-US"/>
        </w:rPr>
      </w:pPr>
      <w:r>
        <w:rPr>
          <w:rFonts w:eastAsia="Calibri"/>
          <w:szCs w:val="22"/>
          <w:lang w:eastAsia="en-US"/>
        </w:rPr>
      </w:r>
    </w:p>
    <w:p>
      <w:pPr>
        <w:pStyle w:val="Normal"/>
        <w:ind w:firstLine="567"/>
        <w:jc w:val="both"/>
        <w:rPr>
          <w:rFonts w:eastAsia="Calibri"/>
          <w:szCs w:val="22"/>
          <w:lang w:eastAsia="en-US"/>
        </w:rPr>
      </w:pPr>
      <w:r>
        <w:rPr>
          <w:rFonts w:eastAsia="Calibri"/>
          <w:szCs w:val="22"/>
          <w:lang w:eastAsia="en-US"/>
        </w:rPr>
      </w:r>
    </w:p>
    <w:p>
      <w:pPr>
        <w:pStyle w:val="Normal"/>
        <w:ind w:firstLine="567"/>
        <w:jc w:val="both"/>
        <w:rPr>
          <w:rFonts w:eastAsia="Calibri"/>
          <w:szCs w:val="22"/>
          <w:lang w:eastAsia="en-US"/>
        </w:rPr>
      </w:pPr>
      <w:r>
        <w:rPr>
          <w:rFonts w:eastAsia="Calibri"/>
          <w:szCs w:val="22"/>
          <w:lang w:eastAsia="en-US"/>
        </w:rPr>
      </w:r>
    </w:p>
    <w:p>
      <w:pPr>
        <w:pStyle w:val="Normal"/>
        <w:ind w:firstLine="567"/>
        <w:jc w:val="both"/>
        <w:rPr>
          <w:rFonts w:eastAsia="Calibri"/>
          <w:szCs w:val="22"/>
          <w:lang w:eastAsia="en-US"/>
        </w:rPr>
      </w:pPr>
      <w:r>
        <w:rPr>
          <w:rFonts w:eastAsia="Calibri"/>
          <w:szCs w:val="22"/>
          <w:lang w:eastAsia="en-US"/>
        </w:rPr>
      </w:r>
    </w:p>
    <w:p>
      <w:pPr>
        <w:pStyle w:val="Normal"/>
        <w:ind w:firstLine="567"/>
        <w:jc w:val="both"/>
        <w:rPr>
          <w:rFonts w:eastAsia="Calibri"/>
          <w:szCs w:val="22"/>
          <w:lang w:eastAsia="en-US"/>
        </w:rPr>
      </w:pPr>
      <w:r>
        <w:rPr>
          <w:rFonts w:eastAsia="Calibri"/>
          <w:szCs w:val="22"/>
          <w:lang w:eastAsia="en-US"/>
        </w:rPr>
      </w:r>
    </w:p>
    <w:p>
      <w:pPr>
        <w:pStyle w:val="Normal"/>
        <w:jc w:val="right"/>
        <w:rPr>
          <w:rFonts w:eastAsia="Calibri" w:cs="Calibri"/>
          <w:szCs w:val="22"/>
          <w:lang w:eastAsia="en-US"/>
        </w:rPr>
      </w:pPr>
      <w:r>
        <w:rPr>
          <w:rFonts w:eastAsia="Calibri" w:cs="Calibri"/>
          <w:szCs w:val="22"/>
          <w:lang w:eastAsia="en-US"/>
        </w:rPr>
        <w:t xml:space="preserve">Таблица 10 – Эксплуатационные показатели тепловых сетей и сооружений </w:t>
      </w:r>
    </w:p>
    <w:p>
      <w:pPr>
        <w:pStyle w:val="Normal"/>
        <w:jc w:val="right"/>
        <w:rPr>
          <w:rFonts w:eastAsia="Calibri" w:cs="Calibri"/>
          <w:szCs w:val="22"/>
          <w:lang w:eastAsia="en-US"/>
        </w:rPr>
      </w:pPr>
      <w:r>
        <w:rPr>
          <w:rFonts w:eastAsia="Calibri" w:cs="Calibri"/>
          <w:szCs w:val="22"/>
          <w:lang w:eastAsia="en-US"/>
        </w:rPr>
        <w:t>на них отдельно по каждой СЦТ</w:t>
      </w:r>
    </w:p>
    <w:tbl>
      <w:tblPr>
        <w:tblW w:w="5000" w:type="pct"/>
        <w:jc w:val="left"/>
        <w:tblInd w:w="0" w:type="dxa"/>
        <w:tblCellMar>
          <w:top w:w="0" w:type="dxa"/>
          <w:left w:w="108" w:type="dxa"/>
          <w:bottom w:w="0" w:type="dxa"/>
          <w:right w:w="108" w:type="dxa"/>
        </w:tblCellMar>
        <w:tblLook w:val="04a0" w:noVBand="1" w:noHBand="0" w:lastColumn="0" w:firstColumn="1" w:lastRow="0" w:firstRow="1"/>
      </w:tblPr>
      <w:tblGrid>
        <w:gridCol w:w="418"/>
        <w:gridCol w:w="1331"/>
        <w:gridCol w:w="975"/>
        <w:gridCol w:w="1228"/>
        <w:gridCol w:w="1262"/>
        <w:gridCol w:w="811"/>
        <w:gridCol w:w="1026"/>
        <w:gridCol w:w="1261"/>
        <w:gridCol w:w="1325"/>
      </w:tblGrid>
      <w:tr>
        <w:trPr>
          <w:tblHeader w:val="true"/>
          <w:cantSplit w:val="true"/>
        </w:trPr>
        <w:tc>
          <w:tcPr>
            <w:tcW w:w="41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rPr>
            </w:pPr>
            <w:r>
              <w:rPr>
                <w:sz w:val="20"/>
              </w:rPr>
              <w:t xml:space="preserve">№ </w:t>
            </w:r>
            <w:r>
              <w:rPr>
                <w:sz w:val="20"/>
              </w:rPr>
              <w:t>п/п</w:t>
            </w:r>
          </w:p>
        </w:tc>
        <w:tc>
          <w:tcPr>
            <w:tcW w:w="13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rPr>
            </w:pPr>
            <w:r>
              <w:rPr>
                <w:sz w:val="20"/>
              </w:rPr>
              <w:t>Наименование котельной</w:t>
            </w:r>
          </w:p>
        </w:tc>
        <w:tc>
          <w:tcPr>
            <w:tcW w:w="97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rPr>
            </w:pPr>
            <w:r>
              <w:rPr>
                <w:sz w:val="20"/>
                <w:szCs w:val="20"/>
                <w:lang w:eastAsia="ru-RU"/>
              </w:rPr>
              <w:t>Назначение</w:t>
            </w:r>
          </w:p>
        </w:tc>
        <w:tc>
          <w:tcPr>
            <w:tcW w:w="12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rPr>
            </w:pPr>
            <w:r>
              <w:rPr>
                <w:sz w:val="20"/>
              </w:rPr>
              <w:t>Протяженность тепловой сети в двухтрубном исчислении, м</w:t>
            </w:r>
          </w:p>
        </w:tc>
        <w:tc>
          <w:tcPr>
            <w:tcW w:w="126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rPr>
            </w:pPr>
            <w:r>
              <w:rPr>
                <w:sz w:val="20"/>
              </w:rPr>
              <w:t>Материальная характеристика, кв. м</w:t>
            </w:r>
          </w:p>
        </w:tc>
        <w:tc>
          <w:tcPr>
            <w:tcW w:w="81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rPr>
            </w:pPr>
            <w:r>
              <w:rPr>
                <w:sz w:val="20"/>
              </w:rPr>
              <w:t>Потери тепловой энергии, Гкал</w:t>
            </w:r>
          </w:p>
        </w:tc>
        <w:tc>
          <w:tcPr>
            <w:tcW w:w="102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rPr>
            </w:pPr>
            <w:r>
              <w:rPr>
                <w:sz w:val="20"/>
              </w:rPr>
              <w:t>то же в % от отпуска тепловой энергии с коллекторов источника тепловой энергии</w:t>
            </w:r>
          </w:p>
        </w:tc>
        <w:tc>
          <w:tcPr>
            <w:tcW w:w="126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rPr>
            </w:pPr>
            <w:r>
              <w:rPr>
                <w:sz w:val="20"/>
              </w:rPr>
              <w:t xml:space="preserve">Температура теплоносителя в подающем трубопроводе принятая для проектирования тепловых сетей, </w:t>
            </w:r>
            <w:r>
              <w:rPr>
                <w:sz w:val="20"/>
                <w:vertAlign w:val="superscript"/>
              </w:rPr>
              <w:t>0</w:t>
            </w:r>
            <w:r>
              <w:rPr>
                <w:sz w:val="20"/>
              </w:rPr>
              <w:t>С</w:t>
            </w:r>
          </w:p>
        </w:tc>
        <w:tc>
          <w:tcPr>
            <w:tcW w:w="132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rPr>
            </w:pPr>
            <w:r>
              <w:rPr>
                <w:sz w:val="20"/>
              </w:rPr>
              <w:t xml:space="preserve">Разность температур теплоносителя в подающей и обратной тепломагистрали при расчетной температуре наружного воздуха, </w:t>
            </w:r>
            <w:r>
              <w:rPr>
                <w:sz w:val="20"/>
                <w:vertAlign w:val="superscript"/>
              </w:rPr>
              <w:t>0</w:t>
            </w:r>
            <w:r>
              <w:rPr>
                <w:sz w:val="20"/>
              </w:rPr>
              <w:t>С</w:t>
            </w:r>
          </w:p>
        </w:tc>
      </w:tr>
      <w:tr>
        <w:trPr>
          <w:cantSplit w:val="true"/>
        </w:trPr>
        <w:tc>
          <w:tcPr>
            <w:tcW w:w="9637" w:type="dxa"/>
            <w:gridSpan w:val="9"/>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rPr>
            </w:pPr>
            <w:r>
              <w:rPr>
                <w:sz w:val="20"/>
                <w:szCs w:val="20"/>
                <w:lang w:eastAsia="ru-RU"/>
              </w:rPr>
              <w:t>городское поселение Октябрьское</w:t>
            </w:r>
          </w:p>
        </w:tc>
      </w:tr>
      <w:tr>
        <w:trPr>
          <w:cantSplit w:val="true"/>
        </w:trPr>
        <w:tc>
          <w:tcPr>
            <w:tcW w:w="41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rPr>
            </w:pPr>
            <w:r>
              <w:rPr>
                <w:sz w:val="20"/>
                <w:szCs w:val="20"/>
                <w:lang w:eastAsia="ru-RU"/>
              </w:rPr>
              <w:t>1</w:t>
            </w:r>
          </w:p>
        </w:tc>
        <w:tc>
          <w:tcPr>
            <w:tcW w:w="13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rPr>
                <w:sz w:val="22"/>
              </w:rPr>
            </w:pPr>
            <w:r>
              <w:rPr>
                <w:sz w:val="20"/>
                <w:szCs w:val="20"/>
                <w:lang w:eastAsia="ru-RU"/>
              </w:rPr>
              <w:t>котельные пгт.Октябрьское, обслуживаемые МП МО Октябрьский район «ОКС</w:t>
            </w:r>
          </w:p>
        </w:tc>
        <w:tc>
          <w:tcPr>
            <w:tcW w:w="97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t>Отопление</w:t>
            </w:r>
          </w:p>
        </w:tc>
        <w:tc>
          <w:tcPr>
            <w:tcW w:w="12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lang w:eastAsia="ru-RU"/>
              </w:rPr>
              <w:t>27931</w:t>
            </w:r>
          </w:p>
        </w:tc>
        <w:tc>
          <w:tcPr>
            <w:tcW w:w="126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6033</w:t>
            </w:r>
          </w:p>
        </w:tc>
        <w:tc>
          <w:tcPr>
            <w:tcW w:w="81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rPr>
              <w:t>790</w:t>
            </w:r>
          </w:p>
        </w:tc>
        <w:tc>
          <w:tcPr>
            <w:tcW w:w="10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rPr>
              <w:t>3,3</w:t>
            </w:r>
          </w:p>
        </w:tc>
        <w:tc>
          <w:tcPr>
            <w:tcW w:w="126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95/70</w:t>
            </w:r>
          </w:p>
        </w:tc>
        <w:tc>
          <w:tcPr>
            <w:tcW w:w="132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25</w:t>
            </w:r>
            <w:bookmarkStart w:id="689" w:name="_Hlk160523514"/>
            <w:bookmarkEnd w:id="689"/>
          </w:p>
        </w:tc>
      </w:tr>
    </w:tbl>
    <w:p>
      <w:pPr>
        <w:pStyle w:val="Normal"/>
        <w:jc w:val="both"/>
        <w:rPr>
          <w:rFonts w:eastAsia="Calibri"/>
          <w:lang w:eastAsia="en-US"/>
        </w:rPr>
      </w:pPr>
      <w:r>
        <w:rPr>
          <w:rFonts w:eastAsia="Calibri"/>
          <w:lang w:eastAsia="en-US"/>
        </w:rPr>
      </w:r>
    </w:p>
    <w:p>
      <w:pPr>
        <w:pStyle w:val="Normal"/>
        <w:keepNext w:val="true"/>
        <w:keepLines/>
        <w:numPr>
          <w:ilvl w:val="0"/>
          <w:numId w:val="0"/>
        </w:numPr>
        <w:ind w:left="0" w:firstLine="709"/>
        <w:jc w:val="both"/>
        <w:outlineLvl w:val="2"/>
        <w:rPr>
          <w:rFonts w:eastAsia="Calibri Light" w:cs="Calibri Light"/>
          <w:b/>
          <w:b/>
          <w:lang w:eastAsia="en-US"/>
        </w:rPr>
      </w:pPr>
      <w:bookmarkStart w:id="690" w:name="_Toc160529917"/>
      <w:bookmarkStart w:id="691" w:name="_Toc181340384"/>
      <w:r>
        <w:rPr>
          <w:rFonts w:eastAsia="Calibri Light" w:cs="Calibri Light"/>
          <w:b/>
          <w:lang w:eastAsia="en-US"/>
        </w:rPr>
        <w:t>1.3.23. Описание изменений в характеристиках тепловых сетей и сооружений на них, зафиксированных за период, предшествующий актуализации схемы теплоснабжения</w:t>
      </w:r>
      <w:bookmarkEnd w:id="690"/>
      <w:bookmarkEnd w:id="691"/>
    </w:p>
    <w:p>
      <w:pPr>
        <w:sectPr>
          <w:headerReference w:type="default" r:id="rId45"/>
          <w:footerReference w:type="default" r:id="rId46"/>
          <w:type w:val="nextPage"/>
          <w:pgSz w:w="11906" w:h="16838"/>
          <w:pgMar w:left="1701" w:right="567" w:header="567" w:top="1134" w:footer="567" w:bottom="851" w:gutter="0"/>
          <w:pgNumType w:fmt="decimal"/>
          <w:formProt w:val="false"/>
          <w:textDirection w:val="lrTb"/>
          <w:docGrid w:type="default" w:linePitch="299" w:charSpace="0"/>
        </w:sectPr>
        <w:pStyle w:val="Normal"/>
        <w:ind w:firstLine="709"/>
        <w:jc w:val="both"/>
        <w:rPr>
          <w:rFonts w:eastAsia="Calibri"/>
          <w:szCs w:val="22"/>
          <w:lang w:eastAsia="en-US"/>
        </w:rPr>
      </w:pPr>
      <w:r>
        <w:rPr>
          <w:rFonts w:eastAsia="Calibri" w:cs="Calibri"/>
          <w:szCs w:val="22"/>
          <w:lang w:eastAsia="en-US"/>
        </w:rPr>
        <w:t>За период с момента утверждения ранее актуализированной Схемы теплоснабжения изменений в характеристиках тепловых сетей и сооружений на них не зафиксир</w:t>
      </w:r>
      <w:bookmarkStart w:id="692" w:name="_Hlk160645846"/>
      <w:bookmarkEnd w:id="692"/>
      <w:r>
        <w:rPr>
          <w:rFonts w:eastAsia="Calibri" w:cs="Calibri"/>
          <w:szCs w:val="22"/>
          <w:lang w:eastAsia="en-US"/>
        </w:rPr>
        <w:t>овано.</w:t>
      </w:r>
    </w:p>
    <w:p>
      <w:pPr>
        <w:pStyle w:val="Normal"/>
        <w:keepNext w:val="true"/>
        <w:keepLines/>
        <w:numPr>
          <w:ilvl w:val="0"/>
          <w:numId w:val="0"/>
        </w:numPr>
        <w:spacing w:before="0" w:after="120"/>
        <w:ind w:left="0" w:firstLine="709"/>
        <w:jc w:val="both"/>
        <w:outlineLvl w:val="1"/>
        <w:rPr>
          <w:rFonts w:eastAsia="Calibri Light" w:cs="Calibri Light"/>
          <w:b/>
          <w:b/>
          <w:szCs w:val="26"/>
          <w:lang w:eastAsia="en-US"/>
        </w:rPr>
      </w:pPr>
      <w:bookmarkStart w:id="693" w:name="_Toc181340385"/>
      <w:bookmarkStart w:id="694" w:name="_Toc160529918"/>
      <w:r>
        <w:rPr>
          <w:rFonts w:eastAsia="Calibri Light" w:cs="Calibri Light"/>
          <w:b/>
          <w:szCs w:val="26"/>
          <w:lang w:eastAsia="en-US"/>
        </w:rPr>
        <w:t>Часть 4 «Зоны действия источников тепловой энергии»</w:t>
      </w:r>
      <w:bookmarkEnd w:id="693"/>
      <w:bookmarkEnd w:id="694"/>
    </w:p>
    <w:p>
      <w:pPr>
        <w:pStyle w:val="Normal"/>
        <w:spacing w:before="240" w:after="240"/>
        <w:ind w:firstLine="709"/>
        <w:jc w:val="both"/>
        <w:rPr>
          <w:rFonts w:eastAsia="Calibri"/>
          <w:lang w:eastAsia="en-US"/>
        </w:rPr>
      </w:pPr>
      <w:bookmarkStart w:id="695" w:name="sub_166"/>
      <w:r>
        <w:rPr>
          <w:rFonts w:eastAsia="Calibri"/>
          <w:lang w:eastAsia="en-US"/>
        </w:rPr>
        <w:t xml:space="preserve">Зона действия источника тепловой энергии представлена на рисунке </w:t>
      </w:r>
      <w:bookmarkEnd w:id="695"/>
      <w:r>
        <w:rPr>
          <w:rFonts w:eastAsia="Calibri"/>
          <w:lang w:eastAsia="en-US"/>
        </w:rPr>
        <w:t>4.</w:t>
      </w:r>
      <w:bookmarkStart w:id="696" w:name="_Hlk160645873"/>
      <w:bookmarkEnd w:id="696"/>
    </w:p>
    <w:p>
      <w:pPr>
        <w:pStyle w:val="Normal"/>
        <w:spacing w:before="240" w:after="240"/>
        <w:jc w:val="both"/>
        <w:rPr>
          <w:lang w:eastAsia="ru-RU"/>
        </w:rPr>
      </w:pPr>
      <w:r>
        <w:rPr/>
        <w:drawing>
          <wp:inline distT="0" distB="0" distL="0" distR="0">
            <wp:extent cx="6120130" cy="3183890"/>
            <wp:effectExtent l="0" t="0" r="0" b="0"/>
            <wp:docPr id="6" name="Изображение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Изображение3" descr=""/>
                    <pic:cNvPicPr>
                      <a:picLocks noChangeAspect="1" noChangeArrowheads="1"/>
                    </pic:cNvPicPr>
                  </pic:nvPicPr>
                  <pic:blipFill>
                    <a:blip r:embed="rId47"/>
                    <a:stretch>
                      <a:fillRect/>
                    </a:stretch>
                  </pic:blipFill>
                  <pic:spPr bwMode="auto">
                    <a:xfrm>
                      <a:off x="0" y="0"/>
                      <a:ext cx="6120130" cy="3183890"/>
                    </a:xfrm>
                    <a:prstGeom prst="rect">
                      <a:avLst/>
                    </a:prstGeom>
                  </pic:spPr>
                </pic:pic>
              </a:graphicData>
            </a:graphic>
          </wp:inline>
        </w:drawing>
      </w:r>
    </w:p>
    <w:p>
      <w:pPr>
        <w:sectPr>
          <w:headerReference w:type="default" r:id="rId48"/>
          <w:footerReference w:type="default" r:id="rId49"/>
          <w:type w:val="nextPage"/>
          <w:pgSz w:w="11906" w:h="16838"/>
          <w:pgMar w:left="1701" w:right="567" w:header="567" w:top="1134" w:footer="567" w:bottom="1247" w:gutter="0"/>
          <w:pgNumType w:fmt="decimal"/>
          <w:formProt w:val="false"/>
          <w:textDirection w:val="lrTb"/>
          <w:docGrid w:type="default" w:linePitch="299" w:charSpace="0"/>
        </w:sectPr>
        <w:pStyle w:val="Normal"/>
        <w:spacing w:before="240" w:after="0"/>
        <w:jc w:val="both"/>
        <w:rPr>
          <w:rFonts w:eastAsia="Calibri"/>
          <w:bCs/>
          <w:lang w:eastAsia="en-US"/>
        </w:rPr>
      </w:pPr>
      <w:r>
        <w:rPr>
          <w:rFonts w:eastAsia="Calibri"/>
          <w:lang w:eastAsia="en-US"/>
        </w:rPr>
        <w:t>Рисун</w:t>
      </w:r>
      <w:bookmarkStart w:id="697" w:name="_Ref84583070"/>
      <w:bookmarkEnd w:id="697"/>
      <w:r>
        <w:rPr>
          <w:rFonts w:eastAsia="Calibri"/>
          <w:lang w:eastAsia="en-US"/>
        </w:rPr>
        <w:t xml:space="preserve">ок 4 – </w:t>
      </w:r>
      <w:r>
        <w:rPr>
          <w:rFonts w:eastAsia="Calibri"/>
          <w:bCs/>
          <w:lang w:eastAsia="en-US"/>
        </w:rPr>
        <w:t>Зоны действия источников централизованного теплоснабжения МП МО Октябрьский район «ОКС» на территории поселения</w:t>
      </w:r>
    </w:p>
    <w:p>
      <w:pPr>
        <w:pStyle w:val="Normal"/>
        <w:keepNext w:val="true"/>
        <w:keepLines/>
        <w:numPr>
          <w:ilvl w:val="0"/>
          <w:numId w:val="0"/>
        </w:numPr>
        <w:ind w:left="0" w:firstLine="709"/>
        <w:jc w:val="both"/>
        <w:outlineLvl w:val="1"/>
        <w:rPr>
          <w:rFonts w:eastAsia="Calibri Light" w:cs="Calibri Light"/>
          <w:b/>
          <w:b/>
          <w:szCs w:val="26"/>
          <w:lang w:eastAsia="en-US"/>
        </w:rPr>
      </w:pPr>
      <w:bookmarkStart w:id="698" w:name="_Toc181340386"/>
      <w:bookmarkStart w:id="699" w:name="_Toc160529919"/>
      <w:r>
        <w:rPr>
          <w:rFonts w:eastAsia="Calibri Light" w:cs="Calibri Light"/>
          <w:b/>
          <w:szCs w:val="26"/>
          <w:lang w:eastAsia="en-US"/>
        </w:rPr>
        <w:t>Часть 5 «Тепловые нагрузки потребителей тепловой энергии, групп потребителей тепловой энергии»</w:t>
      </w:r>
      <w:bookmarkStart w:id="700" w:name="_Toc160529920"/>
      <w:bookmarkStart w:id="701" w:name="_Toc535409514"/>
      <w:bookmarkStart w:id="702" w:name="_Toc181340387"/>
      <w:bookmarkEnd w:id="698"/>
      <w:bookmarkEnd w:id="699"/>
    </w:p>
    <w:p>
      <w:pPr>
        <w:pStyle w:val="Normal"/>
        <w:keepNext w:val="true"/>
        <w:keepLines/>
        <w:numPr>
          <w:ilvl w:val="0"/>
          <w:numId w:val="0"/>
        </w:numPr>
        <w:ind w:left="0" w:firstLine="709"/>
        <w:jc w:val="both"/>
        <w:outlineLvl w:val="1"/>
        <w:rPr>
          <w:rFonts w:eastAsia="Calibri Light" w:cs="Calibri Light"/>
          <w:b/>
          <w:b/>
          <w:szCs w:val="26"/>
          <w:lang w:eastAsia="en-US"/>
        </w:rPr>
      </w:pPr>
      <w:r>
        <w:rPr>
          <w:b/>
        </w:rPr>
        <w:t>1.5.1. Описание значений спроса на тепловую мощность в расчетных элементах территориального деления, в том числе значений тепловых нагрузок потребителей тепловой энергии, групп потребителей тепловой энергии</w:t>
      </w:r>
    </w:p>
    <w:p>
      <w:pPr>
        <w:pStyle w:val="Normal"/>
        <w:keepNext w:val="true"/>
        <w:keepLines/>
        <w:numPr>
          <w:ilvl w:val="0"/>
          <w:numId w:val="0"/>
        </w:numPr>
        <w:ind w:left="0" w:firstLine="709"/>
        <w:jc w:val="both"/>
        <w:outlineLvl w:val="1"/>
        <w:rPr>
          <w:rFonts w:eastAsia="Calibri"/>
          <w:b/>
          <w:b/>
          <w:lang w:eastAsia="en-US"/>
        </w:rPr>
      </w:pPr>
      <w:r>
        <w:rPr/>
        <w:t xml:space="preserve">МП МО Октябрьский район «ОКС» реализует тепловую энергию потребителям и является единственной теплоснабжающей организацией в поселении. </w:t>
      </w:r>
    </w:p>
    <w:p>
      <w:pPr>
        <w:pStyle w:val="Normal"/>
        <w:keepNext w:val="true"/>
        <w:keepLines/>
        <w:numPr>
          <w:ilvl w:val="0"/>
          <w:numId w:val="0"/>
        </w:numPr>
        <w:ind w:left="0" w:firstLine="709"/>
        <w:jc w:val="both"/>
        <w:outlineLvl w:val="1"/>
        <w:rPr>
          <w:rFonts w:eastAsia="Calibri Light" w:cs="Calibri Light"/>
          <w:b/>
          <w:b/>
          <w:szCs w:val="26"/>
          <w:lang w:eastAsia="en-US"/>
        </w:rPr>
      </w:pPr>
      <w:r>
        <w:rPr/>
        <w:t xml:space="preserve">В таблице 11 представлена структура спроса на тепловую мощность в разрезе источников теплоснабжения. </w:t>
      </w:r>
    </w:p>
    <w:p>
      <w:pPr>
        <w:pStyle w:val="Normal"/>
        <w:jc w:val="right"/>
        <w:rPr>
          <w:rFonts w:eastAsia="Calibri" w:cs="Calibri"/>
          <w:iCs/>
          <w:szCs w:val="18"/>
          <w:lang w:eastAsia="en-US"/>
        </w:rPr>
      </w:pPr>
      <w:bookmarkStart w:id="703" w:name="_Ref19654129"/>
      <w:bookmarkEnd w:id="700"/>
      <w:bookmarkEnd w:id="701"/>
      <w:bookmarkEnd w:id="702"/>
      <w:r>
        <w:rPr>
          <w:rFonts w:eastAsia="Calibri" w:cs="Calibri"/>
          <w:iCs/>
          <w:szCs w:val="18"/>
          <w:lang w:eastAsia="en-US"/>
        </w:rPr>
        <w:t xml:space="preserve">Таблица </w:t>
      </w:r>
      <w:bookmarkEnd w:id="703"/>
      <w:r>
        <w:rPr>
          <w:rFonts w:eastAsia="Calibri" w:cs="Calibri"/>
          <w:iCs/>
          <w:szCs w:val="18"/>
          <w:lang w:eastAsia="en-US"/>
        </w:rPr>
        <w:t xml:space="preserve">11 – </w:t>
      </w:r>
      <w:bookmarkStart w:id="704" w:name="_Hlk20403355"/>
      <w:r>
        <w:rPr>
          <w:rFonts w:eastAsia="Calibri" w:cs="Calibri"/>
          <w:iCs/>
          <w:szCs w:val="18"/>
          <w:lang w:eastAsia="en-US"/>
        </w:rPr>
        <w:t xml:space="preserve">Значения спроса на тепловую мощность </w:t>
      </w:r>
      <w:bookmarkEnd w:id="704"/>
      <w:r>
        <w:rPr>
          <w:rFonts w:eastAsia="Calibri" w:cs="Calibri"/>
          <w:iCs/>
          <w:szCs w:val="18"/>
          <w:lang w:eastAsia="en-US"/>
        </w:rPr>
        <w:t>от источников</w:t>
      </w:r>
    </w:p>
    <w:tbl>
      <w:tblPr>
        <w:tblW w:w="5000" w:type="pct"/>
        <w:jc w:val="left"/>
        <w:tblInd w:w="0" w:type="dxa"/>
        <w:tblCellMar>
          <w:top w:w="0" w:type="dxa"/>
          <w:left w:w="108" w:type="dxa"/>
          <w:bottom w:w="0" w:type="dxa"/>
          <w:right w:w="108" w:type="dxa"/>
        </w:tblCellMar>
        <w:tblLook w:val="04a0" w:noVBand="1" w:noHBand="0" w:lastColumn="0" w:firstColumn="1" w:lastRow="0" w:firstRow="1"/>
      </w:tblPr>
      <w:tblGrid>
        <w:gridCol w:w="636"/>
        <w:gridCol w:w="2450"/>
        <w:gridCol w:w="1961"/>
        <w:gridCol w:w="1318"/>
        <w:gridCol w:w="1669"/>
        <w:gridCol w:w="1603"/>
      </w:tblGrid>
      <w:tr>
        <w:trPr>
          <w:tblHeader w:val="true"/>
        </w:trPr>
        <w:tc>
          <w:tcPr>
            <w:tcW w:w="63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xml:space="preserve">№ </w:t>
            </w:r>
          </w:p>
          <w:p>
            <w:pPr>
              <w:pStyle w:val="Normal"/>
              <w:jc w:val="center"/>
              <w:rPr>
                <w:sz w:val="20"/>
                <w:szCs w:val="20"/>
                <w:lang w:eastAsia="ru-RU"/>
              </w:rPr>
            </w:pPr>
            <w:r>
              <w:rPr>
                <w:sz w:val="20"/>
                <w:szCs w:val="20"/>
                <w:lang w:eastAsia="ru-RU"/>
              </w:rPr>
              <w:t xml:space="preserve">п/п </w:t>
            </w:r>
          </w:p>
        </w:tc>
        <w:tc>
          <w:tcPr>
            <w:tcW w:w="245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Наименование и адрес котельной</w:t>
            </w:r>
          </w:p>
        </w:tc>
        <w:tc>
          <w:tcPr>
            <w:tcW w:w="19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Подключенная нагрузка, Гкал/ч</w:t>
            </w:r>
          </w:p>
        </w:tc>
        <w:tc>
          <w:tcPr>
            <w:tcW w:w="131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ГВС, Гкал/ч</w:t>
            </w:r>
          </w:p>
        </w:tc>
        <w:tc>
          <w:tcPr>
            <w:tcW w:w="16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Отопление, вентиляция, Гкал/ч</w:t>
            </w:r>
          </w:p>
        </w:tc>
        <w:tc>
          <w:tcPr>
            <w:tcW w:w="1603"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lang w:eastAsia="ru-RU"/>
              </w:rPr>
            </w:pPr>
            <w:r>
              <w:rPr>
                <w:sz w:val="20"/>
                <w:szCs w:val="20"/>
                <w:lang w:eastAsia="ru-RU"/>
              </w:rPr>
              <w:t>Спрос на тепловую мощность, Гкал/год</w:t>
            </w:r>
          </w:p>
        </w:tc>
      </w:tr>
      <w:tr>
        <w:trPr/>
        <w:tc>
          <w:tcPr>
            <w:tcW w:w="63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r>
          </w:p>
        </w:tc>
        <w:tc>
          <w:tcPr>
            <w:tcW w:w="9001" w:type="dxa"/>
            <w:gridSpan w:val="5"/>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городское поселение Октябрьское</w:t>
            </w:r>
          </w:p>
        </w:tc>
      </w:tr>
      <w:tr>
        <w:trPr/>
        <w:tc>
          <w:tcPr>
            <w:tcW w:w="63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w:t>
            </w:r>
          </w:p>
        </w:tc>
        <w:tc>
          <w:tcPr>
            <w:tcW w:w="245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xml:space="preserve">котельная № 1, пгт.Октябрьское, </w:t>
            </w:r>
          </w:p>
          <w:p>
            <w:pPr>
              <w:pStyle w:val="Normal"/>
              <w:jc w:val="center"/>
              <w:rPr>
                <w:sz w:val="20"/>
                <w:szCs w:val="20"/>
                <w:lang w:eastAsia="ru-RU"/>
              </w:rPr>
            </w:pPr>
            <w:r>
              <w:rPr>
                <w:sz w:val="20"/>
                <w:szCs w:val="20"/>
                <w:lang w:eastAsia="ru-RU"/>
              </w:rPr>
              <w:t>ул.Сенькина, 46б</w:t>
            </w:r>
          </w:p>
        </w:tc>
        <w:tc>
          <w:tcPr>
            <w:tcW w:w="19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8,36</w:t>
            </w:r>
          </w:p>
        </w:tc>
        <w:tc>
          <w:tcPr>
            <w:tcW w:w="131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н/д</w:t>
            </w:r>
          </w:p>
        </w:tc>
        <w:tc>
          <w:tcPr>
            <w:tcW w:w="16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н/д</w:t>
            </w:r>
          </w:p>
        </w:tc>
        <w:tc>
          <w:tcPr>
            <w:tcW w:w="1603"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6994,3</w:t>
            </w:r>
          </w:p>
        </w:tc>
      </w:tr>
      <w:tr>
        <w:trPr/>
        <w:tc>
          <w:tcPr>
            <w:tcW w:w="63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2</w:t>
            </w:r>
          </w:p>
        </w:tc>
        <w:tc>
          <w:tcPr>
            <w:tcW w:w="245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xml:space="preserve">котельная № 2, пгт.Октябрьское, </w:t>
            </w:r>
          </w:p>
          <w:p>
            <w:pPr>
              <w:pStyle w:val="Normal"/>
              <w:jc w:val="center"/>
              <w:rPr>
                <w:sz w:val="20"/>
                <w:szCs w:val="20"/>
                <w:lang w:eastAsia="ru-RU"/>
              </w:rPr>
            </w:pPr>
            <w:r>
              <w:rPr>
                <w:sz w:val="20"/>
                <w:szCs w:val="20"/>
                <w:lang w:eastAsia="ru-RU"/>
              </w:rPr>
              <w:t>ул.Пионерская, 17б</w:t>
            </w:r>
          </w:p>
        </w:tc>
        <w:tc>
          <w:tcPr>
            <w:tcW w:w="19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5,63</w:t>
            </w:r>
          </w:p>
        </w:tc>
        <w:tc>
          <w:tcPr>
            <w:tcW w:w="131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н/д</w:t>
            </w:r>
          </w:p>
        </w:tc>
        <w:tc>
          <w:tcPr>
            <w:tcW w:w="16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н/д</w:t>
            </w:r>
          </w:p>
        </w:tc>
        <w:tc>
          <w:tcPr>
            <w:tcW w:w="1603"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4710,3</w:t>
            </w:r>
          </w:p>
        </w:tc>
      </w:tr>
      <w:tr>
        <w:trPr/>
        <w:tc>
          <w:tcPr>
            <w:tcW w:w="63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3</w:t>
            </w:r>
          </w:p>
        </w:tc>
        <w:tc>
          <w:tcPr>
            <w:tcW w:w="245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xml:space="preserve">котельная № 3, пгт.Октябрьское, </w:t>
            </w:r>
          </w:p>
          <w:p>
            <w:pPr>
              <w:pStyle w:val="Normal"/>
              <w:jc w:val="center"/>
              <w:rPr>
                <w:sz w:val="20"/>
                <w:szCs w:val="20"/>
                <w:lang w:eastAsia="ru-RU"/>
              </w:rPr>
            </w:pPr>
            <w:r>
              <w:rPr>
                <w:sz w:val="20"/>
                <w:szCs w:val="20"/>
                <w:lang w:eastAsia="ru-RU"/>
              </w:rPr>
              <w:t>ул.Чапаева, 6б</w:t>
            </w:r>
          </w:p>
        </w:tc>
        <w:tc>
          <w:tcPr>
            <w:tcW w:w="19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5,21</w:t>
            </w:r>
          </w:p>
        </w:tc>
        <w:tc>
          <w:tcPr>
            <w:tcW w:w="131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н/д</w:t>
            </w:r>
          </w:p>
        </w:tc>
        <w:tc>
          <w:tcPr>
            <w:tcW w:w="16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н/д</w:t>
            </w:r>
          </w:p>
        </w:tc>
        <w:tc>
          <w:tcPr>
            <w:tcW w:w="1603"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4358,9</w:t>
            </w:r>
          </w:p>
        </w:tc>
      </w:tr>
      <w:tr>
        <w:trPr/>
        <w:tc>
          <w:tcPr>
            <w:tcW w:w="63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4</w:t>
            </w:r>
          </w:p>
        </w:tc>
        <w:tc>
          <w:tcPr>
            <w:tcW w:w="245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xml:space="preserve">котельная № 6, </w:t>
            </w:r>
          </w:p>
          <w:p>
            <w:pPr>
              <w:pStyle w:val="Normal"/>
              <w:jc w:val="center"/>
              <w:rPr>
                <w:sz w:val="20"/>
                <w:szCs w:val="20"/>
                <w:lang w:eastAsia="ru-RU"/>
              </w:rPr>
            </w:pPr>
            <w:r>
              <w:rPr>
                <w:sz w:val="20"/>
                <w:szCs w:val="20"/>
                <w:lang w:eastAsia="ru-RU"/>
              </w:rPr>
              <w:t xml:space="preserve">пгт.Октябрьское, </w:t>
            </w:r>
          </w:p>
          <w:p>
            <w:pPr>
              <w:pStyle w:val="Normal"/>
              <w:jc w:val="center"/>
              <w:rPr>
                <w:sz w:val="20"/>
                <w:szCs w:val="20"/>
                <w:lang w:eastAsia="ru-RU"/>
              </w:rPr>
            </w:pPr>
            <w:r>
              <w:rPr>
                <w:sz w:val="20"/>
                <w:szCs w:val="20"/>
                <w:lang w:eastAsia="ru-RU"/>
              </w:rPr>
              <w:t>ул.Дзержинского, 2б</w:t>
            </w:r>
          </w:p>
        </w:tc>
        <w:tc>
          <w:tcPr>
            <w:tcW w:w="19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3,26</w:t>
            </w:r>
          </w:p>
        </w:tc>
        <w:tc>
          <w:tcPr>
            <w:tcW w:w="131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н/д</w:t>
            </w:r>
          </w:p>
        </w:tc>
        <w:tc>
          <w:tcPr>
            <w:tcW w:w="16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н/д</w:t>
            </w:r>
          </w:p>
        </w:tc>
        <w:tc>
          <w:tcPr>
            <w:tcW w:w="1603"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2727,4</w:t>
            </w:r>
          </w:p>
        </w:tc>
      </w:tr>
      <w:tr>
        <w:trPr/>
        <w:tc>
          <w:tcPr>
            <w:tcW w:w="63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5</w:t>
            </w:r>
          </w:p>
        </w:tc>
        <w:tc>
          <w:tcPr>
            <w:tcW w:w="245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котельная № 7,</w:t>
            </w:r>
          </w:p>
          <w:p>
            <w:pPr>
              <w:pStyle w:val="Normal"/>
              <w:jc w:val="center"/>
              <w:rPr>
                <w:sz w:val="20"/>
                <w:szCs w:val="20"/>
                <w:lang w:eastAsia="ru-RU"/>
              </w:rPr>
            </w:pPr>
            <w:r>
              <w:rPr>
                <w:sz w:val="20"/>
                <w:szCs w:val="20"/>
                <w:lang w:eastAsia="ru-RU"/>
              </w:rPr>
              <w:t xml:space="preserve">пгт.Октябрьское, </w:t>
            </w:r>
          </w:p>
          <w:p>
            <w:pPr>
              <w:pStyle w:val="Normal"/>
              <w:jc w:val="center"/>
              <w:rPr>
                <w:sz w:val="20"/>
                <w:szCs w:val="20"/>
                <w:lang w:eastAsia="ru-RU"/>
              </w:rPr>
            </w:pPr>
            <w:r>
              <w:rPr>
                <w:sz w:val="20"/>
                <w:szCs w:val="20"/>
                <w:lang w:eastAsia="ru-RU"/>
              </w:rPr>
              <w:t>ул.Медицинская, 3Б</w:t>
            </w:r>
          </w:p>
        </w:tc>
        <w:tc>
          <w:tcPr>
            <w:tcW w:w="19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0,86</w:t>
            </w:r>
          </w:p>
        </w:tc>
        <w:tc>
          <w:tcPr>
            <w:tcW w:w="131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н/д</w:t>
            </w:r>
          </w:p>
        </w:tc>
        <w:tc>
          <w:tcPr>
            <w:tcW w:w="16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н/д</w:t>
            </w:r>
          </w:p>
        </w:tc>
        <w:tc>
          <w:tcPr>
            <w:tcW w:w="1603"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3320,2</w:t>
            </w:r>
          </w:p>
        </w:tc>
      </w:tr>
      <w:tr>
        <w:trPr/>
        <w:tc>
          <w:tcPr>
            <w:tcW w:w="63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6</w:t>
            </w:r>
          </w:p>
        </w:tc>
        <w:tc>
          <w:tcPr>
            <w:tcW w:w="245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xml:space="preserve">котельная № 12, </w:t>
            </w:r>
          </w:p>
          <w:p>
            <w:pPr>
              <w:pStyle w:val="Normal"/>
              <w:jc w:val="center"/>
              <w:rPr>
                <w:sz w:val="20"/>
                <w:szCs w:val="20"/>
                <w:lang w:eastAsia="ru-RU"/>
              </w:rPr>
            </w:pPr>
            <w:r>
              <w:rPr>
                <w:sz w:val="20"/>
                <w:szCs w:val="20"/>
                <w:lang w:eastAsia="ru-RU"/>
              </w:rPr>
              <w:t>пгт.Октябрьское, ул.Медицинская, 3к</w:t>
            </w:r>
          </w:p>
        </w:tc>
        <w:tc>
          <w:tcPr>
            <w:tcW w:w="19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2,67</w:t>
            </w:r>
          </w:p>
        </w:tc>
        <w:tc>
          <w:tcPr>
            <w:tcW w:w="131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н/д</w:t>
            </w:r>
          </w:p>
        </w:tc>
        <w:tc>
          <w:tcPr>
            <w:tcW w:w="16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н/д</w:t>
            </w:r>
          </w:p>
        </w:tc>
        <w:tc>
          <w:tcPr>
            <w:tcW w:w="1603"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1363,8</w:t>
            </w:r>
          </w:p>
        </w:tc>
      </w:tr>
      <w:tr>
        <w:trPr/>
        <w:tc>
          <w:tcPr>
            <w:tcW w:w="63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7</w:t>
            </w:r>
          </w:p>
        </w:tc>
        <w:tc>
          <w:tcPr>
            <w:tcW w:w="245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xml:space="preserve">котельная № 8, </w:t>
            </w:r>
          </w:p>
          <w:p>
            <w:pPr>
              <w:pStyle w:val="Normal"/>
              <w:jc w:val="center"/>
              <w:rPr>
                <w:sz w:val="20"/>
                <w:szCs w:val="20"/>
                <w:lang w:eastAsia="ru-RU"/>
              </w:rPr>
            </w:pPr>
            <w:r>
              <w:rPr>
                <w:sz w:val="20"/>
                <w:szCs w:val="20"/>
                <w:lang w:eastAsia="ru-RU"/>
              </w:rPr>
              <w:t xml:space="preserve">пгт.Октябрьское, </w:t>
            </w:r>
          </w:p>
          <w:p>
            <w:pPr>
              <w:pStyle w:val="Normal"/>
              <w:jc w:val="center"/>
              <w:rPr>
                <w:sz w:val="20"/>
                <w:szCs w:val="20"/>
                <w:lang w:eastAsia="ru-RU"/>
              </w:rPr>
            </w:pPr>
            <w:r>
              <w:rPr>
                <w:sz w:val="20"/>
                <w:szCs w:val="20"/>
                <w:lang w:eastAsia="ru-RU"/>
              </w:rPr>
              <w:t>ул.50 лет Победы, 38А</w:t>
            </w:r>
          </w:p>
        </w:tc>
        <w:tc>
          <w:tcPr>
            <w:tcW w:w="19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0,16</w:t>
            </w:r>
          </w:p>
        </w:tc>
        <w:tc>
          <w:tcPr>
            <w:tcW w:w="131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н/д</w:t>
            </w:r>
          </w:p>
        </w:tc>
        <w:tc>
          <w:tcPr>
            <w:tcW w:w="16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н/д</w:t>
            </w:r>
          </w:p>
        </w:tc>
        <w:tc>
          <w:tcPr>
            <w:tcW w:w="1603"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133,9</w:t>
            </w:r>
          </w:p>
        </w:tc>
      </w:tr>
    </w:tbl>
    <w:p>
      <w:pPr>
        <w:pStyle w:val="3"/>
        <w:spacing w:before="0" w:after="0"/>
        <w:rPr>
          <w:rFonts w:ascii="Times New Roman" w:hAnsi="Times New Roman" w:eastAsia="Times New Roman" w:cs="Times New Roman"/>
          <w:b w:val="false"/>
          <w:b w:val="false"/>
          <w:bCs w:val="false"/>
          <w:color w:val="auto"/>
          <w:lang w:eastAsia="ru-RU" w:bidi="en-US"/>
        </w:rPr>
      </w:pPr>
      <w:r>
        <w:rPr>
          <w:rFonts w:eastAsia="Times New Roman" w:cs="Times New Roman" w:ascii="Times New Roman" w:hAnsi="Times New Roman"/>
          <w:b w:val="false"/>
          <w:bCs w:val="false"/>
          <w:color w:val="auto"/>
          <w:lang w:eastAsia="ru-RU" w:bidi="en-US"/>
        </w:rPr>
      </w:r>
      <w:bookmarkStart w:id="705" w:name="sub_167"/>
      <w:bookmarkStart w:id="706" w:name="sub_167"/>
      <w:bookmarkEnd w:id="706"/>
    </w:p>
    <w:p>
      <w:pPr>
        <w:pStyle w:val="3"/>
        <w:spacing w:before="0" w:after="0"/>
        <w:ind w:firstLine="709"/>
        <w:jc w:val="both"/>
        <w:rPr>
          <w:rFonts w:ascii="Times New Roman" w:hAnsi="Times New Roman" w:cs="Times New Roman"/>
          <w:color w:val="auto"/>
        </w:rPr>
      </w:pPr>
      <w:r>
        <w:rPr>
          <w:rFonts w:cs="Times New Roman" w:ascii="Times New Roman" w:hAnsi="Times New Roman"/>
          <w:color w:val="auto"/>
        </w:rPr>
        <w:t>1.5.2. Описание значений расчетных тепловых нагрузок на коллекторах источников тепловой энергии</w:t>
      </w:r>
    </w:p>
    <w:p>
      <w:pPr>
        <w:pStyle w:val="3"/>
        <w:spacing w:before="0" w:after="0"/>
        <w:ind w:firstLine="709"/>
        <w:jc w:val="both"/>
        <w:rPr>
          <w:rFonts w:ascii="Times New Roman" w:hAnsi="Times New Roman" w:cs="Times New Roman"/>
          <w:b w:val="false"/>
          <w:b w:val="false"/>
          <w:color w:val="auto"/>
        </w:rPr>
      </w:pPr>
      <w:r>
        <w:rPr>
          <w:rFonts w:cs="Times New Roman" w:ascii="Times New Roman" w:hAnsi="Times New Roman"/>
          <w:b w:val="false"/>
          <w:color w:val="auto"/>
        </w:rPr>
        <w:t>Необходимые данные учета не представлялись, поэтому данный пункт не рассматривался.</w:t>
      </w:r>
      <w:bookmarkStart w:id="707" w:name="_Toc181340389"/>
      <w:bookmarkStart w:id="708" w:name="_Toc160529922"/>
      <w:bookmarkStart w:id="709" w:name="_Toc535409516"/>
    </w:p>
    <w:p>
      <w:pPr>
        <w:pStyle w:val="3"/>
        <w:spacing w:before="0" w:after="0"/>
        <w:ind w:firstLine="709"/>
        <w:jc w:val="both"/>
        <w:rPr>
          <w:rFonts w:ascii="Times New Roman" w:hAnsi="Times New Roman" w:cs="Times New Roman"/>
          <w:b w:val="false"/>
          <w:b w:val="false"/>
          <w:color w:val="auto"/>
        </w:rPr>
      </w:pPr>
      <w:r>
        <w:rPr>
          <w:rFonts w:cs="Times New Roman" w:ascii="Times New Roman" w:hAnsi="Times New Roman"/>
          <w:b w:val="false"/>
          <w:color w:val="auto"/>
        </w:rPr>
      </w:r>
    </w:p>
    <w:p>
      <w:pPr>
        <w:pStyle w:val="3"/>
        <w:spacing w:before="0" w:after="0"/>
        <w:ind w:firstLine="709"/>
        <w:jc w:val="both"/>
        <w:rPr>
          <w:rFonts w:ascii="Times New Roman" w:hAnsi="Times New Roman" w:eastAsia="Calibri Light" w:cs="Times New Roman"/>
          <w:color w:val="auto"/>
          <w:lang w:eastAsia="en-US"/>
        </w:rPr>
      </w:pPr>
      <w:r>
        <w:rPr>
          <w:rFonts w:eastAsia="Calibri Light" w:cs="Times New Roman" w:ascii="Times New Roman" w:hAnsi="Times New Roman"/>
          <w:color w:val="auto"/>
          <w:lang w:eastAsia="en-US"/>
        </w:rPr>
        <w:t>1.5.3. Описание случаев и условий применения отопления жилых помещений в многоквартирных домах с использованием индивидуальных квартирных источников тепловой энергии</w:t>
      </w:r>
      <w:bookmarkEnd w:id="707"/>
      <w:bookmarkEnd w:id="708"/>
      <w:bookmarkEnd w:id="709"/>
    </w:p>
    <w:p>
      <w:pPr>
        <w:pStyle w:val="3"/>
        <w:spacing w:before="0" w:after="0"/>
        <w:ind w:firstLine="709"/>
        <w:jc w:val="both"/>
        <w:rPr>
          <w:rFonts w:ascii="Times New Roman" w:hAnsi="Times New Roman" w:cs="Times New Roman"/>
          <w:b w:val="false"/>
          <w:b w:val="false"/>
          <w:color w:val="auto"/>
          <w:szCs w:val="28"/>
          <w:lang w:eastAsia="ru-RU"/>
        </w:rPr>
      </w:pPr>
      <w:r>
        <w:rPr>
          <w:rFonts w:cs="Times New Roman" w:ascii="Times New Roman" w:hAnsi="Times New Roman"/>
          <w:b w:val="false"/>
          <w:color w:val="auto"/>
          <w:szCs w:val="28"/>
          <w:lang w:eastAsia="ru-RU"/>
        </w:rPr>
        <w:t>Случаев применения для отопления жилых помещений в многоквартирных домах индивидуальных квартирных источников тепловой энергии зарегистрировано не было.</w:t>
      </w:r>
      <w:bookmarkStart w:id="710" w:name="_Toc181340390"/>
      <w:bookmarkStart w:id="711" w:name="_Toc160529923"/>
      <w:bookmarkStart w:id="712" w:name="_Toc535409517"/>
    </w:p>
    <w:p>
      <w:pPr>
        <w:pStyle w:val="3"/>
        <w:spacing w:before="0" w:after="0"/>
        <w:ind w:firstLine="709"/>
        <w:jc w:val="both"/>
        <w:rPr>
          <w:rFonts w:ascii="Times New Roman" w:hAnsi="Times New Roman" w:cs="Times New Roman"/>
          <w:b w:val="false"/>
          <w:b w:val="false"/>
          <w:color w:val="auto"/>
          <w:szCs w:val="28"/>
          <w:lang w:eastAsia="ru-RU"/>
        </w:rPr>
      </w:pPr>
      <w:r>
        <w:rPr>
          <w:rFonts w:cs="Times New Roman" w:ascii="Times New Roman" w:hAnsi="Times New Roman"/>
          <w:b w:val="false"/>
          <w:color w:val="auto"/>
          <w:szCs w:val="28"/>
          <w:lang w:eastAsia="ru-RU"/>
        </w:rPr>
      </w:r>
    </w:p>
    <w:p>
      <w:pPr>
        <w:pStyle w:val="3"/>
        <w:spacing w:before="0" w:after="0"/>
        <w:ind w:firstLine="709"/>
        <w:jc w:val="both"/>
        <w:rPr>
          <w:rFonts w:ascii="Times New Roman" w:hAnsi="Times New Roman" w:cs="Times New Roman"/>
          <w:color w:val="auto"/>
        </w:rPr>
      </w:pPr>
      <w:r>
        <w:rPr>
          <w:rFonts w:eastAsia="Calibri Light" w:cs="Times New Roman" w:ascii="Times New Roman" w:hAnsi="Times New Roman"/>
          <w:color w:val="auto"/>
          <w:lang w:eastAsia="en-US"/>
        </w:rPr>
        <w:t>1.5.4. Описание величины потребления тепловой энергии в расчетных элементах территориального деления за отопительный период и за год в целом</w:t>
      </w:r>
      <w:bookmarkEnd w:id="710"/>
      <w:bookmarkEnd w:id="711"/>
      <w:bookmarkEnd w:id="712"/>
    </w:p>
    <w:p>
      <w:pPr>
        <w:pStyle w:val="Normal"/>
        <w:spacing w:before="0" w:after="0"/>
        <w:ind w:firstLine="567"/>
        <w:contextualSpacing/>
        <w:jc w:val="both"/>
        <w:rPr>
          <w:lang w:eastAsia="ru-RU"/>
        </w:rPr>
      </w:pPr>
      <w:r>
        <w:rPr>
          <w:szCs w:val="28"/>
          <w:lang w:eastAsia="ru-RU"/>
        </w:rPr>
        <w:t>Сведения об объёмах потребления тепловой энергии в расчетных элементах территориального деления за отопительный период и за год в целом приведены в таблице 12.</w:t>
      </w:r>
    </w:p>
    <w:p>
      <w:pPr>
        <w:pStyle w:val="Normal"/>
        <w:spacing w:before="0" w:after="0"/>
        <w:contextualSpacing/>
        <w:jc w:val="both"/>
        <w:rPr>
          <w:lang w:eastAsia="ru-RU"/>
        </w:rPr>
      </w:pPr>
      <w:r>
        <w:rPr>
          <w:lang w:eastAsia="ru-RU"/>
        </w:rPr>
      </w:r>
    </w:p>
    <w:p>
      <w:pPr>
        <w:pStyle w:val="Normal"/>
        <w:spacing w:before="0" w:after="0"/>
        <w:contextualSpacing/>
        <w:jc w:val="both"/>
        <w:rPr>
          <w:lang w:eastAsia="ru-RU"/>
        </w:rPr>
      </w:pPr>
      <w:r>
        <w:rPr>
          <w:lang w:eastAsia="ru-RU"/>
        </w:rPr>
      </w:r>
    </w:p>
    <w:p>
      <w:pPr>
        <w:pStyle w:val="Normal"/>
        <w:spacing w:before="0" w:after="0"/>
        <w:contextualSpacing/>
        <w:jc w:val="both"/>
        <w:rPr>
          <w:lang w:eastAsia="ru-RU"/>
        </w:rPr>
      </w:pPr>
      <w:r>
        <w:rPr>
          <w:lang w:eastAsia="ru-RU"/>
        </w:rPr>
      </w:r>
    </w:p>
    <w:p>
      <w:pPr>
        <w:pStyle w:val="Normal"/>
        <w:jc w:val="right"/>
        <w:rPr>
          <w:rFonts w:eastAsia="Calibri" w:cs="Calibri"/>
          <w:szCs w:val="22"/>
          <w:lang w:eastAsia="en-US"/>
        </w:rPr>
      </w:pPr>
      <w:bookmarkStart w:id="713" w:name="_Ref19654159"/>
      <w:r>
        <w:rPr>
          <w:rFonts w:eastAsia="Calibri" w:cs="Calibri"/>
          <w:szCs w:val="22"/>
          <w:lang w:eastAsia="en-US"/>
        </w:rPr>
        <w:t xml:space="preserve">Таблица </w:t>
      </w:r>
      <w:bookmarkEnd w:id="713"/>
      <w:r>
        <w:rPr>
          <w:rFonts w:eastAsia="Calibri" w:cs="Calibri"/>
          <w:szCs w:val="22"/>
          <w:lang w:eastAsia="en-US"/>
        </w:rPr>
        <w:t xml:space="preserve">12 – Сведения об объёмах потребления тепловой энергии в расчетных элементах территориального деления за отопительный период и за год в целом </w:t>
      </w:r>
    </w:p>
    <w:p>
      <w:pPr>
        <w:pStyle w:val="Normal"/>
        <w:jc w:val="right"/>
        <w:rPr>
          <w:rFonts w:eastAsia="Calibri" w:cs="Calibri"/>
          <w:szCs w:val="22"/>
          <w:lang w:eastAsia="en-US"/>
        </w:rPr>
      </w:pPr>
      <w:r>
        <w:rPr>
          <w:rFonts w:eastAsia="Calibri" w:cs="Calibri"/>
          <w:szCs w:val="22"/>
          <w:lang w:eastAsia="en-US"/>
        </w:rPr>
      </w:r>
    </w:p>
    <w:tbl>
      <w:tblPr>
        <w:tblW w:w="5000" w:type="pct"/>
        <w:jc w:val="left"/>
        <w:tblInd w:w="0" w:type="dxa"/>
        <w:tblCellMar>
          <w:top w:w="0" w:type="dxa"/>
          <w:left w:w="108" w:type="dxa"/>
          <w:bottom w:w="0" w:type="dxa"/>
          <w:right w:w="108" w:type="dxa"/>
        </w:tblCellMar>
        <w:tblLook w:val="04a0" w:noVBand="1" w:noHBand="0" w:lastColumn="0" w:firstColumn="1" w:lastRow="0" w:firstRow="1"/>
      </w:tblPr>
      <w:tblGrid>
        <w:gridCol w:w="922"/>
        <w:gridCol w:w="3543"/>
        <w:gridCol w:w="2683"/>
        <w:gridCol w:w="2489"/>
      </w:tblGrid>
      <w:tr>
        <w:trPr>
          <w:tblHeader w:val="true"/>
        </w:trPr>
        <w:tc>
          <w:tcPr>
            <w:tcW w:w="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xml:space="preserve">№ </w:t>
            </w:r>
          </w:p>
          <w:p>
            <w:pPr>
              <w:pStyle w:val="Normal"/>
              <w:jc w:val="center"/>
              <w:rPr>
                <w:sz w:val="20"/>
                <w:szCs w:val="20"/>
                <w:lang w:eastAsia="ru-RU"/>
              </w:rPr>
            </w:pPr>
            <w:r>
              <w:rPr>
                <w:sz w:val="20"/>
                <w:szCs w:val="20"/>
                <w:lang w:eastAsia="ru-RU"/>
              </w:rPr>
              <w:t xml:space="preserve">п/п </w:t>
            </w:r>
          </w:p>
        </w:tc>
        <w:tc>
          <w:tcPr>
            <w:tcW w:w="35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Наименование и адрес котельной</w:t>
            </w:r>
          </w:p>
        </w:tc>
        <w:tc>
          <w:tcPr>
            <w:tcW w:w="268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Потребление тепловой энергии за отопительный период, Гкал/год</w:t>
            </w:r>
          </w:p>
        </w:tc>
        <w:tc>
          <w:tcPr>
            <w:tcW w:w="248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Потребление тепловой энергии за год, Гкал/год</w:t>
            </w:r>
          </w:p>
        </w:tc>
      </w:tr>
      <w:tr>
        <w:trPr/>
        <w:tc>
          <w:tcPr>
            <w:tcW w:w="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r>
          </w:p>
        </w:tc>
        <w:tc>
          <w:tcPr>
            <w:tcW w:w="8715"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городское поселение Октябрьское</w:t>
            </w:r>
          </w:p>
        </w:tc>
      </w:tr>
      <w:tr>
        <w:trPr/>
        <w:tc>
          <w:tcPr>
            <w:tcW w:w="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w:t>
            </w:r>
          </w:p>
        </w:tc>
        <w:tc>
          <w:tcPr>
            <w:tcW w:w="35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котельная № 1, пгт.Октябрьское, ул.Сенькина, 46б</w:t>
            </w:r>
          </w:p>
        </w:tc>
        <w:tc>
          <w:tcPr>
            <w:tcW w:w="268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8,36</w:t>
            </w:r>
          </w:p>
        </w:tc>
        <w:tc>
          <w:tcPr>
            <w:tcW w:w="248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6994,3</w:t>
            </w:r>
          </w:p>
        </w:tc>
      </w:tr>
      <w:tr>
        <w:trPr/>
        <w:tc>
          <w:tcPr>
            <w:tcW w:w="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2</w:t>
            </w:r>
          </w:p>
        </w:tc>
        <w:tc>
          <w:tcPr>
            <w:tcW w:w="35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котельная № 2, пгт.Октябрьское, ул.Пионерская, 17б</w:t>
            </w:r>
          </w:p>
        </w:tc>
        <w:tc>
          <w:tcPr>
            <w:tcW w:w="268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5,63</w:t>
            </w:r>
          </w:p>
        </w:tc>
        <w:tc>
          <w:tcPr>
            <w:tcW w:w="248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4710,3</w:t>
            </w:r>
          </w:p>
        </w:tc>
      </w:tr>
      <w:tr>
        <w:trPr/>
        <w:tc>
          <w:tcPr>
            <w:tcW w:w="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3</w:t>
            </w:r>
          </w:p>
        </w:tc>
        <w:tc>
          <w:tcPr>
            <w:tcW w:w="35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котельная № 3, пгт.Октябрьское, ул.Чапаева, 6б</w:t>
            </w:r>
          </w:p>
        </w:tc>
        <w:tc>
          <w:tcPr>
            <w:tcW w:w="268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5,21</w:t>
            </w:r>
          </w:p>
        </w:tc>
        <w:tc>
          <w:tcPr>
            <w:tcW w:w="248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4358,9</w:t>
            </w:r>
          </w:p>
        </w:tc>
      </w:tr>
      <w:tr>
        <w:trPr/>
        <w:tc>
          <w:tcPr>
            <w:tcW w:w="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4</w:t>
            </w:r>
          </w:p>
        </w:tc>
        <w:tc>
          <w:tcPr>
            <w:tcW w:w="35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котельная № 6, пгт.Октябрьское, ул.Дзержинского, 2б</w:t>
            </w:r>
          </w:p>
        </w:tc>
        <w:tc>
          <w:tcPr>
            <w:tcW w:w="268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3,26</w:t>
            </w:r>
          </w:p>
        </w:tc>
        <w:tc>
          <w:tcPr>
            <w:tcW w:w="248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2727,4</w:t>
            </w:r>
          </w:p>
        </w:tc>
      </w:tr>
      <w:tr>
        <w:trPr/>
        <w:tc>
          <w:tcPr>
            <w:tcW w:w="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5</w:t>
            </w:r>
          </w:p>
        </w:tc>
        <w:tc>
          <w:tcPr>
            <w:tcW w:w="35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котельная № 7,пгт.Октябрьское, ул.Медицинская, 3Б</w:t>
            </w:r>
          </w:p>
        </w:tc>
        <w:tc>
          <w:tcPr>
            <w:tcW w:w="268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0,86</w:t>
            </w:r>
          </w:p>
        </w:tc>
        <w:tc>
          <w:tcPr>
            <w:tcW w:w="248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3320,2</w:t>
            </w:r>
          </w:p>
        </w:tc>
      </w:tr>
      <w:tr>
        <w:trPr/>
        <w:tc>
          <w:tcPr>
            <w:tcW w:w="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6</w:t>
            </w:r>
          </w:p>
        </w:tc>
        <w:tc>
          <w:tcPr>
            <w:tcW w:w="35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котельная № 12, пгт.Октябрьское, ул.Медицинская, 3к</w:t>
            </w:r>
          </w:p>
        </w:tc>
        <w:tc>
          <w:tcPr>
            <w:tcW w:w="268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2,67</w:t>
            </w:r>
          </w:p>
        </w:tc>
        <w:tc>
          <w:tcPr>
            <w:tcW w:w="248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1363,8</w:t>
            </w:r>
          </w:p>
        </w:tc>
      </w:tr>
      <w:tr>
        <w:trPr/>
        <w:tc>
          <w:tcPr>
            <w:tcW w:w="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7</w:t>
            </w:r>
          </w:p>
        </w:tc>
        <w:tc>
          <w:tcPr>
            <w:tcW w:w="35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xml:space="preserve">котельная № 8, пгт.Октябрьское, </w:t>
            </w:r>
          </w:p>
          <w:p>
            <w:pPr>
              <w:pStyle w:val="Normal"/>
              <w:jc w:val="center"/>
              <w:rPr>
                <w:sz w:val="20"/>
                <w:szCs w:val="20"/>
                <w:lang w:eastAsia="ru-RU"/>
              </w:rPr>
            </w:pPr>
            <w:r>
              <w:rPr>
                <w:sz w:val="20"/>
                <w:szCs w:val="20"/>
                <w:lang w:eastAsia="ru-RU"/>
              </w:rPr>
              <w:t>ул.50 лет, 38А</w:t>
            </w:r>
          </w:p>
        </w:tc>
        <w:tc>
          <w:tcPr>
            <w:tcW w:w="268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0,16</w:t>
            </w:r>
          </w:p>
        </w:tc>
        <w:tc>
          <w:tcPr>
            <w:tcW w:w="248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133,9</w:t>
            </w:r>
          </w:p>
        </w:tc>
      </w:tr>
    </w:tbl>
    <w:p>
      <w:pPr>
        <w:pStyle w:val="Normal"/>
        <w:rPr>
          <w:lang w:eastAsia="ru-RU" w:bidi="en-US"/>
        </w:rPr>
      </w:pPr>
      <w:r>
        <w:rPr>
          <w:lang w:eastAsia="ru-RU" w:bidi="en-US"/>
        </w:rPr>
      </w:r>
      <w:bookmarkStart w:id="714" w:name="sub_170"/>
      <w:bookmarkStart w:id="715" w:name="sub_170"/>
      <w:bookmarkEnd w:id="715"/>
    </w:p>
    <w:p>
      <w:pPr>
        <w:pStyle w:val="Normal"/>
        <w:keepNext w:val="true"/>
        <w:keepLines/>
        <w:numPr>
          <w:ilvl w:val="0"/>
          <w:numId w:val="0"/>
        </w:numPr>
        <w:ind w:left="0" w:firstLine="709"/>
        <w:jc w:val="both"/>
        <w:outlineLvl w:val="2"/>
        <w:rPr>
          <w:rFonts w:eastAsia="Calibri Light" w:cs="Calibri Light"/>
          <w:b/>
          <w:b/>
          <w:lang w:eastAsia="en-US"/>
        </w:rPr>
      </w:pPr>
      <w:bookmarkStart w:id="716" w:name="_Toc181340391"/>
      <w:r>
        <w:rPr>
          <w:rFonts w:eastAsia="Calibri Light" w:cs="Calibri Light"/>
          <w:b/>
          <w:lang w:eastAsia="en-US"/>
        </w:rPr>
        <w:t>1.5.5. Описание существующих нормативов потребления тепловой энергии для населения на отопление и горячее водоснабжение</w:t>
      </w:r>
      <w:bookmarkEnd w:id="716"/>
    </w:p>
    <w:p>
      <w:pPr>
        <w:pStyle w:val="Normal"/>
        <w:keepNext w:val="true"/>
        <w:keepLines/>
        <w:numPr>
          <w:ilvl w:val="0"/>
          <w:numId w:val="0"/>
        </w:numPr>
        <w:ind w:left="0" w:firstLine="709"/>
        <w:jc w:val="both"/>
        <w:outlineLvl w:val="2"/>
        <w:rPr>
          <w:szCs w:val="28"/>
          <w:lang w:eastAsia="ru-RU"/>
        </w:rPr>
      </w:pPr>
      <w:r>
        <w:rPr>
          <w:szCs w:val="28"/>
          <w:lang w:eastAsia="ru-RU"/>
        </w:rPr>
        <w:t>Существующие нормативы потребления коммунальных услуг по теплоснабжению приведены в таблице 13</w:t>
      </w:r>
    </w:p>
    <w:p>
      <w:pPr>
        <w:pStyle w:val="Normal"/>
        <w:jc w:val="right"/>
        <w:rPr>
          <w:rFonts w:eastAsia="Calibri"/>
          <w:b/>
          <w:b/>
          <w:lang w:eastAsia="en-US"/>
        </w:rPr>
      </w:pPr>
      <w:r>
        <w:rPr/>
        <w:t xml:space="preserve">Таблица </w:t>
      </w:r>
      <w:r>
        <w:rPr>
          <w:rFonts w:eastAsia="Times New Roman" w:cs="Times New Roman"/>
          <w:sz w:val="24"/>
          <w:lang w:bidi="ar-SA"/>
        </w:rPr>
        <w:t>13</w:t>
      </w:r>
      <w:r>
        <w:rPr/>
        <w:t xml:space="preserve"> – Нормативы потребления коммунальных услуг по отоплению </w:t>
      </w:r>
    </w:p>
    <w:p>
      <w:pPr>
        <w:pStyle w:val="Normal"/>
        <w:jc w:val="right"/>
        <w:rPr>
          <w:rFonts w:eastAsia="Calibri"/>
          <w:b/>
          <w:b/>
          <w:lang w:eastAsia="en-US"/>
        </w:rPr>
      </w:pPr>
      <w:r>
        <w:rPr/>
        <w:t xml:space="preserve">в жилых помещениях на территории Октябрьского района </w:t>
      </w:r>
    </w:p>
    <w:p>
      <w:pPr>
        <w:pStyle w:val="Normal"/>
        <w:jc w:val="right"/>
        <w:rPr>
          <w:rFonts w:eastAsia="Calibri"/>
          <w:b/>
          <w:b/>
          <w:lang w:eastAsia="en-US"/>
        </w:rPr>
      </w:pPr>
      <w:r>
        <w:rPr/>
        <w:t xml:space="preserve">Ханты-Мансийского автономного округа – Югры </w:t>
      </w:r>
    </w:p>
    <w:p>
      <w:pPr>
        <w:pStyle w:val="Normal"/>
        <w:jc w:val="right"/>
        <w:rPr>
          <w:rFonts w:eastAsia="Calibri"/>
          <w:b/>
          <w:b/>
          <w:lang w:eastAsia="en-US"/>
        </w:rPr>
      </w:pPr>
      <w:r>
        <w:rPr/>
        <w:t xml:space="preserve">в соответствии с приказом Департамента жилищно-коммунального </w:t>
      </w:r>
    </w:p>
    <w:p>
      <w:pPr>
        <w:pStyle w:val="Normal"/>
        <w:jc w:val="right"/>
        <w:rPr>
          <w:rFonts w:eastAsia="Calibri"/>
          <w:b/>
          <w:b/>
          <w:lang w:eastAsia="en-US"/>
        </w:rPr>
      </w:pPr>
      <w:r>
        <w:rPr/>
        <w:t xml:space="preserve">комплекса и энергетики ХМАО – Югры от 22.12.2017 № 11-нп </w:t>
      </w:r>
    </w:p>
    <w:tbl>
      <w:tblPr>
        <w:tblW w:w="5000" w:type="pct"/>
        <w:jc w:val="left"/>
        <w:tblInd w:w="0" w:type="dxa"/>
        <w:tblCellMar>
          <w:top w:w="0" w:type="dxa"/>
          <w:left w:w="108" w:type="dxa"/>
          <w:bottom w:w="0" w:type="dxa"/>
          <w:right w:w="108" w:type="dxa"/>
        </w:tblCellMar>
        <w:tblLook w:val="04a0" w:noVBand="1" w:noHBand="0" w:lastColumn="0" w:firstColumn="1" w:lastRow="0" w:firstRow="1"/>
      </w:tblPr>
      <w:tblGrid>
        <w:gridCol w:w="617"/>
        <w:gridCol w:w="1828"/>
        <w:gridCol w:w="2397"/>
        <w:gridCol w:w="2397"/>
        <w:gridCol w:w="2399"/>
      </w:tblGrid>
      <w:tr>
        <w:trPr>
          <w:tblHeader w:val="true"/>
          <w:trHeight w:val="20" w:hRule="atLeast"/>
        </w:trPr>
        <w:tc>
          <w:tcPr>
            <w:tcW w:w="617"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xml:space="preserve">№ </w:t>
            </w:r>
            <w:r>
              <w:rPr>
                <w:sz w:val="20"/>
                <w:szCs w:val="20"/>
                <w:lang w:eastAsia="ru-RU"/>
              </w:rPr>
              <w:t>п/п</w:t>
            </w:r>
          </w:p>
        </w:tc>
        <w:tc>
          <w:tcPr>
            <w:tcW w:w="1828"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Категория многоквартирного (жилого) дома</w:t>
            </w:r>
          </w:p>
        </w:tc>
        <w:tc>
          <w:tcPr>
            <w:tcW w:w="7193" w:type="dxa"/>
            <w:gridSpan w:val="3"/>
            <w:tcBorders>
              <w:top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Норматив потребления (Гкал на 1 кв. метр общей площади жилого помещения в месяц)</w:t>
            </w:r>
          </w:p>
        </w:tc>
      </w:tr>
      <w:tr>
        <w:trPr>
          <w:tblHeader w:val="true"/>
          <w:trHeight w:val="20" w:hRule="atLeast"/>
        </w:trPr>
        <w:tc>
          <w:tcPr>
            <w:tcW w:w="61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r>
          </w:p>
        </w:tc>
        <w:tc>
          <w:tcPr>
            <w:tcW w:w="182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r>
          </w:p>
        </w:tc>
        <w:tc>
          <w:tcPr>
            <w:tcW w:w="2397"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многоквартирные и жилые дома со стенами из камня, кирпича</w:t>
            </w:r>
          </w:p>
        </w:tc>
        <w:tc>
          <w:tcPr>
            <w:tcW w:w="2397"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многоквартирные и жилые дома со стенами из панелей, блоков</w:t>
            </w:r>
          </w:p>
        </w:tc>
        <w:tc>
          <w:tcPr>
            <w:tcW w:w="2399"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многоквартирные и жилые дома со стенами из дерева, смешанных и других материалов</w:t>
            </w:r>
          </w:p>
        </w:tc>
      </w:tr>
      <w:tr>
        <w:trPr>
          <w:tblHeader w:val="true"/>
          <w:trHeight w:val="20" w:hRule="atLeast"/>
        </w:trPr>
        <w:tc>
          <w:tcPr>
            <w:tcW w:w="617" w:type="dxa"/>
            <w:tcBorders>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w:t>
            </w:r>
          </w:p>
        </w:tc>
        <w:tc>
          <w:tcPr>
            <w:tcW w:w="1828"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2</w:t>
            </w:r>
          </w:p>
        </w:tc>
        <w:tc>
          <w:tcPr>
            <w:tcW w:w="2397"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3</w:t>
            </w:r>
          </w:p>
        </w:tc>
        <w:tc>
          <w:tcPr>
            <w:tcW w:w="2397"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4</w:t>
            </w:r>
          </w:p>
        </w:tc>
        <w:tc>
          <w:tcPr>
            <w:tcW w:w="2399"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5</w:t>
            </w:r>
          </w:p>
        </w:tc>
      </w:tr>
      <w:tr>
        <w:trPr>
          <w:trHeight w:val="20" w:hRule="atLeast"/>
        </w:trPr>
        <w:tc>
          <w:tcPr>
            <w:tcW w:w="617" w:type="dxa"/>
            <w:tcBorders>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w:t>
            </w:r>
          </w:p>
        </w:tc>
        <w:tc>
          <w:tcPr>
            <w:tcW w:w="1828"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Этажность</w:t>
            </w:r>
          </w:p>
        </w:tc>
        <w:tc>
          <w:tcPr>
            <w:tcW w:w="7193" w:type="dxa"/>
            <w:gridSpan w:val="3"/>
            <w:tcBorders>
              <w:top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многоквартирные и жилые дома до 1999 года постройки включительно</w:t>
            </w:r>
          </w:p>
        </w:tc>
      </w:tr>
      <w:tr>
        <w:trPr>
          <w:trHeight w:val="20" w:hRule="atLeast"/>
        </w:trPr>
        <w:tc>
          <w:tcPr>
            <w:tcW w:w="617" w:type="dxa"/>
            <w:tcBorders>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1.1.</w:t>
            </w:r>
          </w:p>
        </w:tc>
        <w:tc>
          <w:tcPr>
            <w:tcW w:w="1828"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w:t>
            </w:r>
          </w:p>
        </w:tc>
        <w:tc>
          <w:tcPr>
            <w:tcW w:w="2397"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0,0498</w:t>
            </w:r>
          </w:p>
        </w:tc>
        <w:tc>
          <w:tcPr>
            <w:tcW w:w="2397"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0,0450</w:t>
            </w:r>
          </w:p>
        </w:tc>
        <w:tc>
          <w:tcPr>
            <w:tcW w:w="2399"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0,0578</w:t>
            </w:r>
          </w:p>
        </w:tc>
      </w:tr>
      <w:tr>
        <w:trPr>
          <w:trHeight w:val="20" w:hRule="atLeast"/>
        </w:trPr>
        <w:tc>
          <w:tcPr>
            <w:tcW w:w="617" w:type="dxa"/>
            <w:tcBorders>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1.2.</w:t>
            </w:r>
          </w:p>
        </w:tc>
        <w:tc>
          <w:tcPr>
            <w:tcW w:w="1828"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2</w:t>
            </w:r>
          </w:p>
        </w:tc>
        <w:tc>
          <w:tcPr>
            <w:tcW w:w="2397"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0,0535</w:t>
            </w:r>
          </w:p>
        </w:tc>
        <w:tc>
          <w:tcPr>
            <w:tcW w:w="2397"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0,0532</w:t>
            </w:r>
          </w:p>
        </w:tc>
        <w:tc>
          <w:tcPr>
            <w:tcW w:w="2399"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0,0532</w:t>
            </w:r>
          </w:p>
        </w:tc>
      </w:tr>
      <w:tr>
        <w:trPr>
          <w:trHeight w:val="20" w:hRule="atLeast"/>
        </w:trPr>
        <w:tc>
          <w:tcPr>
            <w:tcW w:w="617" w:type="dxa"/>
            <w:tcBorders>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1.3.</w:t>
            </w:r>
          </w:p>
        </w:tc>
        <w:tc>
          <w:tcPr>
            <w:tcW w:w="1828"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3-4</w:t>
            </w:r>
          </w:p>
        </w:tc>
        <w:tc>
          <w:tcPr>
            <w:tcW w:w="2397"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c>
          <w:tcPr>
            <w:tcW w:w="2397"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0,0309</w:t>
            </w:r>
          </w:p>
        </w:tc>
        <w:tc>
          <w:tcPr>
            <w:tcW w:w="2399"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0,0309</w:t>
            </w:r>
          </w:p>
        </w:tc>
      </w:tr>
      <w:tr>
        <w:trPr>
          <w:trHeight w:val="20" w:hRule="atLeast"/>
        </w:trPr>
        <w:tc>
          <w:tcPr>
            <w:tcW w:w="617" w:type="dxa"/>
            <w:tcBorders>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1.4.</w:t>
            </w:r>
          </w:p>
        </w:tc>
        <w:tc>
          <w:tcPr>
            <w:tcW w:w="1828"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5-9</w:t>
            </w:r>
          </w:p>
        </w:tc>
        <w:tc>
          <w:tcPr>
            <w:tcW w:w="2397"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c>
          <w:tcPr>
            <w:tcW w:w="2397"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0,0285</w:t>
            </w:r>
          </w:p>
        </w:tc>
        <w:tc>
          <w:tcPr>
            <w:tcW w:w="2399"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r>
      <w:tr>
        <w:trPr>
          <w:trHeight w:val="20" w:hRule="atLeast"/>
        </w:trPr>
        <w:tc>
          <w:tcPr>
            <w:tcW w:w="617" w:type="dxa"/>
            <w:tcBorders>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2</w:t>
            </w:r>
          </w:p>
        </w:tc>
        <w:tc>
          <w:tcPr>
            <w:tcW w:w="1828"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Этажность</w:t>
            </w:r>
          </w:p>
        </w:tc>
        <w:tc>
          <w:tcPr>
            <w:tcW w:w="7193" w:type="dxa"/>
            <w:gridSpan w:val="3"/>
            <w:tcBorders>
              <w:top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многоквартирные и жилые дома после 1999 года постройки</w:t>
            </w:r>
          </w:p>
        </w:tc>
      </w:tr>
      <w:tr>
        <w:trPr>
          <w:trHeight w:val="20" w:hRule="atLeast"/>
        </w:trPr>
        <w:tc>
          <w:tcPr>
            <w:tcW w:w="617" w:type="dxa"/>
            <w:tcBorders>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2.1.</w:t>
            </w:r>
          </w:p>
        </w:tc>
        <w:tc>
          <w:tcPr>
            <w:tcW w:w="1828"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w:t>
            </w:r>
          </w:p>
        </w:tc>
        <w:tc>
          <w:tcPr>
            <w:tcW w:w="2397"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0,0252</w:t>
            </w:r>
          </w:p>
        </w:tc>
        <w:tc>
          <w:tcPr>
            <w:tcW w:w="2397"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0,0252</w:t>
            </w:r>
          </w:p>
        </w:tc>
        <w:tc>
          <w:tcPr>
            <w:tcW w:w="2399"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0,0252</w:t>
            </w:r>
          </w:p>
        </w:tc>
      </w:tr>
      <w:tr>
        <w:trPr>
          <w:trHeight w:val="20" w:hRule="atLeast"/>
        </w:trPr>
        <w:tc>
          <w:tcPr>
            <w:tcW w:w="617" w:type="dxa"/>
            <w:tcBorders>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2.2.</w:t>
            </w:r>
          </w:p>
        </w:tc>
        <w:tc>
          <w:tcPr>
            <w:tcW w:w="1828"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2</w:t>
            </w:r>
          </w:p>
        </w:tc>
        <w:tc>
          <w:tcPr>
            <w:tcW w:w="2397"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0,0236</w:t>
            </w:r>
          </w:p>
        </w:tc>
        <w:tc>
          <w:tcPr>
            <w:tcW w:w="2397"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0,0238</w:t>
            </w:r>
          </w:p>
        </w:tc>
        <w:tc>
          <w:tcPr>
            <w:tcW w:w="2399"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0,0246</w:t>
            </w:r>
          </w:p>
        </w:tc>
      </w:tr>
      <w:tr>
        <w:trPr>
          <w:trHeight w:val="20" w:hRule="atLeast"/>
        </w:trPr>
        <w:tc>
          <w:tcPr>
            <w:tcW w:w="617" w:type="dxa"/>
            <w:tcBorders>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2.3.</w:t>
            </w:r>
          </w:p>
        </w:tc>
        <w:tc>
          <w:tcPr>
            <w:tcW w:w="1828"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3</w:t>
            </w:r>
          </w:p>
        </w:tc>
        <w:tc>
          <w:tcPr>
            <w:tcW w:w="2397"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0,0237</w:t>
            </w:r>
          </w:p>
        </w:tc>
        <w:tc>
          <w:tcPr>
            <w:tcW w:w="2397"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0,0241</w:t>
            </w:r>
          </w:p>
        </w:tc>
        <w:tc>
          <w:tcPr>
            <w:tcW w:w="2399"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0,0242</w:t>
            </w:r>
          </w:p>
        </w:tc>
      </w:tr>
      <w:tr>
        <w:trPr>
          <w:trHeight w:val="20" w:hRule="atLeast"/>
        </w:trPr>
        <w:tc>
          <w:tcPr>
            <w:tcW w:w="617" w:type="dxa"/>
            <w:tcBorders>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2.4.</w:t>
            </w:r>
          </w:p>
        </w:tc>
        <w:tc>
          <w:tcPr>
            <w:tcW w:w="1828"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4-5</w:t>
            </w:r>
          </w:p>
        </w:tc>
        <w:tc>
          <w:tcPr>
            <w:tcW w:w="2397"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0,0193</w:t>
            </w:r>
          </w:p>
        </w:tc>
        <w:tc>
          <w:tcPr>
            <w:tcW w:w="2397"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0,0207</w:t>
            </w:r>
          </w:p>
        </w:tc>
        <w:tc>
          <w:tcPr>
            <w:tcW w:w="2399"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0,0210</w:t>
            </w:r>
          </w:p>
        </w:tc>
      </w:tr>
    </w:tbl>
    <w:p>
      <w:pPr>
        <w:pStyle w:val="Normal"/>
        <w:ind w:firstLine="709"/>
        <w:jc w:val="both"/>
        <w:rPr>
          <w:lang w:eastAsia="ru-RU"/>
        </w:rPr>
      </w:pPr>
      <w:r>
        <w:rPr>
          <w:lang w:eastAsia="ru-RU"/>
        </w:rPr>
      </w:r>
    </w:p>
    <w:p>
      <w:pPr>
        <w:pStyle w:val="Normal"/>
        <w:keepNext w:val="true"/>
        <w:keepLines/>
        <w:numPr>
          <w:ilvl w:val="0"/>
          <w:numId w:val="0"/>
        </w:numPr>
        <w:ind w:left="0" w:firstLine="709"/>
        <w:jc w:val="both"/>
        <w:outlineLvl w:val="2"/>
        <w:rPr>
          <w:rFonts w:eastAsia="Calibri Light" w:cs="Calibri Light"/>
          <w:b/>
          <w:b/>
          <w:lang w:eastAsia="en-US"/>
        </w:rPr>
      </w:pPr>
      <w:bookmarkStart w:id="717" w:name="_Toc181340392"/>
      <w:bookmarkStart w:id="718" w:name="_Toc160529926"/>
      <w:bookmarkStart w:id="719" w:name="_Toc535409520"/>
      <w:r>
        <w:rPr>
          <w:rFonts w:eastAsia="Calibri Light" w:cs="Calibri Light"/>
          <w:b/>
          <w:lang w:eastAsia="en-US"/>
        </w:rPr>
        <w:t>1.5.6. Описание сравнения величины договорной и расчетной тепловой нагрузки по зоне действия каждого источника тепловой энергии</w:t>
      </w:r>
      <w:bookmarkEnd w:id="717"/>
      <w:bookmarkEnd w:id="718"/>
      <w:bookmarkEnd w:id="719"/>
    </w:p>
    <w:p>
      <w:pPr>
        <w:pStyle w:val="Normal"/>
        <w:keepNext w:val="true"/>
        <w:keepLines/>
        <w:numPr>
          <w:ilvl w:val="0"/>
          <w:numId w:val="0"/>
        </w:numPr>
        <w:ind w:left="0" w:firstLine="709"/>
        <w:jc w:val="both"/>
        <w:outlineLvl w:val="2"/>
        <w:rPr>
          <w:rFonts w:eastAsia="Calibri Light" w:cs="Calibri Light"/>
          <w:b/>
          <w:b/>
          <w:lang w:eastAsia="en-US"/>
        </w:rPr>
      </w:pPr>
      <w:r>
        <w:rPr>
          <w:rFonts w:eastAsia="Calibri" w:cs="Calibri"/>
          <w:szCs w:val="22"/>
          <w:lang w:eastAsia="en-US"/>
        </w:rPr>
        <w:t>Значения договорных тепловых нагрузок на коллекторах источников тепловой энергии представлены в таблице 14.</w:t>
      </w:r>
    </w:p>
    <w:p>
      <w:pPr>
        <w:pStyle w:val="Normal"/>
        <w:jc w:val="right"/>
        <w:rPr>
          <w:rFonts w:eastAsia="Calibri" w:cs="Calibri"/>
          <w:szCs w:val="22"/>
          <w:lang w:eastAsia="en-US"/>
        </w:rPr>
      </w:pPr>
      <w:bookmarkStart w:id="720" w:name="_Ref50120886"/>
      <w:r>
        <w:rPr>
          <w:rFonts w:eastAsia="Calibri" w:cs="Calibri"/>
          <w:szCs w:val="22"/>
          <w:lang w:eastAsia="en-US"/>
        </w:rPr>
        <w:t xml:space="preserve">Таблица </w:t>
      </w:r>
      <w:bookmarkEnd w:id="720"/>
      <w:r>
        <w:rPr>
          <w:rFonts w:eastAsia="Calibri" w:cs="Calibri"/>
          <w:szCs w:val="22"/>
          <w:lang w:eastAsia="en-US"/>
        </w:rPr>
        <w:t>14 – Значения договорных тепловых нагрузок на коллекторах источников тепловой энергии по плану на 2024 год</w:t>
      </w:r>
    </w:p>
    <w:tbl>
      <w:tblPr>
        <w:tblW w:w="5000" w:type="pct"/>
        <w:jc w:val="left"/>
        <w:tblInd w:w="0" w:type="dxa"/>
        <w:tblCellMar>
          <w:top w:w="0" w:type="dxa"/>
          <w:left w:w="108" w:type="dxa"/>
          <w:bottom w:w="0" w:type="dxa"/>
          <w:right w:w="108" w:type="dxa"/>
        </w:tblCellMar>
        <w:tblLook w:val="04a0" w:noVBand="1" w:noHBand="0" w:lastColumn="0" w:firstColumn="1" w:lastRow="0" w:firstRow="1"/>
      </w:tblPr>
      <w:tblGrid>
        <w:gridCol w:w="860"/>
        <w:gridCol w:w="3230"/>
        <w:gridCol w:w="2243"/>
        <w:gridCol w:w="1263"/>
        <w:gridCol w:w="2042"/>
      </w:tblGrid>
      <w:tr>
        <w:trPr>
          <w:tblHeader w:val="true"/>
        </w:trPr>
        <w:tc>
          <w:tcPr>
            <w:tcW w:w="8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xml:space="preserve">№ </w:t>
            </w:r>
          </w:p>
          <w:p>
            <w:pPr>
              <w:pStyle w:val="Normal"/>
              <w:jc w:val="center"/>
              <w:rPr>
                <w:sz w:val="20"/>
                <w:szCs w:val="20"/>
                <w:lang w:eastAsia="ru-RU"/>
              </w:rPr>
            </w:pPr>
            <w:r>
              <w:rPr>
                <w:sz w:val="20"/>
                <w:szCs w:val="20"/>
                <w:lang w:eastAsia="ru-RU"/>
              </w:rPr>
              <w:t xml:space="preserve">п/п </w:t>
            </w:r>
          </w:p>
        </w:tc>
        <w:tc>
          <w:tcPr>
            <w:tcW w:w="32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Наименование и адрес котельной</w:t>
            </w:r>
          </w:p>
        </w:tc>
        <w:tc>
          <w:tcPr>
            <w:tcW w:w="22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Подключенная нагрузка, Гкал/ч</w:t>
            </w:r>
          </w:p>
        </w:tc>
        <w:tc>
          <w:tcPr>
            <w:tcW w:w="126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ГВС, Гкал/ч</w:t>
            </w:r>
          </w:p>
        </w:tc>
        <w:tc>
          <w:tcPr>
            <w:tcW w:w="20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Отопление, вентиляция, Гкал/ч</w:t>
            </w:r>
          </w:p>
        </w:tc>
      </w:tr>
      <w:tr>
        <w:trPr/>
        <w:tc>
          <w:tcPr>
            <w:tcW w:w="8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r>
          </w:p>
        </w:tc>
        <w:tc>
          <w:tcPr>
            <w:tcW w:w="8778"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городское поселение Октябрьское</w:t>
            </w:r>
          </w:p>
        </w:tc>
      </w:tr>
      <w:tr>
        <w:trPr/>
        <w:tc>
          <w:tcPr>
            <w:tcW w:w="8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w:t>
            </w:r>
          </w:p>
        </w:tc>
        <w:tc>
          <w:tcPr>
            <w:tcW w:w="32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котельная № 1, пгт.Октябрьское, ул.Сенькина, 46б</w:t>
            </w:r>
          </w:p>
        </w:tc>
        <w:tc>
          <w:tcPr>
            <w:tcW w:w="22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8,36</w:t>
            </w:r>
          </w:p>
        </w:tc>
        <w:tc>
          <w:tcPr>
            <w:tcW w:w="126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н/д</w:t>
            </w:r>
          </w:p>
        </w:tc>
        <w:tc>
          <w:tcPr>
            <w:tcW w:w="20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н/д</w:t>
            </w:r>
          </w:p>
        </w:tc>
      </w:tr>
      <w:tr>
        <w:trPr/>
        <w:tc>
          <w:tcPr>
            <w:tcW w:w="8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2</w:t>
            </w:r>
          </w:p>
        </w:tc>
        <w:tc>
          <w:tcPr>
            <w:tcW w:w="32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котельная № 2, пгт.Октябрьское, ул.Пионерская, 17б</w:t>
            </w:r>
          </w:p>
        </w:tc>
        <w:tc>
          <w:tcPr>
            <w:tcW w:w="22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5,63</w:t>
            </w:r>
          </w:p>
        </w:tc>
        <w:tc>
          <w:tcPr>
            <w:tcW w:w="126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н/д</w:t>
            </w:r>
          </w:p>
        </w:tc>
        <w:tc>
          <w:tcPr>
            <w:tcW w:w="20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н/д</w:t>
            </w:r>
          </w:p>
        </w:tc>
      </w:tr>
      <w:tr>
        <w:trPr/>
        <w:tc>
          <w:tcPr>
            <w:tcW w:w="8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3</w:t>
            </w:r>
          </w:p>
        </w:tc>
        <w:tc>
          <w:tcPr>
            <w:tcW w:w="32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котельная № 3, пгт.Октябрьское, ул.Чапаева, 6б</w:t>
            </w:r>
          </w:p>
        </w:tc>
        <w:tc>
          <w:tcPr>
            <w:tcW w:w="22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5,21</w:t>
            </w:r>
          </w:p>
        </w:tc>
        <w:tc>
          <w:tcPr>
            <w:tcW w:w="126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н/д</w:t>
            </w:r>
          </w:p>
        </w:tc>
        <w:tc>
          <w:tcPr>
            <w:tcW w:w="20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н/д</w:t>
            </w:r>
          </w:p>
        </w:tc>
      </w:tr>
      <w:tr>
        <w:trPr/>
        <w:tc>
          <w:tcPr>
            <w:tcW w:w="8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4</w:t>
            </w:r>
          </w:p>
        </w:tc>
        <w:tc>
          <w:tcPr>
            <w:tcW w:w="32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котельная № 6, пгт.Октябрьское, ул.Дзержинского, 2б</w:t>
            </w:r>
          </w:p>
        </w:tc>
        <w:tc>
          <w:tcPr>
            <w:tcW w:w="22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3,26</w:t>
            </w:r>
          </w:p>
        </w:tc>
        <w:tc>
          <w:tcPr>
            <w:tcW w:w="126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н/д</w:t>
            </w:r>
          </w:p>
        </w:tc>
        <w:tc>
          <w:tcPr>
            <w:tcW w:w="20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н/д</w:t>
            </w:r>
          </w:p>
        </w:tc>
      </w:tr>
      <w:tr>
        <w:trPr/>
        <w:tc>
          <w:tcPr>
            <w:tcW w:w="8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5</w:t>
            </w:r>
          </w:p>
        </w:tc>
        <w:tc>
          <w:tcPr>
            <w:tcW w:w="32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котельная № 7,пгт.Октябрьское, ул.Медицинская, 3Б</w:t>
            </w:r>
          </w:p>
        </w:tc>
        <w:tc>
          <w:tcPr>
            <w:tcW w:w="22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0,86</w:t>
            </w:r>
          </w:p>
        </w:tc>
        <w:tc>
          <w:tcPr>
            <w:tcW w:w="126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н/д</w:t>
            </w:r>
          </w:p>
        </w:tc>
        <w:tc>
          <w:tcPr>
            <w:tcW w:w="20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н/д</w:t>
            </w:r>
          </w:p>
        </w:tc>
      </w:tr>
      <w:tr>
        <w:trPr/>
        <w:tc>
          <w:tcPr>
            <w:tcW w:w="8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6</w:t>
            </w:r>
          </w:p>
        </w:tc>
        <w:tc>
          <w:tcPr>
            <w:tcW w:w="32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котельная № 12, пгт.Октябрьское, ул.Медицинская, 3к</w:t>
            </w:r>
          </w:p>
        </w:tc>
        <w:tc>
          <w:tcPr>
            <w:tcW w:w="22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2,67</w:t>
            </w:r>
          </w:p>
        </w:tc>
        <w:tc>
          <w:tcPr>
            <w:tcW w:w="126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н/д</w:t>
            </w:r>
          </w:p>
        </w:tc>
        <w:tc>
          <w:tcPr>
            <w:tcW w:w="20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н/д</w:t>
            </w:r>
          </w:p>
        </w:tc>
      </w:tr>
      <w:tr>
        <w:trPr/>
        <w:tc>
          <w:tcPr>
            <w:tcW w:w="8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7</w:t>
            </w:r>
          </w:p>
        </w:tc>
        <w:tc>
          <w:tcPr>
            <w:tcW w:w="32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котельная № 8, пгт.Октябрьское, ул.50 лет, 38А</w:t>
            </w:r>
          </w:p>
        </w:tc>
        <w:tc>
          <w:tcPr>
            <w:tcW w:w="22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0,16</w:t>
            </w:r>
          </w:p>
        </w:tc>
        <w:tc>
          <w:tcPr>
            <w:tcW w:w="126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н/д</w:t>
            </w:r>
          </w:p>
        </w:tc>
        <w:tc>
          <w:tcPr>
            <w:tcW w:w="20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н/д</w:t>
            </w:r>
          </w:p>
        </w:tc>
      </w:tr>
    </w:tbl>
    <w:p>
      <w:pPr>
        <w:pStyle w:val="Normal"/>
        <w:jc w:val="both"/>
        <w:rPr>
          <w:lang w:eastAsia="ru-RU"/>
        </w:rPr>
      </w:pPr>
      <w:r>
        <w:rPr>
          <w:lang w:eastAsia="ru-RU"/>
        </w:rPr>
      </w:r>
      <w:bookmarkStart w:id="721" w:name="sub_1357"/>
      <w:bookmarkStart w:id="722" w:name="sub_1357"/>
      <w:bookmarkEnd w:id="722"/>
    </w:p>
    <w:p>
      <w:pPr>
        <w:pStyle w:val="Normal"/>
        <w:keepNext w:val="true"/>
        <w:keepLines/>
        <w:numPr>
          <w:ilvl w:val="0"/>
          <w:numId w:val="0"/>
        </w:numPr>
        <w:ind w:left="0" w:firstLine="709"/>
        <w:jc w:val="both"/>
        <w:outlineLvl w:val="2"/>
        <w:rPr>
          <w:rFonts w:eastAsia="Calibri Light" w:cs="Calibri Light"/>
          <w:b/>
          <w:b/>
          <w:lang w:eastAsia="en-US"/>
        </w:rPr>
      </w:pPr>
      <w:bookmarkStart w:id="723" w:name="_Toc181340393"/>
      <w:r>
        <w:rPr>
          <w:rFonts w:eastAsia="Calibri Light" w:cs="Calibri Light"/>
          <w:b/>
          <w:lang w:eastAsia="en-US"/>
        </w:rPr>
        <w:t>1.5.7. Описание изменений тепловых нагрузок потребителей тепловой энергии, в том числе подключенных к тепловым сетям каждой системы теплоснабжения, зафиксированных за период, предшествующий актуализации схемы теплоснабжения</w:t>
      </w:r>
      <w:bookmarkEnd w:id="723"/>
    </w:p>
    <w:p>
      <w:pPr>
        <w:pStyle w:val="Normal"/>
        <w:keepNext w:val="true"/>
        <w:keepLines/>
        <w:numPr>
          <w:ilvl w:val="0"/>
          <w:numId w:val="0"/>
        </w:numPr>
        <w:ind w:left="0" w:firstLine="709"/>
        <w:jc w:val="both"/>
        <w:outlineLvl w:val="2"/>
        <w:rPr>
          <w:rFonts w:eastAsia="Calibri Light" w:cs="Calibri Light"/>
          <w:b/>
          <w:b/>
          <w:lang w:eastAsia="en-US"/>
        </w:rPr>
      </w:pPr>
      <w:r>
        <w:rPr>
          <w:rFonts w:eastAsia="Calibri" w:cs="Calibri"/>
          <w:szCs w:val="22"/>
          <w:lang w:eastAsia="en-US"/>
        </w:rPr>
        <w:t>При актуализации Схемы уточнены сведения по фактической нагрузке потребителей в зоне действия источника теплоснабжения по состоянию на начало 2024 г.</w:t>
      </w:r>
      <w:bookmarkStart w:id="724" w:name="_Toc181340394"/>
      <w:bookmarkStart w:id="725" w:name="_Toc160529928"/>
    </w:p>
    <w:p>
      <w:pPr>
        <w:pStyle w:val="Normal"/>
        <w:keepNext w:val="true"/>
        <w:keepLines/>
        <w:numPr>
          <w:ilvl w:val="0"/>
          <w:numId w:val="0"/>
        </w:numPr>
        <w:ind w:left="0" w:firstLine="709"/>
        <w:jc w:val="both"/>
        <w:outlineLvl w:val="2"/>
        <w:rPr>
          <w:rFonts w:eastAsia="Calibri Light" w:cs="Calibri Light"/>
          <w:b/>
          <w:b/>
          <w:lang w:eastAsia="en-US"/>
        </w:rPr>
      </w:pPr>
      <w:r>
        <w:rPr>
          <w:rFonts w:eastAsia="Calibri Light" w:cs="Calibri Light"/>
          <w:b/>
          <w:lang w:eastAsia="en-US"/>
        </w:rPr>
      </w:r>
    </w:p>
    <w:p>
      <w:pPr>
        <w:pStyle w:val="Normal"/>
        <w:keepNext w:val="true"/>
        <w:keepLines/>
        <w:numPr>
          <w:ilvl w:val="0"/>
          <w:numId w:val="0"/>
        </w:numPr>
        <w:ind w:left="0" w:firstLine="709"/>
        <w:jc w:val="both"/>
        <w:outlineLvl w:val="2"/>
        <w:rPr>
          <w:rFonts w:eastAsia="Calibri Light" w:cs="Calibri Light"/>
          <w:b/>
          <w:b/>
          <w:lang w:eastAsia="en-US"/>
        </w:rPr>
      </w:pPr>
      <w:r>
        <w:rPr>
          <w:rFonts w:eastAsia="Calibri" w:cs="Calibri"/>
          <w:b/>
          <w:bCs/>
          <w:szCs w:val="22"/>
          <w:lang w:eastAsia="en-US"/>
        </w:rPr>
        <w:t>Часть 6 «Балансы тепловой мощности и тепловой нагрузки»</w:t>
      </w:r>
      <w:bookmarkStart w:id="726" w:name="_Toc181340395"/>
      <w:bookmarkStart w:id="727" w:name="_Toc160529929"/>
      <w:bookmarkStart w:id="728" w:name="_Toc535409522"/>
      <w:bookmarkEnd w:id="724"/>
      <w:bookmarkEnd w:id="725"/>
    </w:p>
    <w:p>
      <w:pPr>
        <w:pStyle w:val="Normal"/>
        <w:keepNext w:val="true"/>
        <w:keepLines/>
        <w:numPr>
          <w:ilvl w:val="0"/>
          <w:numId w:val="0"/>
        </w:numPr>
        <w:ind w:left="0" w:firstLine="709"/>
        <w:jc w:val="both"/>
        <w:outlineLvl w:val="2"/>
        <w:rPr>
          <w:rFonts w:eastAsia="Calibri Light" w:cs="Calibri Light"/>
          <w:b/>
          <w:b/>
          <w:lang w:eastAsia="en-US"/>
        </w:rPr>
      </w:pPr>
      <w:r>
        <w:rPr>
          <w:rFonts w:eastAsia="Calibri Light" w:cs="Calibri Light"/>
          <w:b/>
          <w:lang w:eastAsia="en-US"/>
        </w:rPr>
        <w:t>1.6.1</w:t>
      </w:r>
      <w:bookmarkEnd w:id="727"/>
      <w:bookmarkEnd w:id="728"/>
      <w:r>
        <w:rPr>
          <w:rFonts w:eastAsia="Calibri Light" w:cs="Calibri Light"/>
          <w:b/>
          <w:lang w:eastAsia="en-US"/>
        </w:rPr>
        <w:t>. Описание балансов установленной, располагаемой тепловой мощности и тепловой мощности нетто, потерь тепловой мощности в тепловых сетях и расчетной тепловой нагрузки по каждому источнику тепловой энергии, а в ценовых зонах теплоснабжения – по каждой системе теплоснабжения</w:t>
      </w:r>
      <w:bookmarkEnd w:id="726"/>
    </w:p>
    <w:p>
      <w:pPr>
        <w:pStyle w:val="Normal"/>
        <w:keepNext w:val="true"/>
        <w:keepLines/>
        <w:numPr>
          <w:ilvl w:val="0"/>
          <w:numId w:val="0"/>
        </w:numPr>
        <w:ind w:left="0" w:firstLine="709"/>
        <w:jc w:val="both"/>
        <w:outlineLvl w:val="2"/>
        <w:rPr>
          <w:rFonts w:eastAsia="Calibri" w:cs="Calibri"/>
          <w:szCs w:val="22"/>
          <w:lang w:eastAsia="ru-RU"/>
        </w:rPr>
      </w:pPr>
      <w:r>
        <w:rPr>
          <w:rFonts w:eastAsia="Calibri" w:cs="Calibri"/>
          <w:bCs/>
          <w:szCs w:val="22"/>
          <w:lang w:eastAsia="ru-RU"/>
        </w:rPr>
        <w:t>Балансы установленной, располагаемой тепловой мощности и тепловой мощности нетто, потерь тепловой мощности в тепловых сетях и расчетной тепловой нагрузки по каждому источнику тепловой энергии указаны в</w:t>
      </w:r>
      <w:r>
        <w:rPr>
          <w:rFonts w:eastAsia="Calibri" w:cs="Calibri"/>
          <w:szCs w:val="22"/>
          <w:lang w:eastAsia="ru-RU"/>
        </w:rPr>
        <w:t xml:space="preserve"> таблице 15</w:t>
      </w:r>
      <w:bookmarkStart w:id="729" w:name="_Hlk160709558"/>
      <w:bookmarkStart w:id="730" w:name="_Hlk160646244"/>
      <w:bookmarkEnd w:id="729"/>
      <w:bookmarkEnd w:id="730"/>
      <w:r>
        <w:rPr>
          <w:rFonts w:eastAsia="Calibri" w:cs="Calibri"/>
          <w:szCs w:val="22"/>
          <w:lang w:eastAsia="ru-RU"/>
        </w:rPr>
        <w:t>.</w:t>
      </w:r>
      <w:bookmarkStart w:id="731" w:name="_Ref19654204"/>
    </w:p>
    <w:p>
      <w:pPr>
        <w:pStyle w:val="Normal"/>
        <w:keepNext w:val="true"/>
        <w:keepLines/>
        <w:numPr>
          <w:ilvl w:val="0"/>
          <w:numId w:val="0"/>
        </w:numPr>
        <w:ind w:left="0" w:firstLine="709"/>
        <w:jc w:val="both"/>
        <w:outlineLvl w:val="2"/>
        <w:rPr>
          <w:rFonts w:eastAsia="Calibri" w:cs="Calibri"/>
          <w:szCs w:val="22"/>
          <w:lang w:eastAsia="ru-RU"/>
        </w:rPr>
      </w:pPr>
      <w:r>
        <w:rPr>
          <w:rFonts w:eastAsia="Calibri" w:cs="Calibri"/>
          <w:szCs w:val="22"/>
          <w:lang w:eastAsia="ru-RU"/>
        </w:rPr>
      </w:r>
    </w:p>
    <w:p>
      <w:pPr>
        <w:pStyle w:val="Normal"/>
        <w:jc w:val="right"/>
        <w:rPr>
          <w:iCs/>
          <w:lang w:eastAsia="ru-RU"/>
        </w:rPr>
      </w:pPr>
      <w:r>
        <w:rPr>
          <w:rFonts w:eastAsia="Calibri" w:cs="Calibri"/>
          <w:iCs/>
          <w:szCs w:val="18"/>
          <w:lang w:eastAsia="en-US"/>
        </w:rPr>
        <w:t xml:space="preserve">Таблица </w:t>
      </w:r>
      <w:bookmarkEnd w:id="731"/>
      <w:r>
        <w:rPr>
          <w:rFonts w:eastAsia="Calibri" w:cs="Calibri"/>
          <w:iCs/>
          <w:szCs w:val="18"/>
          <w:lang w:eastAsia="en-US"/>
        </w:rPr>
        <w:t>15 – Балансы установленной, располагаемой тепловой мощности и тепловой мощности «нетто», потерь тепловой мощности в тепловых сетях, расчетной тепловой нагрузки по каждому источнику тепловой энергии</w:t>
      </w:r>
    </w:p>
    <w:tbl>
      <w:tblPr>
        <w:tblW w:w="5000" w:type="pct"/>
        <w:jc w:val="left"/>
        <w:tblInd w:w="0" w:type="dxa"/>
        <w:tblCellMar>
          <w:top w:w="0" w:type="dxa"/>
          <w:left w:w="5" w:type="dxa"/>
          <w:bottom w:w="0" w:type="dxa"/>
          <w:right w:w="5" w:type="dxa"/>
        </w:tblCellMar>
        <w:tblLook w:val="04a0" w:noVBand="1" w:noHBand="0" w:lastColumn="0" w:firstColumn="1" w:lastRow="0" w:firstRow="1"/>
      </w:tblPr>
      <w:tblGrid>
        <w:gridCol w:w="237"/>
        <w:gridCol w:w="1294"/>
        <w:gridCol w:w="1097"/>
        <w:gridCol w:w="1102"/>
        <w:gridCol w:w="733"/>
        <w:gridCol w:w="962"/>
        <w:gridCol w:w="693"/>
        <w:gridCol w:w="1083"/>
        <w:gridCol w:w="795"/>
        <w:gridCol w:w="987"/>
        <w:gridCol w:w="653"/>
      </w:tblGrid>
      <w:tr>
        <w:trPr>
          <w:tblHeader w:val="true"/>
          <w:trHeight w:val="20" w:hRule="atLeast"/>
        </w:trPr>
        <w:tc>
          <w:tcPr>
            <w:tcW w:w="2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bookmarkStart w:id="732" w:name="sub_189"/>
            <w:bookmarkEnd w:id="732"/>
            <w:r>
              <w:rPr>
                <w:sz w:val="20"/>
                <w:szCs w:val="20"/>
                <w:lang w:eastAsia="ru-RU"/>
              </w:rPr>
              <w:t xml:space="preserve">№ </w:t>
            </w:r>
            <w:r>
              <w:rPr>
                <w:sz w:val="20"/>
                <w:szCs w:val="20"/>
                <w:lang w:eastAsia="ru-RU"/>
              </w:rPr>
              <w:t>п/п</w:t>
            </w:r>
          </w:p>
        </w:tc>
        <w:tc>
          <w:tcPr>
            <w:tcW w:w="1294" w:type="dxa"/>
            <w:tcBorders>
              <w:top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Наименование и адрес котельной</w:t>
            </w:r>
          </w:p>
        </w:tc>
        <w:tc>
          <w:tcPr>
            <w:tcW w:w="1097" w:type="dxa"/>
            <w:tcBorders>
              <w:top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Установленная мощность, Гкал/ч</w:t>
            </w:r>
          </w:p>
        </w:tc>
        <w:tc>
          <w:tcPr>
            <w:tcW w:w="1102" w:type="dxa"/>
            <w:tcBorders>
              <w:top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Располагаемая, Гкал/ч</w:t>
            </w:r>
          </w:p>
        </w:tc>
        <w:tc>
          <w:tcPr>
            <w:tcW w:w="733" w:type="dxa"/>
            <w:tcBorders>
              <w:top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Тепловая мощность нетто, Гкал/ч</w:t>
            </w:r>
          </w:p>
        </w:tc>
        <w:tc>
          <w:tcPr>
            <w:tcW w:w="962" w:type="dxa"/>
            <w:tcBorders>
              <w:top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Собственные нужды, Гкал/ч</w:t>
            </w:r>
          </w:p>
        </w:tc>
        <w:tc>
          <w:tcPr>
            <w:tcW w:w="693" w:type="dxa"/>
            <w:tcBorders>
              <w:top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Потери в тепловых сетях, Гкал/ч</w:t>
            </w:r>
          </w:p>
        </w:tc>
        <w:tc>
          <w:tcPr>
            <w:tcW w:w="1083" w:type="dxa"/>
            <w:tcBorders>
              <w:top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Подключенная нагрузка, Гкал/ч</w:t>
            </w:r>
          </w:p>
        </w:tc>
        <w:tc>
          <w:tcPr>
            <w:tcW w:w="795" w:type="dxa"/>
            <w:tcBorders>
              <w:top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Тепловая нагрузка на источнике, Гкал/ч</w:t>
            </w:r>
          </w:p>
        </w:tc>
        <w:tc>
          <w:tcPr>
            <w:tcW w:w="987" w:type="dxa"/>
            <w:tcBorders>
              <w:top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Резерв (+)/ дефицит (-) тепловой мощности в номинальном режиме, Гкал/ч</w:t>
            </w:r>
          </w:p>
        </w:tc>
        <w:tc>
          <w:tcPr>
            <w:tcW w:w="653" w:type="dxa"/>
            <w:tcBorders>
              <w:top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КИУТМ, %</w:t>
            </w:r>
          </w:p>
        </w:tc>
      </w:tr>
      <w:tr>
        <w:trPr>
          <w:trHeight w:val="20" w:hRule="atLeast"/>
        </w:trPr>
        <w:tc>
          <w:tcPr>
            <w:tcW w:w="9636" w:type="dxa"/>
            <w:gridSpan w:val="11"/>
            <w:tcBorders>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городское поселение Октябрьское</w:t>
            </w:r>
          </w:p>
        </w:tc>
      </w:tr>
      <w:tr>
        <w:trPr>
          <w:trHeight w:val="20" w:hRule="atLeast"/>
        </w:trPr>
        <w:tc>
          <w:tcPr>
            <w:tcW w:w="237" w:type="dxa"/>
            <w:tcBorders>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w:t>
            </w:r>
          </w:p>
        </w:tc>
        <w:tc>
          <w:tcPr>
            <w:tcW w:w="1294"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котельная              № 1, пгт.Октябрьское, ул.Сенькина, 46б</w:t>
            </w:r>
          </w:p>
        </w:tc>
        <w:tc>
          <w:tcPr>
            <w:tcW w:w="1097"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10,32</w:t>
            </w:r>
          </w:p>
        </w:tc>
        <w:tc>
          <w:tcPr>
            <w:tcW w:w="1102"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10,32</w:t>
            </w:r>
          </w:p>
        </w:tc>
        <w:tc>
          <w:tcPr>
            <w:tcW w:w="733"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10,09</w:t>
            </w:r>
          </w:p>
        </w:tc>
        <w:tc>
          <w:tcPr>
            <w:tcW w:w="962"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0,23</w:t>
            </w:r>
          </w:p>
        </w:tc>
        <w:tc>
          <w:tcPr>
            <w:tcW w:w="693"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0,075</w:t>
            </w:r>
          </w:p>
        </w:tc>
        <w:tc>
          <w:tcPr>
            <w:tcW w:w="1083"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8,36</w:t>
            </w:r>
          </w:p>
        </w:tc>
        <w:tc>
          <w:tcPr>
            <w:tcW w:w="795"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8,435</w:t>
            </w:r>
          </w:p>
        </w:tc>
        <w:tc>
          <w:tcPr>
            <w:tcW w:w="987"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1,654</w:t>
            </w:r>
          </w:p>
        </w:tc>
        <w:tc>
          <w:tcPr>
            <w:tcW w:w="653"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81,73</w:t>
            </w:r>
          </w:p>
        </w:tc>
      </w:tr>
      <w:tr>
        <w:trPr>
          <w:trHeight w:val="20" w:hRule="atLeast"/>
        </w:trPr>
        <w:tc>
          <w:tcPr>
            <w:tcW w:w="237" w:type="dxa"/>
            <w:tcBorders>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2</w:t>
            </w:r>
          </w:p>
        </w:tc>
        <w:tc>
          <w:tcPr>
            <w:tcW w:w="1294"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котельная               № 2, пгт.Октябрьское, ул.Пионерская, 17б</w:t>
            </w:r>
          </w:p>
        </w:tc>
        <w:tc>
          <w:tcPr>
            <w:tcW w:w="1097"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7,12</w:t>
            </w:r>
          </w:p>
        </w:tc>
        <w:tc>
          <w:tcPr>
            <w:tcW w:w="1102"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7,12</w:t>
            </w:r>
          </w:p>
        </w:tc>
        <w:tc>
          <w:tcPr>
            <w:tcW w:w="733"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6,96</w:t>
            </w:r>
          </w:p>
        </w:tc>
        <w:tc>
          <w:tcPr>
            <w:tcW w:w="962"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0,16</w:t>
            </w:r>
          </w:p>
        </w:tc>
        <w:tc>
          <w:tcPr>
            <w:tcW w:w="693"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0,050</w:t>
            </w:r>
          </w:p>
        </w:tc>
        <w:tc>
          <w:tcPr>
            <w:tcW w:w="1083"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5,63</w:t>
            </w:r>
          </w:p>
        </w:tc>
        <w:tc>
          <w:tcPr>
            <w:tcW w:w="795"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5,680</w:t>
            </w:r>
          </w:p>
        </w:tc>
        <w:tc>
          <w:tcPr>
            <w:tcW w:w="987"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1,284</w:t>
            </w:r>
          </w:p>
        </w:tc>
        <w:tc>
          <w:tcPr>
            <w:tcW w:w="653"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79,78</w:t>
            </w:r>
          </w:p>
        </w:tc>
      </w:tr>
      <w:tr>
        <w:trPr>
          <w:trHeight w:val="20" w:hRule="atLeast"/>
        </w:trPr>
        <w:tc>
          <w:tcPr>
            <w:tcW w:w="237" w:type="dxa"/>
            <w:tcBorders>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3</w:t>
            </w:r>
          </w:p>
        </w:tc>
        <w:tc>
          <w:tcPr>
            <w:tcW w:w="1294"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котельная               № 3, пгт.Октябрьское, ул.Чапаева, 6б</w:t>
            </w:r>
          </w:p>
        </w:tc>
        <w:tc>
          <w:tcPr>
            <w:tcW w:w="1097"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5,32</w:t>
            </w:r>
          </w:p>
        </w:tc>
        <w:tc>
          <w:tcPr>
            <w:tcW w:w="1102"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5,32</w:t>
            </w:r>
          </w:p>
        </w:tc>
        <w:tc>
          <w:tcPr>
            <w:tcW w:w="733"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5,26</w:t>
            </w:r>
          </w:p>
        </w:tc>
        <w:tc>
          <w:tcPr>
            <w:tcW w:w="962"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0,06</w:t>
            </w:r>
          </w:p>
        </w:tc>
        <w:tc>
          <w:tcPr>
            <w:tcW w:w="693"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0,040</w:t>
            </w:r>
          </w:p>
        </w:tc>
        <w:tc>
          <w:tcPr>
            <w:tcW w:w="1083"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5,21</w:t>
            </w:r>
          </w:p>
        </w:tc>
        <w:tc>
          <w:tcPr>
            <w:tcW w:w="795"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5,250</w:t>
            </w:r>
          </w:p>
        </w:tc>
        <w:tc>
          <w:tcPr>
            <w:tcW w:w="987"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0,010</w:t>
            </w:r>
          </w:p>
        </w:tc>
        <w:tc>
          <w:tcPr>
            <w:tcW w:w="653"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98,68</w:t>
            </w:r>
          </w:p>
        </w:tc>
      </w:tr>
      <w:tr>
        <w:trPr>
          <w:trHeight w:val="20" w:hRule="atLeast"/>
        </w:trPr>
        <w:tc>
          <w:tcPr>
            <w:tcW w:w="237" w:type="dxa"/>
            <w:tcBorders>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4</w:t>
            </w:r>
          </w:p>
        </w:tc>
        <w:tc>
          <w:tcPr>
            <w:tcW w:w="1294"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котельная               № 6, пгт.Октябрьское, ул.Дзержинского, 2б</w:t>
            </w:r>
          </w:p>
        </w:tc>
        <w:tc>
          <w:tcPr>
            <w:tcW w:w="1097"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5,4</w:t>
            </w:r>
          </w:p>
        </w:tc>
        <w:tc>
          <w:tcPr>
            <w:tcW w:w="1102"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5,4</w:t>
            </w:r>
          </w:p>
        </w:tc>
        <w:tc>
          <w:tcPr>
            <w:tcW w:w="733"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5,31</w:t>
            </w:r>
          </w:p>
        </w:tc>
        <w:tc>
          <w:tcPr>
            <w:tcW w:w="962"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0,09</w:t>
            </w:r>
          </w:p>
        </w:tc>
        <w:tc>
          <w:tcPr>
            <w:tcW w:w="693"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0,029</w:t>
            </w:r>
          </w:p>
        </w:tc>
        <w:tc>
          <w:tcPr>
            <w:tcW w:w="1083"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3,26</w:t>
            </w:r>
          </w:p>
        </w:tc>
        <w:tc>
          <w:tcPr>
            <w:tcW w:w="795"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3,289</w:t>
            </w:r>
          </w:p>
        </w:tc>
        <w:tc>
          <w:tcPr>
            <w:tcW w:w="987"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2,020</w:t>
            </w:r>
          </w:p>
        </w:tc>
        <w:tc>
          <w:tcPr>
            <w:tcW w:w="653"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60,91</w:t>
            </w:r>
          </w:p>
        </w:tc>
      </w:tr>
      <w:tr>
        <w:trPr>
          <w:trHeight w:val="680" w:hRule="atLeast"/>
        </w:trPr>
        <w:tc>
          <w:tcPr>
            <w:tcW w:w="237" w:type="dxa"/>
            <w:tcBorders>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5</w:t>
            </w:r>
          </w:p>
        </w:tc>
        <w:tc>
          <w:tcPr>
            <w:tcW w:w="1294"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котельная               № 7, пгт.Октябрьское, ул.Медицинская, 3Б</w:t>
            </w:r>
          </w:p>
        </w:tc>
        <w:tc>
          <w:tcPr>
            <w:tcW w:w="1097"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5,16</w:t>
            </w:r>
          </w:p>
        </w:tc>
        <w:tc>
          <w:tcPr>
            <w:tcW w:w="1102"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5,16</w:t>
            </w:r>
          </w:p>
        </w:tc>
        <w:tc>
          <w:tcPr>
            <w:tcW w:w="733"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5,05</w:t>
            </w:r>
          </w:p>
        </w:tc>
        <w:tc>
          <w:tcPr>
            <w:tcW w:w="962"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0,11</w:t>
            </w:r>
          </w:p>
        </w:tc>
        <w:tc>
          <w:tcPr>
            <w:tcW w:w="693"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0,036</w:t>
            </w:r>
          </w:p>
        </w:tc>
        <w:tc>
          <w:tcPr>
            <w:tcW w:w="1083"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0,86</w:t>
            </w:r>
          </w:p>
        </w:tc>
        <w:tc>
          <w:tcPr>
            <w:tcW w:w="795"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0,896</w:t>
            </w:r>
          </w:p>
        </w:tc>
        <w:tc>
          <w:tcPr>
            <w:tcW w:w="987"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4,155</w:t>
            </w:r>
          </w:p>
        </w:tc>
        <w:tc>
          <w:tcPr>
            <w:tcW w:w="653"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17,36</w:t>
            </w:r>
          </w:p>
        </w:tc>
      </w:tr>
      <w:tr>
        <w:trPr>
          <w:trHeight w:val="20" w:hRule="atLeast"/>
        </w:trPr>
        <w:tc>
          <w:tcPr>
            <w:tcW w:w="237" w:type="dxa"/>
            <w:tcBorders>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6</w:t>
            </w:r>
          </w:p>
        </w:tc>
        <w:tc>
          <w:tcPr>
            <w:tcW w:w="1294"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котельная                № 12, пгт.Октябрьское, ул.Медицинская, 3к</w:t>
            </w:r>
          </w:p>
        </w:tc>
        <w:tc>
          <w:tcPr>
            <w:tcW w:w="1097"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5,16</w:t>
            </w:r>
          </w:p>
        </w:tc>
        <w:tc>
          <w:tcPr>
            <w:tcW w:w="1102"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5,16</w:t>
            </w:r>
          </w:p>
        </w:tc>
        <w:tc>
          <w:tcPr>
            <w:tcW w:w="733"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5,11</w:t>
            </w:r>
          </w:p>
        </w:tc>
        <w:tc>
          <w:tcPr>
            <w:tcW w:w="962"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0,05</w:t>
            </w:r>
          </w:p>
        </w:tc>
        <w:tc>
          <w:tcPr>
            <w:tcW w:w="693"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0,015</w:t>
            </w:r>
          </w:p>
        </w:tc>
        <w:tc>
          <w:tcPr>
            <w:tcW w:w="1083"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2,67</w:t>
            </w:r>
          </w:p>
        </w:tc>
        <w:tc>
          <w:tcPr>
            <w:tcW w:w="795"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2,685</w:t>
            </w:r>
          </w:p>
        </w:tc>
        <w:tc>
          <w:tcPr>
            <w:tcW w:w="987"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2,430</w:t>
            </w:r>
          </w:p>
        </w:tc>
        <w:tc>
          <w:tcPr>
            <w:tcW w:w="653"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52,03</w:t>
            </w:r>
          </w:p>
        </w:tc>
      </w:tr>
      <w:tr>
        <w:trPr>
          <w:trHeight w:val="680" w:hRule="atLeast"/>
        </w:trPr>
        <w:tc>
          <w:tcPr>
            <w:tcW w:w="237" w:type="dxa"/>
            <w:tcBorders>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7</w:t>
            </w:r>
          </w:p>
        </w:tc>
        <w:tc>
          <w:tcPr>
            <w:tcW w:w="1294"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котельная               № 8, пгт.Октябрьское, ул. 50 лет, 38А</w:t>
            </w:r>
          </w:p>
        </w:tc>
        <w:tc>
          <w:tcPr>
            <w:tcW w:w="1097"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0,43</w:t>
            </w:r>
          </w:p>
        </w:tc>
        <w:tc>
          <w:tcPr>
            <w:tcW w:w="1102"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0,43</w:t>
            </w:r>
          </w:p>
        </w:tc>
        <w:tc>
          <w:tcPr>
            <w:tcW w:w="733"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0,43</w:t>
            </w:r>
          </w:p>
        </w:tc>
        <w:tc>
          <w:tcPr>
            <w:tcW w:w="962"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0,00</w:t>
            </w:r>
          </w:p>
        </w:tc>
        <w:tc>
          <w:tcPr>
            <w:tcW w:w="693"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0,001</w:t>
            </w:r>
          </w:p>
        </w:tc>
        <w:tc>
          <w:tcPr>
            <w:tcW w:w="1083"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0,16</w:t>
            </w:r>
          </w:p>
        </w:tc>
        <w:tc>
          <w:tcPr>
            <w:tcW w:w="795"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0,161</w:t>
            </w:r>
          </w:p>
        </w:tc>
        <w:tc>
          <w:tcPr>
            <w:tcW w:w="987"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0,264</w:t>
            </w:r>
          </w:p>
        </w:tc>
        <w:tc>
          <w:tcPr>
            <w:tcW w:w="653"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37,54</w:t>
            </w:r>
          </w:p>
        </w:tc>
      </w:tr>
    </w:tbl>
    <w:p>
      <w:pPr>
        <w:pStyle w:val="Normal"/>
        <w:keepNext w:val="true"/>
        <w:keepLines/>
        <w:numPr>
          <w:ilvl w:val="0"/>
          <w:numId w:val="0"/>
        </w:numPr>
        <w:ind w:left="0" w:firstLine="709"/>
        <w:jc w:val="both"/>
        <w:outlineLvl w:val="2"/>
        <w:rPr>
          <w:rFonts w:eastAsia="Calibri Light" w:cs="Calibri Light"/>
          <w:b/>
          <w:b/>
          <w:lang w:eastAsia="en-US"/>
        </w:rPr>
      </w:pPr>
      <w:r>
        <w:rPr>
          <w:rFonts w:eastAsia="Calibri Light" w:cs="Calibri Light"/>
          <w:b/>
          <w:lang w:eastAsia="en-US"/>
        </w:rPr>
      </w:r>
    </w:p>
    <w:p>
      <w:pPr>
        <w:pStyle w:val="Normal"/>
        <w:keepNext w:val="true"/>
        <w:keepLines/>
        <w:numPr>
          <w:ilvl w:val="0"/>
          <w:numId w:val="0"/>
        </w:numPr>
        <w:ind w:left="0" w:firstLine="709"/>
        <w:jc w:val="both"/>
        <w:outlineLvl w:val="2"/>
        <w:rPr>
          <w:rFonts w:eastAsia="Calibri Light" w:cs="Calibri Light"/>
          <w:b/>
          <w:b/>
          <w:lang w:eastAsia="en-US"/>
        </w:rPr>
      </w:pPr>
      <w:bookmarkStart w:id="733" w:name="_Toc160529930"/>
      <w:bookmarkStart w:id="734" w:name="_Toc535409523"/>
      <w:r>
        <w:rPr>
          <w:rFonts w:eastAsia="Calibri Light" w:cs="Calibri Light"/>
          <w:b/>
          <w:lang w:eastAsia="en-US"/>
        </w:rPr>
        <w:t xml:space="preserve">1.6.2. </w:t>
      </w:r>
      <w:bookmarkEnd w:id="733"/>
      <w:bookmarkEnd w:id="734"/>
      <w:r>
        <w:rPr>
          <w:rFonts w:eastAsia="Calibri Light" w:cs="Calibri Light"/>
          <w:b/>
          <w:lang w:eastAsia="en-US"/>
        </w:rPr>
        <w:t>Описание резервов и дефицитов тепловой мощности нетто по каждому источнику тепловой энергии, а в ценовых зонах теплоснабжения - по каждой системе теплоснабжения</w:t>
      </w:r>
    </w:p>
    <w:p>
      <w:pPr>
        <w:pStyle w:val="Normal"/>
        <w:ind w:firstLine="709"/>
        <w:jc w:val="both"/>
        <w:rPr>
          <w:rFonts w:eastAsia="Calibri" w:cs="Calibri"/>
          <w:szCs w:val="22"/>
          <w:lang w:eastAsia="ru-RU"/>
        </w:rPr>
      </w:pPr>
      <w:r>
        <w:rPr>
          <w:rFonts w:eastAsia="Calibri" w:cs="Calibri"/>
          <w:szCs w:val="22"/>
          <w:lang w:eastAsia="ru-RU"/>
        </w:rPr>
        <w:t xml:space="preserve">Величина резерва и дефицита тепловой мощности нетто по источнику тепловой энергии представлена в таблице 15. </w:t>
      </w:r>
    </w:p>
    <w:p>
      <w:pPr>
        <w:pStyle w:val="Normal"/>
        <w:ind w:firstLine="709"/>
        <w:jc w:val="both"/>
        <w:rPr>
          <w:rFonts w:eastAsia="Calibri" w:cs="Calibri"/>
          <w:szCs w:val="22"/>
          <w:lang w:eastAsia="ru-RU"/>
        </w:rPr>
      </w:pPr>
      <w:r>
        <w:rPr>
          <w:rFonts w:eastAsia="Calibri" w:cs="Calibri"/>
          <w:szCs w:val="22"/>
          <w:lang w:eastAsia="ru-RU"/>
        </w:rPr>
        <w:t>Дефицит тепловой мощности на источнике отсутствует.</w:t>
      </w:r>
      <w:bookmarkStart w:id="735" w:name="_Toc181340397"/>
      <w:bookmarkStart w:id="736" w:name="_Toc160529931"/>
      <w:bookmarkStart w:id="737" w:name="sub_191"/>
      <w:bookmarkStart w:id="738" w:name="_Toc535409524"/>
      <w:bookmarkStart w:id="739" w:name="sub_190"/>
      <w:bookmarkEnd w:id="737"/>
      <w:bookmarkEnd w:id="738"/>
      <w:bookmarkEnd w:id="739"/>
    </w:p>
    <w:p>
      <w:pPr>
        <w:pStyle w:val="Normal"/>
        <w:ind w:firstLine="709"/>
        <w:jc w:val="both"/>
        <w:rPr>
          <w:rFonts w:eastAsia="Calibri" w:cs="Calibri"/>
          <w:szCs w:val="22"/>
          <w:lang w:eastAsia="ru-RU"/>
        </w:rPr>
      </w:pPr>
      <w:r>
        <w:rPr>
          <w:rFonts w:eastAsia="Calibri" w:cs="Calibri"/>
          <w:szCs w:val="22"/>
          <w:lang w:eastAsia="ru-RU"/>
        </w:rPr>
      </w:r>
    </w:p>
    <w:p>
      <w:pPr>
        <w:pStyle w:val="Normal"/>
        <w:ind w:firstLine="709"/>
        <w:jc w:val="both"/>
        <w:rPr>
          <w:rFonts w:eastAsia="Calibri Light" w:cs="Calibri Light"/>
          <w:b/>
          <w:b/>
          <w:lang w:eastAsia="en-US"/>
        </w:rPr>
      </w:pPr>
      <w:r>
        <w:rPr>
          <w:rFonts w:eastAsia="Calibri Light" w:cs="Calibri Light"/>
          <w:b/>
          <w:lang w:eastAsia="en-US"/>
        </w:rPr>
        <w:t>1.6.3. Описание гидравлических режимов, обеспечивающих передачу тепловой энергии от источника тепловой энергии до самого удаленного потребителя и характеризующих существующие возможности (резервы и дефициты по пропускной способности) передачи тепловой энергии от источника тепловой энергии к потребителю</w:t>
      </w:r>
      <w:bookmarkEnd w:id="735"/>
      <w:bookmarkEnd w:id="736"/>
    </w:p>
    <w:p>
      <w:pPr>
        <w:pStyle w:val="Normal"/>
        <w:ind w:firstLine="709"/>
        <w:jc w:val="both"/>
        <w:rPr>
          <w:rFonts w:eastAsia="Calibri Light" w:cs="Calibri Light"/>
          <w:b/>
          <w:b/>
          <w:lang w:eastAsia="en-US"/>
        </w:rPr>
      </w:pPr>
      <w:r>
        <w:rPr/>
        <w:t>Разработка гидравлического режима для системы теплоснабжения поселения проводится эксплуатирующей организацией в соответствии с</w:t>
      </w:r>
      <w:r>
        <w:rPr>
          <w:rFonts w:ascii="Tinos" w:hAnsi="Tinos"/>
          <w:sz w:val="24"/>
          <w:szCs w:val="24"/>
          <w:lang w:eastAsia="ru-RU"/>
        </w:rPr>
        <w:t xml:space="preserve"> </w:t>
      </w:r>
      <w:hyperlink r:id="rId50">
        <w:r>
          <w:rPr>
            <w:rFonts w:cs="Arial" w:ascii="Tinos" w:hAnsi="Tinos"/>
            <w:color w:val="000000"/>
            <w:sz w:val="24"/>
            <w:szCs w:val="24"/>
            <w:lang w:eastAsia="ru-RU"/>
          </w:rPr>
          <w:t>Приказ</w:t>
        </w:r>
      </w:hyperlink>
      <w:r>
        <w:rPr>
          <w:rFonts w:cs="Arial" w:ascii="Tinos" w:hAnsi="Tinos"/>
          <w:color w:val="000000"/>
          <w:sz w:val="24"/>
          <w:szCs w:val="24"/>
          <w:lang w:eastAsia="ru-RU"/>
        </w:rPr>
        <w:t>ом</w:t>
      </w:r>
      <w:r>
        <w:rPr>
          <w:rFonts w:cs="Arial" w:ascii="Tinos" w:hAnsi="Tinos"/>
          <w:sz w:val="24"/>
          <w:szCs w:val="24"/>
          <w:lang w:eastAsia="ru-RU"/>
        </w:rPr>
        <w:t xml:space="preserve"> Минэнерго России от 14.05.2025 N 511"Об утверждении Правил технической эксплуатации объектов теплоснабжения и теплопотребляющих установок"</w:t>
      </w:r>
      <w:r>
        <w:rPr/>
        <w:t xml:space="preserve"> приказом Минэнерго России                  от 24.03.2003 № 115. Ежегодно разрабатываются гидравлические режимы работы системы теплоснабжения. Мероприятия по регулированию расхода воды у потребителей составляются для каждого отопительного сезона.</w:t>
      </w:r>
    </w:p>
    <w:p>
      <w:pPr>
        <w:pStyle w:val="Normal"/>
        <w:ind w:firstLine="709"/>
        <w:jc w:val="both"/>
        <w:rPr>
          <w:rFonts w:eastAsia="Calibri Light" w:cs="Calibri Light"/>
          <w:b/>
          <w:b/>
          <w:lang w:eastAsia="en-US"/>
        </w:rPr>
      </w:pPr>
      <w:r>
        <w:rPr/>
        <w:t>Гидравлические режимы тепловых сетей обеспечивают достаточное давление теплоносителя у потребителей тепловой энергии и не превышают допустимую норму.</w:t>
      </w:r>
      <w:bookmarkStart w:id="740" w:name="_Toc160529932"/>
      <w:bookmarkStart w:id="741" w:name="_Toc181340398"/>
      <w:bookmarkStart w:id="742" w:name="sub_192"/>
      <w:bookmarkStart w:id="743" w:name="_Toc535409525"/>
      <w:bookmarkEnd w:id="742"/>
      <w:bookmarkEnd w:id="743"/>
      <w:r>
        <w:rPr>
          <w:rFonts w:eastAsia="Calibri Light" w:cs="Calibri Light"/>
          <w:b/>
          <w:lang w:eastAsia="en-US"/>
        </w:rPr>
        <w:t xml:space="preserve"> </w:t>
      </w:r>
    </w:p>
    <w:p>
      <w:pPr>
        <w:pStyle w:val="Normal"/>
        <w:ind w:firstLine="709"/>
        <w:jc w:val="both"/>
        <w:rPr>
          <w:rFonts w:eastAsia="Calibri Light" w:cs="Calibri Light"/>
          <w:b/>
          <w:b/>
          <w:lang w:eastAsia="en-US"/>
        </w:rPr>
      </w:pPr>
      <w:r>
        <w:rPr>
          <w:rFonts w:eastAsia="Calibri Light" w:cs="Calibri Light"/>
          <w:b/>
          <w:lang w:eastAsia="en-US"/>
        </w:rPr>
      </w:r>
    </w:p>
    <w:p>
      <w:pPr>
        <w:pStyle w:val="Normal"/>
        <w:ind w:firstLine="709"/>
        <w:jc w:val="both"/>
        <w:rPr>
          <w:rFonts w:eastAsia="Calibri Light" w:cs="Calibri Light"/>
          <w:b/>
          <w:b/>
          <w:lang w:eastAsia="en-US"/>
        </w:rPr>
      </w:pPr>
      <w:r>
        <w:rPr>
          <w:rFonts w:eastAsia="Calibri Light" w:cs="Calibri Light"/>
          <w:b/>
          <w:lang w:eastAsia="en-US"/>
        </w:rPr>
        <w:t>1.6.4. Описание причины возникновения дефицитов тепловой мощности и последствий влияния дефицитов на качество теплоснабжения</w:t>
      </w:r>
      <w:bookmarkEnd w:id="740"/>
      <w:bookmarkEnd w:id="741"/>
    </w:p>
    <w:p>
      <w:pPr>
        <w:pStyle w:val="Normal"/>
        <w:ind w:firstLine="709"/>
        <w:jc w:val="both"/>
        <w:rPr>
          <w:rFonts w:eastAsia="Calibri" w:cs="Calibri"/>
          <w:szCs w:val="22"/>
          <w:lang w:eastAsia="ru-RU"/>
        </w:rPr>
      </w:pPr>
      <w:r>
        <w:rPr>
          <w:rFonts w:eastAsia="Calibri" w:cs="Calibri"/>
          <w:szCs w:val="22"/>
          <w:lang w:eastAsia="ru-RU"/>
        </w:rPr>
        <w:t xml:space="preserve">Расчет дефицита/профицита мощности по каждому из источников производился исходя из ситуации, при которой потребители производят выборку заявленной мощности в полном объеме. </w:t>
      </w:r>
    </w:p>
    <w:p>
      <w:pPr>
        <w:pStyle w:val="Normal"/>
        <w:ind w:firstLine="709"/>
        <w:jc w:val="both"/>
        <w:rPr>
          <w:rFonts w:eastAsia="Calibri Light" w:cs="Calibri Light"/>
          <w:b/>
          <w:b/>
          <w:lang w:eastAsia="en-US"/>
        </w:rPr>
      </w:pPr>
      <w:r>
        <w:rPr>
          <w:rFonts w:eastAsia="Calibri" w:cs="Calibri"/>
          <w:szCs w:val="22"/>
          <w:lang w:eastAsia="ru-RU"/>
        </w:rPr>
        <w:t xml:space="preserve">Актуализацию тепловых нагрузок необходимо производить ежегодно на основании фактически проведенных наладочных мероприятий, показаний узлов учета, а также снижения заявленных величин после введения оплаты за резерв мощности либо двухставочных тарифов. Информация об актуализации тепловых нагрузок отсутствует. </w:t>
      </w:r>
    </w:p>
    <w:p>
      <w:pPr>
        <w:pStyle w:val="Normal"/>
        <w:keepNext w:val="true"/>
        <w:keepLines/>
        <w:numPr>
          <w:ilvl w:val="0"/>
          <w:numId w:val="0"/>
        </w:numPr>
        <w:ind w:left="0" w:firstLine="709"/>
        <w:jc w:val="both"/>
        <w:outlineLvl w:val="2"/>
        <w:rPr>
          <w:rFonts w:eastAsia="Calibri Light" w:cs="Calibri Light"/>
          <w:b/>
          <w:b/>
          <w:lang w:eastAsia="en-US"/>
        </w:rPr>
      </w:pPr>
      <w:r>
        <w:rPr>
          <w:rFonts w:eastAsia="Calibri" w:cs="Calibri"/>
          <w:szCs w:val="22"/>
          <w:lang w:eastAsia="ru-RU"/>
        </w:rPr>
        <w:t>Дефицит тепловой мощности на источнике отсутствует.</w:t>
      </w:r>
      <w:bookmarkStart w:id="744" w:name="_Toc181340399"/>
      <w:bookmarkStart w:id="745" w:name="_Toc160529933"/>
      <w:bookmarkStart w:id="746" w:name="sub_193"/>
      <w:bookmarkStart w:id="747" w:name="_Toc535409526"/>
      <w:bookmarkEnd w:id="746"/>
      <w:bookmarkEnd w:id="747"/>
    </w:p>
    <w:p>
      <w:pPr>
        <w:pStyle w:val="Normal"/>
        <w:keepNext w:val="true"/>
        <w:keepLines/>
        <w:numPr>
          <w:ilvl w:val="0"/>
          <w:numId w:val="0"/>
        </w:numPr>
        <w:ind w:left="0" w:firstLine="709"/>
        <w:jc w:val="both"/>
        <w:outlineLvl w:val="2"/>
        <w:rPr>
          <w:rFonts w:eastAsia="Calibri Light" w:cs="Calibri Light"/>
          <w:b/>
          <w:b/>
          <w:lang w:eastAsia="en-US"/>
        </w:rPr>
      </w:pPr>
      <w:r>
        <w:rPr>
          <w:rFonts w:eastAsia="Calibri Light" w:cs="Calibri Light"/>
          <w:b/>
          <w:lang w:eastAsia="en-US"/>
        </w:rPr>
      </w:r>
    </w:p>
    <w:p>
      <w:pPr>
        <w:pStyle w:val="Normal"/>
        <w:keepNext w:val="true"/>
        <w:keepLines/>
        <w:numPr>
          <w:ilvl w:val="0"/>
          <w:numId w:val="0"/>
        </w:numPr>
        <w:ind w:left="0" w:firstLine="709"/>
        <w:jc w:val="both"/>
        <w:outlineLvl w:val="2"/>
        <w:rPr>
          <w:rFonts w:eastAsia="Calibri Light" w:cs="Calibri Light"/>
          <w:b/>
          <w:b/>
          <w:lang w:eastAsia="en-US"/>
        </w:rPr>
      </w:pPr>
      <w:r>
        <w:rPr>
          <w:rFonts w:eastAsia="Calibri Light" w:cs="Calibri Light"/>
          <w:b/>
          <w:lang w:eastAsia="en-US"/>
        </w:rPr>
        <w:t>1.6.5. Описание резервов тепловой мощности нетто источников тепловой энергии и возможностей расширения технологических зон действия источников тепловой энергии с резервами тепловой мощности нетто в зоны действия с дефицитом тепловой мощности</w:t>
      </w:r>
      <w:bookmarkEnd w:id="744"/>
      <w:bookmarkEnd w:id="745"/>
    </w:p>
    <w:p>
      <w:pPr>
        <w:pStyle w:val="Normal"/>
        <w:ind w:firstLine="709"/>
        <w:jc w:val="both"/>
        <w:rPr>
          <w:lang w:eastAsia="ru-RU"/>
        </w:rPr>
      </w:pPr>
      <w:r>
        <w:rPr>
          <w:rFonts w:eastAsia="Calibri" w:cs="Calibri"/>
          <w:szCs w:val="22"/>
          <w:lang w:eastAsia="en-US"/>
        </w:rPr>
        <w:t>Возможности расширения технологических зон действия источников тепловой энергии с резервами тепловой мощности нетто в зоны действия источников с дефицитом тепловой мощности отсутствуют.</w:t>
      </w:r>
    </w:p>
    <w:p>
      <w:pPr>
        <w:pStyle w:val="Normal"/>
        <w:ind w:firstLine="709"/>
        <w:jc w:val="both"/>
        <w:rPr>
          <w:lang w:eastAsia="ru-RU"/>
        </w:rPr>
      </w:pPr>
      <w:r>
        <w:rPr>
          <w:lang w:eastAsia="ru-RU"/>
        </w:rPr>
      </w:r>
    </w:p>
    <w:p>
      <w:pPr>
        <w:pStyle w:val="Normal"/>
        <w:keepNext w:val="true"/>
        <w:keepLines/>
        <w:numPr>
          <w:ilvl w:val="0"/>
          <w:numId w:val="0"/>
        </w:numPr>
        <w:ind w:left="0" w:firstLine="709"/>
        <w:jc w:val="both"/>
        <w:outlineLvl w:val="2"/>
        <w:rPr>
          <w:rFonts w:eastAsia="Calibri Light" w:cs="Calibri Light"/>
          <w:b/>
          <w:b/>
          <w:lang w:eastAsia="en-US"/>
        </w:rPr>
      </w:pPr>
      <w:bookmarkStart w:id="748" w:name="_Toc181340400"/>
      <w:bookmarkStart w:id="749" w:name="_Toc160529934"/>
      <w:r>
        <w:rPr>
          <w:rFonts w:eastAsia="Calibri Light" w:cs="Calibri Light"/>
          <w:b/>
          <w:lang w:eastAsia="en-US"/>
        </w:rPr>
        <w:t>1.6.6</w:t>
      </w:r>
      <w:bookmarkEnd w:id="749"/>
      <w:r>
        <w:rPr>
          <w:rFonts w:eastAsia="Calibri Light" w:cs="Calibri Light"/>
          <w:b/>
          <w:lang w:eastAsia="en-US"/>
        </w:rPr>
        <w:t>. Описание изменений в балансах тепловой мощности и тепловой нагрузки каждой системы теплоснабжения, в том числе с учетом реализации планов строительства, реконструкции, технического перевооружения и (или) модернизации источников тепловой энергии, введенных в эксплуатацию за период, предшествующий актуализации схемы теплоснабжения</w:t>
      </w:r>
      <w:bookmarkEnd w:id="748"/>
    </w:p>
    <w:p>
      <w:pPr>
        <w:pStyle w:val="Normal"/>
        <w:ind w:firstLine="709"/>
        <w:jc w:val="both"/>
        <w:rPr>
          <w:lang w:eastAsia="ru-RU"/>
        </w:rPr>
      </w:pPr>
      <w:r>
        <w:rPr>
          <w:rFonts w:eastAsia="Calibri"/>
          <w:lang w:eastAsia="ru-RU"/>
        </w:rPr>
        <w:t>За период с момента утверждения ранее актуализированной Схемы теплоснабжения в функциональной структуре системы теплоснабжения поселения изменений не произошло</w:t>
      </w:r>
      <w:r>
        <w:rPr>
          <w:rFonts w:eastAsia="Calibri" w:cs="Calibri"/>
          <w:szCs w:val="22"/>
          <w:lang w:eastAsia="en-US"/>
        </w:rPr>
        <w:t>. Тепловые нагрузки поселения актуализированы по данным на 2024 год.</w:t>
      </w:r>
      <w:bookmarkStart w:id="750" w:name="_Toc160529935"/>
      <w:bookmarkStart w:id="751" w:name="_Toc181340401"/>
    </w:p>
    <w:p>
      <w:pPr>
        <w:pStyle w:val="Normal"/>
        <w:ind w:firstLine="709"/>
        <w:jc w:val="both"/>
        <w:rPr>
          <w:lang w:eastAsia="ru-RU"/>
        </w:rPr>
      </w:pPr>
      <w:r>
        <w:rPr>
          <w:lang w:eastAsia="ru-RU"/>
        </w:rPr>
      </w:r>
    </w:p>
    <w:p>
      <w:pPr>
        <w:pStyle w:val="Normal"/>
        <w:ind w:firstLine="709"/>
        <w:jc w:val="both"/>
        <w:rPr>
          <w:lang w:eastAsia="ru-RU"/>
        </w:rPr>
      </w:pPr>
      <w:r>
        <w:rPr>
          <w:rFonts w:eastAsia="Calibri" w:cs="Calibri"/>
          <w:b/>
          <w:bCs/>
          <w:szCs w:val="22"/>
          <w:lang w:eastAsia="en-US"/>
        </w:rPr>
        <w:t>Часть 7 «Балансы теплоносителя»</w:t>
      </w:r>
      <w:bookmarkEnd w:id="750"/>
      <w:bookmarkEnd w:id="751"/>
      <w:r>
        <w:rPr>
          <w:rFonts w:eastAsia="Calibri" w:cs="Calibri"/>
          <w:szCs w:val="22"/>
          <w:lang w:eastAsia="en-US"/>
        </w:rPr>
        <w:t xml:space="preserve"> </w:t>
      </w:r>
      <w:bookmarkStart w:id="752" w:name="_Toc181340402"/>
      <w:bookmarkStart w:id="753" w:name="_Toc160529936"/>
      <w:bookmarkStart w:id="754" w:name="_Toc535409528"/>
    </w:p>
    <w:p>
      <w:pPr>
        <w:pStyle w:val="Normal"/>
        <w:ind w:firstLine="709"/>
        <w:jc w:val="both"/>
        <w:rPr>
          <w:lang w:eastAsia="ru-RU"/>
        </w:rPr>
      </w:pPr>
      <w:r>
        <w:rPr>
          <w:rFonts w:eastAsia="Calibri Light" w:cs="Calibri Light"/>
          <w:b/>
          <w:lang w:eastAsia="en-US"/>
        </w:rPr>
        <w:t>1.7.1. Описание балансов производительности водоподготовительных установок теплоносителя для тепловых сетей и максимального потребления теплоносителя в теплоиспользующих установках потребителей в перспективных зонах действия систем теплоснабжения и источников тепловой энергии, в том числе работающих на единую тепловую сеть</w:t>
      </w:r>
      <w:bookmarkEnd w:id="752"/>
      <w:bookmarkEnd w:id="753"/>
      <w:bookmarkEnd w:id="754"/>
    </w:p>
    <w:p>
      <w:pPr>
        <w:pStyle w:val="Normal"/>
        <w:keepNext w:val="true"/>
        <w:keepLines/>
        <w:numPr>
          <w:ilvl w:val="0"/>
          <w:numId w:val="0"/>
        </w:numPr>
        <w:ind w:left="0" w:firstLine="709"/>
        <w:jc w:val="both"/>
        <w:outlineLvl w:val="2"/>
        <w:rPr>
          <w:rFonts w:eastAsia="Calibri Light" w:cs="Calibri Light"/>
          <w:b/>
          <w:b/>
          <w:lang w:eastAsia="en-US"/>
        </w:rPr>
      </w:pPr>
      <w:r>
        <w:rPr>
          <w:lang w:eastAsia="ru-RU"/>
        </w:rPr>
        <w:t>Расчетная производительность водоподготовительной установки (ВПУ) источника для подпитки тепловых сетей определяется в соответствии со строительными нормами и правилами по проектированию тепловых сетей.</w:t>
      </w:r>
    </w:p>
    <w:p>
      <w:pPr>
        <w:pStyle w:val="2"/>
        <w:spacing w:before="0" w:after="0"/>
        <w:ind w:firstLine="567"/>
        <w:rPr>
          <w:b w:val="false"/>
          <w:b w:val="false"/>
          <w:color w:val="auto"/>
          <w:lang w:eastAsia="ru-RU"/>
        </w:rPr>
      </w:pPr>
      <w:r>
        <w:rPr>
          <w:b w:val="false"/>
          <w:color w:val="auto"/>
          <w:lang w:eastAsia="ru-RU"/>
        </w:rPr>
        <w:t xml:space="preserve">Согласно СНиП 41-02-2003 «Тепловые сети» </w:t>
      </w:r>
      <w:r>
        <w:rPr>
          <w:b w:val="false"/>
        </w:rPr>
        <w:t xml:space="preserve">качество исходной воды для систем теплоснабжения должно отвечать требованиям </w:t>
      </w:r>
      <w:r>
        <w:rPr>
          <w:rFonts w:cs="Times New Roman"/>
          <w:b w:val="false"/>
          <w:bCs/>
          <w:szCs w:val="24"/>
        </w:rPr>
        <w:t xml:space="preserve">СанПиН 1.2.3685-21 </w:t>
      </w:r>
      <w:r>
        <w:rPr>
          <w:b w:val="false"/>
        </w:rPr>
        <w:t>и правилам технической эксплуатации электрических станций и сетей Минэнерго России.</w:t>
      </w:r>
    </w:p>
    <w:p>
      <w:pPr>
        <w:pStyle w:val="2"/>
        <w:spacing w:before="0" w:after="0"/>
        <w:ind w:firstLine="567"/>
        <w:rPr>
          <w:b w:val="false"/>
          <w:b w:val="false"/>
        </w:rPr>
      </w:pPr>
      <w:r>
        <w:rPr>
          <w:b w:val="false"/>
        </w:rPr>
        <w:t>Данные по производительности водоподготовительных установок теплоносителя для тепловых сетей представлены в таблице 16.</w:t>
      </w:r>
      <w:bookmarkStart w:id="755" w:name="_Ref19654288"/>
      <w:bookmarkStart w:id="756" w:name="_Hlk160709618"/>
      <w:bookmarkStart w:id="757" w:name="_Hlk160646377"/>
      <w:bookmarkEnd w:id="755"/>
      <w:bookmarkEnd w:id="756"/>
      <w:bookmarkEnd w:id="757"/>
    </w:p>
    <w:p>
      <w:pPr>
        <w:pStyle w:val="Normal"/>
        <w:rPr>
          <w:lang w:eastAsia="en-US"/>
        </w:rPr>
      </w:pPr>
      <w:r>
        <w:rPr>
          <w:lang w:eastAsia="en-US"/>
        </w:rPr>
      </w:r>
    </w:p>
    <w:p>
      <w:pPr>
        <w:pStyle w:val="Normal"/>
        <w:jc w:val="right"/>
        <w:rPr>
          <w:rFonts w:eastAsia="Calibri" w:cs="Calibri"/>
          <w:iCs/>
          <w:szCs w:val="18"/>
          <w:lang w:eastAsia="en-US"/>
        </w:rPr>
      </w:pPr>
      <w:bookmarkStart w:id="758" w:name="_Ref19654300"/>
      <w:r>
        <w:rPr>
          <w:rFonts w:eastAsia="Calibri" w:cs="Calibri"/>
          <w:iCs/>
          <w:szCs w:val="18"/>
          <w:lang w:eastAsia="en-US"/>
        </w:rPr>
        <w:t xml:space="preserve">Таблица </w:t>
      </w:r>
      <w:bookmarkEnd w:id="758"/>
      <w:r>
        <w:rPr>
          <w:rFonts w:eastAsia="Calibri" w:cs="Calibri"/>
          <w:iCs/>
          <w:szCs w:val="18"/>
          <w:lang w:eastAsia="en-US"/>
        </w:rPr>
        <w:t>16 – Данные о системах ВПУ установленных на источниках и балансы подпитки тепловых сетей</w:t>
      </w:r>
    </w:p>
    <w:tbl>
      <w:tblPr>
        <w:tblW w:w="5000" w:type="pct"/>
        <w:jc w:val="left"/>
        <w:tblInd w:w="0" w:type="dxa"/>
        <w:tblCellMar>
          <w:top w:w="0" w:type="dxa"/>
          <w:left w:w="108" w:type="dxa"/>
          <w:bottom w:w="0" w:type="dxa"/>
          <w:right w:w="108" w:type="dxa"/>
        </w:tblCellMar>
        <w:tblLook w:val="04a0" w:noVBand="1" w:noHBand="0" w:lastColumn="0" w:firstColumn="1" w:lastRow="0" w:firstRow="1"/>
      </w:tblPr>
      <w:tblGrid>
        <w:gridCol w:w="467"/>
        <w:gridCol w:w="1661"/>
        <w:gridCol w:w="1878"/>
        <w:gridCol w:w="1282"/>
        <w:gridCol w:w="1811"/>
        <w:gridCol w:w="1461"/>
        <w:gridCol w:w="1077"/>
      </w:tblGrid>
      <w:tr>
        <w:trPr>
          <w:tblHeader w:val="true"/>
          <w:trHeight w:val="470" w:hRule="atLeast"/>
        </w:trPr>
        <w:tc>
          <w:tcPr>
            <w:tcW w:w="467"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xml:space="preserve">№ </w:t>
            </w:r>
            <w:r>
              <w:rPr>
                <w:sz w:val="20"/>
                <w:szCs w:val="20"/>
                <w:lang w:eastAsia="ru-RU"/>
              </w:rPr>
              <w:t>п/п</w:t>
            </w:r>
          </w:p>
        </w:tc>
        <w:tc>
          <w:tcPr>
            <w:tcW w:w="1661"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Наименование котельной</w:t>
            </w:r>
          </w:p>
        </w:tc>
        <w:tc>
          <w:tcPr>
            <w:tcW w:w="1878"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Расчетный часовой расход воды для определения производительности водоподготовки, м3/ч</w:t>
            </w:r>
          </w:p>
        </w:tc>
        <w:tc>
          <w:tcPr>
            <w:tcW w:w="1282"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Расход подпиточной воды в рабочем режиме, м3/ч</w:t>
            </w:r>
          </w:p>
        </w:tc>
        <w:tc>
          <w:tcPr>
            <w:tcW w:w="1811"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Расход воды на заполнение наибольшего по диаметру секционированного участка тепловой сети, м3/ч</w:t>
            </w:r>
          </w:p>
        </w:tc>
        <w:tc>
          <w:tcPr>
            <w:tcW w:w="1461"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Максимальный часовой расход подпиточной воды, м3/ч</w:t>
            </w:r>
          </w:p>
        </w:tc>
        <w:tc>
          <w:tcPr>
            <w:tcW w:w="1077"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Расчетный часовой расход аварийной подпитки, м3/ч</w:t>
            </w:r>
          </w:p>
        </w:tc>
      </w:tr>
      <w:tr>
        <w:trPr>
          <w:tblHeader w:val="true"/>
          <w:trHeight w:val="710" w:hRule="atLeast"/>
        </w:trPr>
        <w:tc>
          <w:tcPr>
            <w:tcW w:w="467"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r>
          </w:p>
        </w:tc>
        <w:tc>
          <w:tcPr>
            <w:tcW w:w="1661"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r>
          </w:p>
        </w:tc>
        <w:tc>
          <w:tcPr>
            <w:tcW w:w="1878"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r>
          </w:p>
        </w:tc>
        <w:tc>
          <w:tcPr>
            <w:tcW w:w="128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r>
          </w:p>
        </w:tc>
        <w:tc>
          <w:tcPr>
            <w:tcW w:w="1811"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r>
          </w:p>
        </w:tc>
        <w:tc>
          <w:tcPr>
            <w:tcW w:w="1461"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r>
          </w:p>
        </w:tc>
        <w:tc>
          <w:tcPr>
            <w:tcW w:w="1077"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r>
          </w:p>
        </w:tc>
      </w:tr>
      <w:tr>
        <w:trPr>
          <w:trHeight w:val="20" w:hRule="atLeast"/>
        </w:trPr>
        <w:tc>
          <w:tcPr>
            <w:tcW w:w="9637" w:type="dxa"/>
            <w:gridSpan w:val="7"/>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городское поселение Октябрьское</w:t>
            </w:r>
          </w:p>
        </w:tc>
      </w:tr>
      <w:tr>
        <w:trPr>
          <w:trHeight w:val="20" w:hRule="atLeast"/>
        </w:trPr>
        <w:tc>
          <w:tcPr>
            <w:tcW w:w="4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w:t>
            </w:r>
          </w:p>
        </w:tc>
        <w:tc>
          <w:tcPr>
            <w:tcW w:w="1661" w:type="dxa"/>
            <w:tcBorders>
              <w:bottom w:val="single" w:sz="8" w:space="0" w:color="000000"/>
              <w:right w:val="single" w:sz="8" w:space="0" w:color="000000"/>
            </w:tcBorders>
            <w:shd w:color="auto" w:fill="auto" w:val="clear"/>
            <w:vAlign w:val="center"/>
          </w:tcPr>
          <w:p>
            <w:pPr>
              <w:pStyle w:val="Normal"/>
              <w:jc w:val="both"/>
              <w:rPr>
                <w:sz w:val="20"/>
                <w:szCs w:val="20"/>
                <w:lang w:eastAsia="ru-RU"/>
              </w:rPr>
            </w:pPr>
            <w:r>
              <w:rPr>
                <w:sz w:val="20"/>
                <w:szCs w:val="20"/>
              </w:rPr>
              <w:t xml:space="preserve">котельная № 1, </w:t>
            </w:r>
          </w:p>
          <w:p>
            <w:pPr>
              <w:pStyle w:val="Normal"/>
              <w:jc w:val="both"/>
              <w:rPr>
                <w:sz w:val="20"/>
                <w:szCs w:val="20"/>
              </w:rPr>
            </w:pPr>
            <w:r>
              <w:rPr>
                <w:sz w:val="20"/>
                <w:szCs w:val="20"/>
              </w:rPr>
              <w:t>пгт.Октябрьское, ул.Сенькина, 46б</w:t>
            </w:r>
          </w:p>
        </w:tc>
        <w:tc>
          <w:tcPr>
            <w:tcW w:w="1878"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4,74</w:t>
            </w:r>
          </w:p>
        </w:tc>
        <w:tc>
          <w:tcPr>
            <w:tcW w:w="1282"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1,58</w:t>
            </w:r>
          </w:p>
        </w:tc>
        <w:tc>
          <w:tcPr>
            <w:tcW w:w="1811"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25</w:t>
            </w:r>
          </w:p>
        </w:tc>
        <w:tc>
          <w:tcPr>
            <w:tcW w:w="1461"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26,58</w:t>
            </w:r>
          </w:p>
        </w:tc>
        <w:tc>
          <w:tcPr>
            <w:tcW w:w="1077"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12,6</w:t>
            </w:r>
          </w:p>
        </w:tc>
      </w:tr>
      <w:tr>
        <w:trPr>
          <w:trHeight w:val="20" w:hRule="atLeast"/>
        </w:trPr>
        <w:tc>
          <w:tcPr>
            <w:tcW w:w="4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2</w:t>
            </w:r>
          </w:p>
        </w:tc>
        <w:tc>
          <w:tcPr>
            <w:tcW w:w="1661" w:type="dxa"/>
            <w:tcBorders>
              <w:bottom w:val="single" w:sz="8" w:space="0" w:color="000000"/>
              <w:right w:val="single" w:sz="8" w:space="0" w:color="000000"/>
            </w:tcBorders>
            <w:shd w:color="auto" w:fill="auto" w:val="clear"/>
            <w:vAlign w:val="center"/>
          </w:tcPr>
          <w:p>
            <w:pPr>
              <w:pStyle w:val="Normal"/>
              <w:jc w:val="center"/>
              <w:rPr>
                <w:sz w:val="20"/>
                <w:szCs w:val="20"/>
              </w:rPr>
            </w:pPr>
            <w:r>
              <w:rPr>
                <w:sz w:val="20"/>
                <w:szCs w:val="20"/>
              </w:rPr>
              <w:t xml:space="preserve">котельная № 2, </w:t>
            </w:r>
          </w:p>
          <w:p>
            <w:pPr>
              <w:pStyle w:val="Normal"/>
              <w:jc w:val="center"/>
              <w:rPr>
                <w:sz w:val="20"/>
                <w:szCs w:val="20"/>
              </w:rPr>
            </w:pPr>
            <w:r>
              <w:rPr>
                <w:sz w:val="20"/>
                <w:szCs w:val="20"/>
              </w:rPr>
              <w:t>пгт.Октябрьское, ул.Пионерская, 17б</w:t>
            </w:r>
          </w:p>
        </w:tc>
        <w:tc>
          <w:tcPr>
            <w:tcW w:w="1878"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3,19</w:t>
            </w:r>
          </w:p>
        </w:tc>
        <w:tc>
          <w:tcPr>
            <w:tcW w:w="1282"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1,06</w:t>
            </w:r>
          </w:p>
        </w:tc>
        <w:tc>
          <w:tcPr>
            <w:tcW w:w="1811"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25</w:t>
            </w:r>
          </w:p>
        </w:tc>
        <w:tc>
          <w:tcPr>
            <w:tcW w:w="1461"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26,06</w:t>
            </w:r>
          </w:p>
        </w:tc>
        <w:tc>
          <w:tcPr>
            <w:tcW w:w="1077"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8,5</w:t>
            </w:r>
          </w:p>
        </w:tc>
      </w:tr>
      <w:tr>
        <w:trPr>
          <w:trHeight w:val="20" w:hRule="atLeast"/>
        </w:trPr>
        <w:tc>
          <w:tcPr>
            <w:tcW w:w="4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3</w:t>
            </w:r>
          </w:p>
        </w:tc>
        <w:tc>
          <w:tcPr>
            <w:tcW w:w="1661" w:type="dxa"/>
            <w:tcBorders>
              <w:bottom w:val="single" w:sz="8" w:space="0" w:color="000000"/>
              <w:right w:val="single" w:sz="8" w:space="0" w:color="000000"/>
            </w:tcBorders>
            <w:shd w:color="auto" w:fill="auto" w:val="clear"/>
            <w:vAlign w:val="center"/>
          </w:tcPr>
          <w:p>
            <w:pPr>
              <w:pStyle w:val="Normal"/>
              <w:jc w:val="center"/>
              <w:rPr>
                <w:sz w:val="20"/>
                <w:szCs w:val="20"/>
              </w:rPr>
            </w:pPr>
            <w:r>
              <w:rPr>
                <w:sz w:val="20"/>
                <w:szCs w:val="20"/>
              </w:rPr>
              <w:t>котельная № 3,</w:t>
            </w:r>
          </w:p>
          <w:p>
            <w:pPr>
              <w:pStyle w:val="Normal"/>
              <w:jc w:val="center"/>
              <w:rPr>
                <w:sz w:val="20"/>
                <w:szCs w:val="20"/>
              </w:rPr>
            </w:pPr>
            <w:r>
              <w:rPr>
                <w:sz w:val="20"/>
                <w:szCs w:val="20"/>
              </w:rPr>
              <w:t>пгт.Октябрьское, ул.Чапаева, 6б</w:t>
            </w:r>
          </w:p>
        </w:tc>
        <w:tc>
          <w:tcPr>
            <w:tcW w:w="1878"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2,95</w:t>
            </w:r>
          </w:p>
        </w:tc>
        <w:tc>
          <w:tcPr>
            <w:tcW w:w="1282"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0,98</w:t>
            </w:r>
          </w:p>
        </w:tc>
        <w:tc>
          <w:tcPr>
            <w:tcW w:w="1811"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25</w:t>
            </w:r>
          </w:p>
        </w:tc>
        <w:tc>
          <w:tcPr>
            <w:tcW w:w="1461"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25,98</w:t>
            </w:r>
          </w:p>
        </w:tc>
        <w:tc>
          <w:tcPr>
            <w:tcW w:w="1077"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7,9</w:t>
            </w:r>
          </w:p>
        </w:tc>
      </w:tr>
      <w:tr>
        <w:trPr>
          <w:trHeight w:val="20" w:hRule="atLeast"/>
        </w:trPr>
        <w:tc>
          <w:tcPr>
            <w:tcW w:w="4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4</w:t>
            </w:r>
          </w:p>
        </w:tc>
        <w:tc>
          <w:tcPr>
            <w:tcW w:w="1661" w:type="dxa"/>
            <w:tcBorders>
              <w:bottom w:val="single" w:sz="8" w:space="0" w:color="000000"/>
              <w:right w:val="single" w:sz="8" w:space="0" w:color="000000"/>
            </w:tcBorders>
            <w:shd w:color="auto" w:fill="auto" w:val="clear"/>
            <w:vAlign w:val="center"/>
          </w:tcPr>
          <w:p>
            <w:pPr>
              <w:pStyle w:val="Normal"/>
              <w:jc w:val="center"/>
              <w:rPr>
                <w:sz w:val="20"/>
                <w:szCs w:val="20"/>
              </w:rPr>
            </w:pPr>
            <w:r>
              <w:rPr>
                <w:sz w:val="20"/>
                <w:szCs w:val="20"/>
              </w:rPr>
              <w:t xml:space="preserve">котельная № 6, </w:t>
            </w:r>
          </w:p>
          <w:p>
            <w:pPr>
              <w:pStyle w:val="Normal"/>
              <w:jc w:val="center"/>
              <w:rPr>
                <w:sz w:val="20"/>
                <w:szCs w:val="20"/>
              </w:rPr>
            </w:pPr>
            <w:r>
              <w:rPr>
                <w:sz w:val="20"/>
                <w:szCs w:val="20"/>
              </w:rPr>
              <w:t>пгт.Октябрьское, ул.Дзержинского, 2б</w:t>
            </w:r>
          </w:p>
        </w:tc>
        <w:tc>
          <w:tcPr>
            <w:tcW w:w="1878"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1,85</w:t>
            </w:r>
          </w:p>
        </w:tc>
        <w:tc>
          <w:tcPr>
            <w:tcW w:w="1282"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0,62</w:t>
            </w:r>
          </w:p>
        </w:tc>
        <w:tc>
          <w:tcPr>
            <w:tcW w:w="1811"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15</w:t>
            </w:r>
          </w:p>
        </w:tc>
        <w:tc>
          <w:tcPr>
            <w:tcW w:w="1461"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15,62</w:t>
            </w:r>
          </w:p>
        </w:tc>
        <w:tc>
          <w:tcPr>
            <w:tcW w:w="1077"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4,9</w:t>
            </w:r>
          </w:p>
        </w:tc>
      </w:tr>
      <w:tr>
        <w:trPr>
          <w:trHeight w:val="20" w:hRule="atLeast"/>
        </w:trPr>
        <w:tc>
          <w:tcPr>
            <w:tcW w:w="4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5</w:t>
            </w:r>
          </w:p>
        </w:tc>
        <w:tc>
          <w:tcPr>
            <w:tcW w:w="1661" w:type="dxa"/>
            <w:tcBorders>
              <w:bottom w:val="single" w:sz="8" w:space="0" w:color="000000"/>
              <w:right w:val="single" w:sz="8" w:space="0" w:color="000000"/>
            </w:tcBorders>
            <w:shd w:color="auto" w:fill="auto" w:val="clear"/>
            <w:vAlign w:val="center"/>
          </w:tcPr>
          <w:p>
            <w:pPr>
              <w:pStyle w:val="Normal"/>
              <w:jc w:val="center"/>
              <w:rPr>
                <w:sz w:val="20"/>
                <w:szCs w:val="20"/>
              </w:rPr>
            </w:pPr>
            <w:r>
              <w:rPr>
                <w:sz w:val="20"/>
                <w:szCs w:val="20"/>
              </w:rPr>
              <w:t>котельная № 7,</w:t>
            </w:r>
          </w:p>
          <w:p>
            <w:pPr>
              <w:pStyle w:val="Normal"/>
              <w:jc w:val="center"/>
              <w:rPr>
                <w:sz w:val="20"/>
                <w:szCs w:val="20"/>
              </w:rPr>
            </w:pPr>
            <w:r>
              <w:rPr>
                <w:sz w:val="20"/>
                <w:szCs w:val="20"/>
              </w:rPr>
              <w:t>пгт.Октябрьское, ул.Медицинская, 3Б</w:t>
            </w:r>
          </w:p>
        </w:tc>
        <w:tc>
          <w:tcPr>
            <w:tcW w:w="1878"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0,49</w:t>
            </w:r>
          </w:p>
        </w:tc>
        <w:tc>
          <w:tcPr>
            <w:tcW w:w="1282"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0,16</w:t>
            </w:r>
          </w:p>
        </w:tc>
        <w:tc>
          <w:tcPr>
            <w:tcW w:w="1811"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25</w:t>
            </w:r>
          </w:p>
        </w:tc>
        <w:tc>
          <w:tcPr>
            <w:tcW w:w="1461"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25,16</w:t>
            </w:r>
          </w:p>
        </w:tc>
        <w:tc>
          <w:tcPr>
            <w:tcW w:w="1077"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1,3</w:t>
            </w:r>
          </w:p>
        </w:tc>
      </w:tr>
      <w:tr>
        <w:trPr>
          <w:trHeight w:val="20" w:hRule="atLeast"/>
        </w:trPr>
        <w:tc>
          <w:tcPr>
            <w:tcW w:w="4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6</w:t>
            </w:r>
          </w:p>
        </w:tc>
        <w:tc>
          <w:tcPr>
            <w:tcW w:w="1661" w:type="dxa"/>
            <w:tcBorders>
              <w:bottom w:val="single" w:sz="8" w:space="0" w:color="000000"/>
              <w:right w:val="single" w:sz="8" w:space="0" w:color="000000"/>
            </w:tcBorders>
            <w:shd w:color="auto" w:fill="auto" w:val="clear"/>
            <w:vAlign w:val="center"/>
          </w:tcPr>
          <w:p>
            <w:pPr>
              <w:pStyle w:val="Normal"/>
              <w:jc w:val="center"/>
              <w:rPr>
                <w:sz w:val="20"/>
                <w:szCs w:val="20"/>
              </w:rPr>
            </w:pPr>
            <w:r>
              <w:rPr>
                <w:sz w:val="20"/>
                <w:szCs w:val="20"/>
              </w:rPr>
              <w:t xml:space="preserve">котельная № 12, </w:t>
            </w:r>
          </w:p>
          <w:p>
            <w:pPr>
              <w:pStyle w:val="Normal"/>
              <w:jc w:val="center"/>
              <w:rPr>
                <w:sz w:val="20"/>
                <w:szCs w:val="20"/>
              </w:rPr>
            </w:pPr>
            <w:r>
              <w:rPr>
                <w:sz w:val="20"/>
                <w:szCs w:val="20"/>
              </w:rPr>
              <w:t>пгт.Октябрьское, ул.Медицинская, 3к</w:t>
            </w:r>
          </w:p>
        </w:tc>
        <w:tc>
          <w:tcPr>
            <w:tcW w:w="1878"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1,51</w:t>
            </w:r>
          </w:p>
        </w:tc>
        <w:tc>
          <w:tcPr>
            <w:tcW w:w="1282"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0,50</w:t>
            </w:r>
          </w:p>
        </w:tc>
        <w:tc>
          <w:tcPr>
            <w:tcW w:w="1811"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25</w:t>
            </w:r>
          </w:p>
        </w:tc>
        <w:tc>
          <w:tcPr>
            <w:tcW w:w="1461"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25,50</w:t>
            </w:r>
          </w:p>
        </w:tc>
        <w:tc>
          <w:tcPr>
            <w:tcW w:w="1077"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4,0</w:t>
            </w:r>
          </w:p>
        </w:tc>
      </w:tr>
      <w:tr>
        <w:trPr>
          <w:trHeight w:val="20" w:hRule="atLeast"/>
        </w:trPr>
        <w:tc>
          <w:tcPr>
            <w:tcW w:w="4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7</w:t>
            </w:r>
          </w:p>
        </w:tc>
        <w:tc>
          <w:tcPr>
            <w:tcW w:w="1661" w:type="dxa"/>
            <w:tcBorders>
              <w:bottom w:val="single" w:sz="8" w:space="0" w:color="000000"/>
              <w:right w:val="single" w:sz="8" w:space="0" w:color="000000"/>
            </w:tcBorders>
            <w:shd w:color="auto" w:fill="auto" w:val="clear"/>
            <w:vAlign w:val="center"/>
          </w:tcPr>
          <w:p>
            <w:pPr>
              <w:pStyle w:val="Normal"/>
              <w:jc w:val="center"/>
              <w:rPr>
                <w:sz w:val="20"/>
                <w:szCs w:val="20"/>
              </w:rPr>
            </w:pPr>
            <w:r>
              <w:rPr>
                <w:sz w:val="20"/>
                <w:szCs w:val="20"/>
              </w:rPr>
              <w:t>котельная № 8,</w:t>
            </w:r>
          </w:p>
          <w:p>
            <w:pPr>
              <w:pStyle w:val="Normal"/>
              <w:jc w:val="center"/>
              <w:rPr>
                <w:sz w:val="20"/>
                <w:szCs w:val="20"/>
              </w:rPr>
            </w:pPr>
            <w:r>
              <w:rPr>
                <w:sz w:val="20"/>
                <w:szCs w:val="20"/>
              </w:rPr>
              <w:t>пгт.Октябрьское, ул.50 лет, 38А</w:t>
            </w:r>
          </w:p>
        </w:tc>
        <w:tc>
          <w:tcPr>
            <w:tcW w:w="1878"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0,09</w:t>
            </w:r>
          </w:p>
        </w:tc>
        <w:tc>
          <w:tcPr>
            <w:tcW w:w="1282"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0,03</w:t>
            </w:r>
          </w:p>
        </w:tc>
        <w:tc>
          <w:tcPr>
            <w:tcW w:w="1811"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15</w:t>
            </w:r>
          </w:p>
        </w:tc>
        <w:tc>
          <w:tcPr>
            <w:tcW w:w="1461"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15,03</w:t>
            </w:r>
          </w:p>
        </w:tc>
        <w:tc>
          <w:tcPr>
            <w:tcW w:w="1077"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0,2</w:t>
            </w:r>
          </w:p>
        </w:tc>
      </w:tr>
    </w:tbl>
    <w:p>
      <w:pPr>
        <w:pStyle w:val="Normal"/>
        <w:rPr>
          <w:iCs/>
          <w:lang w:eastAsia="ru-RU"/>
        </w:rPr>
      </w:pPr>
      <w:r>
        <w:rPr>
          <w:rFonts w:eastAsia="Calibri" w:cs="Calibri"/>
          <w:iCs/>
          <w:szCs w:val="18"/>
          <w:lang w:eastAsia="en-US"/>
        </w:rPr>
        <w:t xml:space="preserve"> </w:t>
      </w:r>
    </w:p>
    <w:p>
      <w:pPr>
        <w:pStyle w:val="Normal"/>
        <w:keepNext w:val="true"/>
        <w:keepLines/>
        <w:numPr>
          <w:ilvl w:val="0"/>
          <w:numId w:val="0"/>
        </w:numPr>
        <w:ind w:left="0" w:firstLine="709"/>
        <w:jc w:val="both"/>
        <w:outlineLvl w:val="2"/>
        <w:rPr>
          <w:rFonts w:eastAsia="Calibri Light" w:cs="Calibri Light"/>
          <w:b/>
          <w:b/>
          <w:lang w:eastAsia="en-US"/>
        </w:rPr>
      </w:pPr>
      <w:bookmarkStart w:id="759" w:name="_Toc181340403"/>
      <w:bookmarkStart w:id="760" w:name="_Toc160529937"/>
      <w:bookmarkStart w:id="761" w:name="sub_206"/>
      <w:bookmarkEnd w:id="761"/>
      <w:r>
        <w:rPr>
          <w:rFonts w:eastAsia="Calibri Light" w:cs="Calibri Light"/>
          <w:b/>
          <w:lang w:eastAsia="en-US"/>
        </w:rPr>
        <w:t>1.7.2. Описание балансов производительности водоподготовительных установок теплоносителя для тепловых сетей и максимального потребления теплоносителя в аварийных режимах систем теплоснабжения.</w:t>
      </w:r>
      <w:bookmarkEnd w:id="759"/>
      <w:bookmarkEnd w:id="760"/>
    </w:p>
    <w:p>
      <w:pPr>
        <w:pStyle w:val="Normal"/>
        <w:ind w:firstLine="709"/>
        <w:jc w:val="both"/>
        <w:rPr>
          <w:lang w:eastAsia="ru-RU"/>
        </w:rPr>
      </w:pPr>
      <w:r>
        <w:rPr>
          <w:rFonts w:eastAsia="Calibri" w:cs="Calibri"/>
          <w:szCs w:val="22"/>
          <w:lang w:eastAsia="en-US"/>
        </w:rPr>
        <w:t>Согласно п. 6.17 СНиП 41-02-2003 и п. 6.22 СП 124.13330.2012 для открытых и закрытых систем теплоснабжения должна предусматриваться дополнительно аварийная подпитка химически не обработанной и недеаэрированной водой, расход которой принимается в количестве 2% объема воды в трубопроводах тепловых сетей и присоединенных к ним системах отопления, вентиляции и в системах горячего водоснабжения для открытых систем теплоснабжения. При наличии нескольких отдельных тепловых сетей, отходящих от коллектора теплоисточника, аварийную подпитку допускается определять только для одной наибольшей по объему тепловой сети. Для открытых систем теплоснабжения аварийная подпитка должна обеспечиваться только из систем хозяйственно-питьевого водоснабжения. Структура балансов производительности ВПУ теплоносителя для тепловых сетей и максимального потребления теплоносителя в аварийных режимах систем теплоснабжения представлена в таблице 16.</w:t>
      </w:r>
    </w:p>
    <w:p>
      <w:pPr>
        <w:pStyle w:val="Normal"/>
        <w:ind w:firstLine="709"/>
        <w:jc w:val="both"/>
        <w:rPr>
          <w:lang w:eastAsia="ru-RU"/>
        </w:rPr>
      </w:pPr>
      <w:r>
        <w:rPr>
          <w:lang w:eastAsia="ru-RU"/>
        </w:rPr>
      </w:r>
    </w:p>
    <w:p>
      <w:pPr>
        <w:pStyle w:val="Normal"/>
        <w:keepNext w:val="true"/>
        <w:keepLines/>
        <w:numPr>
          <w:ilvl w:val="0"/>
          <w:numId w:val="0"/>
        </w:numPr>
        <w:ind w:left="0" w:firstLine="709"/>
        <w:jc w:val="both"/>
        <w:outlineLvl w:val="2"/>
        <w:rPr>
          <w:rFonts w:eastAsia="Calibri Light" w:cs="Calibri Light"/>
          <w:b/>
          <w:b/>
          <w:lang w:eastAsia="en-US"/>
        </w:rPr>
      </w:pPr>
      <w:bookmarkStart w:id="762" w:name="_Toc181340404"/>
      <w:bookmarkStart w:id="763" w:name="_Toc160529938"/>
      <w:r>
        <w:rPr>
          <w:rFonts w:eastAsia="Calibri Light" w:cs="Calibri Light"/>
          <w:b/>
          <w:lang w:eastAsia="en-US"/>
        </w:rPr>
        <w:t xml:space="preserve">1.7.3 </w:t>
      </w:r>
      <w:bookmarkEnd w:id="763"/>
      <w:r>
        <w:rPr>
          <w:rFonts w:eastAsia="Calibri Light" w:cs="Calibri Light"/>
          <w:b/>
          <w:lang w:eastAsia="en-US"/>
        </w:rPr>
        <w:t>Описание изменений в балансах водоподготовительных установок для каждой системы теплоснабжения, в том числе с учетом реализации планов строительства, реконструкции, технического перевооружения и (или) модернизации этих установок, введенных в эксплуатацию в период, предшествующий актуализации схемы теплоснабжения</w:t>
      </w:r>
      <w:bookmarkEnd w:id="762"/>
    </w:p>
    <w:p>
      <w:pPr>
        <w:pStyle w:val="Normal"/>
        <w:ind w:firstLine="709"/>
        <w:jc w:val="both"/>
        <w:rPr>
          <w:lang w:eastAsia="ru-RU"/>
        </w:rPr>
      </w:pPr>
      <w:r>
        <w:rPr>
          <w:rFonts w:eastAsia="Calibri" w:cs="Calibri"/>
          <w:szCs w:val="22"/>
          <w:lang w:eastAsia="en-US"/>
        </w:rPr>
        <w:t>При актуализации схемы были уточнены сведения по балансам теплоносителя в зоне действия источника теплоснабжения по состоянию на 2024 г.</w:t>
      </w:r>
      <w:bookmarkStart w:id="764" w:name="_Toc181340405"/>
      <w:bookmarkStart w:id="765" w:name="_Toc160529939"/>
    </w:p>
    <w:p>
      <w:pPr>
        <w:pStyle w:val="Normal"/>
        <w:ind w:firstLine="709"/>
        <w:jc w:val="both"/>
        <w:rPr>
          <w:lang w:eastAsia="ru-RU"/>
        </w:rPr>
      </w:pPr>
      <w:r>
        <w:rPr>
          <w:lang w:eastAsia="ru-RU"/>
        </w:rPr>
      </w:r>
    </w:p>
    <w:p>
      <w:pPr>
        <w:pStyle w:val="Normal"/>
        <w:ind w:firstLine="709"/>
        <w:jc w:val="both"/>
        <w:rPr>
          <w:lang w:eastAsia="ru-RU"/>
        </w:rPr>
      </w:pPr>
      <w:r>
        <w:rPr>
          <w:rFonts w:eastAsia="Calibri" w:cs="Calibri"/>
          <w:b/>
          <w:bCs/>
          <w:szCs w:val="22"/>
          <w:lang w:eastAsia="en-US"/>
        </w:rPr>
        <w:t>Часть 8 «Топливные балансы источников тепловой энергии и система обеспечения топливом»</w:t>
      </w:r>
      <w:bookmarkStart w:id="766" w:name="_Toc181340406"/>
      <w:bookmarkStart w:id="767" w:name="_Toc160529940"/>
      <w:bookmarkStart w:id="768" w:name="_Toc535409531"/>
      <w:bookmarkEnd w:id="764"/>
      <w:bookmarkEnd w:id="765"/>
    </w:p>
    <w:p>
      <w:pPr>
        <w:pStyle w:val="Normal"/>
        <w:ind w:firstLine="709"/>
        <w:jc w:val="both"/>
        <w:rPr>
          <w:lang w:eastAsia="ru-RU"/>
        </w:rPr>
      </w:pPr>
      <w:r>
        <w:rPr>
          <w:rFonts w:eastAsia="Calibri Light" w:cs="Calibri Light"/>
          <w:b/>
          <w:lang w:eastAsia="en-US"/>
        </w:rPr>
        <w:t>1.8.1. Описание видов и количества используемого основного топлива для каждого источника тепловой энергии</w:t>
      </w:r>
      <w:bookmarkEnd w:id="766"/>
      <w:bookmarkEnd w:id="767"/>
      <w:bookmarkEnd w:id="768"/>
    </w:p>
    <w:p>
      <w:pPr>
        <w:pStyle w:val="Normal"/>
        <w:keepNext w:val="true"/>
        <w:keepLines/>
        <w:numPr>
          <w:ilvl w:val="0"/>
          <w:numId w:val="0"/>
        </w:numPr>
        <w:ind w:left="0" w:firstLine="709"/>
        <w:jc w:val="both"/>
        <w:outlineLvl w:val="2"/>
        <w:rPr>
          <w:rFonts w:eastAsia="Calibri Light" w:cs="Calibri Light"/>
          <w:b/>
          <w:b/>
          <w:lang w:eastAsia="en-US"/>
        </w:rPr>
      </w:pPr>
      <w:r>
        <w:rPr>
          <w:rFonts w:eastAsia="Calibri" w:cs="Calibri"/>
          <w:szCs w:val="22"/>
          <w:lang w:eastAsia="en-US"/>
        </w:rPr>
        <w:t>Вид используемого топлива, расход натурального и условного топлива по источникам тепловой энергии приведены в таблице 17.</w:t>
      </w:r>
      <w:bookmarkStart w:id="769" w:name="_Hlk160646424"/>
      <w:bookmarkStart w:id="770" w:name="_Ref19654332"/>
      <w:bookmarkEnd w:id="769"/>
      <w:bookmarkEnd w:id="770"/>
    </w:p>
    <w:p>
      <w:pPr>
        <w:pStyle w:val="Normal"/>
        <w:jc w:val="right"/>
        <w:rPr>
          <w:rFonts w:eastAsia="Calibri" w:cs="Calibri"/>
          <w:szCs w:val="22"/>
          <w:lang w:eastAsia="en-US"/>
        </w:rPr>
      </w:pPr>
      <w:r>
        <w:rPr>
          <w:rFonts w:eastAsia="Calibri" w:cs="Calibri"/>
          <w:szCs w:val="22"/>
          <w:lang w:eastAsia="en-US"/>
        </w:rPr>
        <w:t>Таблица 17 – Данные по виду топлива, расходу топлива котельными</w:t>
      </w:r>
    </w:p>
    <w:tbl>
      <w:tblPr>
        <w:tblW w:w="5000" w:type="pct"/>
        <w:jc w:val="left"/>
        <w:tblInd w:w="0" w:type="dxa"/>
        <w:tblCellMar>
          <w:top w:w="0" w:type="dxa"/>
          <w:left w:w="5" w:type="dxa"/>
          <w:bottom w:w="0" w:type="dxa"/>
          <w:right w:w="5" w:type="dxa"/>
        </w:tblCellMar>
        <w:tblLook w:val="04a0" w:noVBand="1" w:noHBand="0" w:lastColumn="0" w:firstColumn="1" w:lastRow="0" w:firstRow="1"/>
      </w:tblPr>
      <w:tblGrid>
        <w:gridCol w:w="463"/>
        <w:gridCol w:w="2047"/>
        <w:gridCol w:w="1208"/>
        <w:gridCol w:w="1078"/>
        <w:gridCol w:w="1172"/>
        <w:gridCol w:w="1087"/>
        <w:gridCol w:w="1384"/>
        <w:gridCol w:w="1197"/>
      </w:tblGrid>
      <w:tr>
        <w:trPr>
          <w:tblHeader w:val="true"/>
        </w:trPr>
        <w:tc>
          <w:tcPr>
            <w:tcW w:w="46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xml:space="preserve">№ </w:t>
            </w:r>
            <w:r>
              <w:rPr>
                <w:sz w:val="20"/>
                <w:szCs w:val="20"/>
                <w:lang w:eastAsia="ru-RU"/>
              </w:rPr>
              <w:t>п/п</w:t>
            </w:r>
          </w:p>
        </w:tc>
        <w:tc>
          <w:tcPr>
            <w:tcW w:w="204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Наименование и адрес котельной</w:t>
            </w:r>
          </w:p>
        </w:tc>
        <w:tc>
          <w:tcPr>
            <w:tcW w:w="12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Основное топливо</w:t>
            </w:r>
          </w:p>
        </w:tc>
        <w:tc>
          <w:tcPr>
            <w:tcW w:w="10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Резервное топливо</w:t>
            </w:r>
          </w:p>
        </w:tc>
        <w:tc>
          <w:tcPr>
            <w:tcW w:w="11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Выработка тепл-й энергии за год, Гкал/год</w:t>
            </w:r>
          </w:p>
        </w:tc>
        <w:tc>
          <w:tcPr>
            <w:tcW w:w="10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Годовой расход условного топлива, т.у.т.</w:t>
            </w:r>
          </w:p>
        </w:tc>
        <w:tc>
          <w:tcPr>
            <w:tcW w:w="138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Годовой расход натурального топлива (т.н.т)</w:t>
            </w:r>
          </w:p>
        </w:tc>
        <w:tc>
          <w:tcPr>
            <w:tcW w:w="11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Удельный расход условного топлива на выработку тепло кг.у.т./Гкал</w:t>
            </w:r>
          </w:p>
        </w:tc>
      </w:tr>
      <w:tr>
        <w:trPr/>
        <w:tc>
          <w:tcPr>
            <w:tcW w:w="9636" w:type="dxa"/>
            <w:gridSpan w:val="8"/>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городское поселение Октябрьское</w:t>
            </w:r>
          </w:p>
        </w:tc>
      </w:tr>
      <w:tr>
        <w:trPr/>
        <w:tc>
          <w:tcPr>
            <w:tcW w:w="46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w:t>
            </w:r>
          </w:p>
        </w:tc>
        <w:tc>
          <w:tcPr>
            <w:tcW w:w="204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 xml:space="preserve">котельная № 1, пгт.Октябрьское, </w:t>
            </w:r>
          </w:p>
          <w:p>
            <w:pPr>
              <w:pStyle w:val="Normal"/>
              <w:jc w:val="center"/>
              <w:rPr>
                <w:sz w:val="20"/>
                <w:szCs w:val="20"/>
                <w:lang w:eastAsia="ru-RU"/>
              </w:rPr>
            </w:pPr>
            <w:r>
              <w:rPr>
                <w:sz w:val="20"/>
                <w:szCs w:val="20"/>
              </w:rPr>
              <w:t>ул.Сенькина, 46б</w:t>
            </w:r>
          </w:p>
        </w:tc>
        <w:tc>
          <w:tcPr>
            <w:tcW w:w="12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Природный газ</w:t>
            </w:r>
          </w:p>
        </w:tc>
        <w:tc>
          <w:tcPr>
            <w:tcW w:w="10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дизельное топливо</w:t>
            </w:r>
          </w:p>
        </w:tc>
        <w:tc>
          <w:tcPr>
            <w:tcW w:w="11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7951,19</w:t>
            </w:r>
          </w:p>
        </w:tc>
        <w:tc>
          <w:tcPr>
            <w:tcW w:w="10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1909,47</w:t>
            </w:r>
          </w:p>
        </w:tc>
        <w:tc>
          <w:tcPr>
            <w:tcW w:w="138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1654,66</w:t>
            </w:r>
          </w:p>
        </w:tc>
        <w:tc>
          <w:tcPr>
            <w:tcW w:w="11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176,52</w:t>
            </w:r>
          </w:p>
        </w:tc>
      </w:tr>
      <w:tr>
        <w:trPr/>
        <w:tc>
          <w:tcPr>
            <w:tcW w:w="46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2</w:t>
            </w:r>
          </w:p>
        </w:tc>
        <w:tc>
          <w:tcPr>
            <w:tcW w:w="204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 xml:space="preserve">котельная № 2, пгт.Октябрьское, </w:t>
            </w:r>
          </w:p>
          <w:p>
            <w:pPr>
              <w:pStyle w:val="Normal"/>
              <w:jc w:val="center"/>
              <w:rPr>
                <w:sz w:val="20"/>
                <w:szCs w:val="20"/>
                <w:lang w:eastAsia="ru-RU"/>
              </w:rPr>
            </w:pPr>
            <w:r>
              <w:rPr>
                <w:sz w:val="20"/>
                <w:szCs w:val="20"/>
              </w:rPr>
              <w:t>ул.Пионерская, 17б</w:t>
            </w:r>
          </w:p>
        </w:tc>
        <w:tc>
          <w:tcPr>
            <w:tcW w:w="12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Природный газ</w:t>
            </w:r>
          </w:p>
        </w:tc>
        <w:tc>
          <w:tcPr>
            <w:tcW w:w="10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 </w:t>
            </w:r>
          </w:p>
        </w:tc>
        <w:tc>
          <w:tcPr>
            <w:tcW w:w="11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5354,76</w:t>
            </w:r>
          </w:p>
        </w:tc>
        <w:tc>
          <w:tcPr>
            <w:tcW w:w="10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1285,94</w:t>
            </w:r>
          </w:p>
        </w:tc>
        <w:tc>
          <w:tcPr>
            <w:tcW w:w="138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1114,34</w:t>
            </w:r>
          </w:p>
        </w:tc>
        <w:tc>
          <w:tcPr>
            <w:tcW w:w="11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176,52</w:t>
            </w:r>
          </w:p>
        </w:tc>
      </w:tr>
      <w:tr>
        <w:trPr/>
        <w:tc>
          <w:tcPr>
            <w:tcW w:w="46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3</w:t>
            </w:r>
          </w:p>
        </w:tc>
        <w:tc>
          <w:tcPr>
            <w:tcW w:w="204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rPr>
              <w:t xml:space="preserve">котельная № 3, </w:t>
            </w:r>
          </w:p>
          <w:p>
            <w:pPr>
              <w:pStyle w:val="Normal"/>
              <w:jc w:val="center"/>
              <w:rPr>
                <w:sz w:val="20"/>
                <w:szCs w:val="20"/>
                <w:lang w:eastAsia="ru-RU"/>
              </w:rPr>
            </w:pPr>
            <w:r>
              <w:rPr>
                <w:sz w:val="20"/>
                <w:szCs w:val="20"/>
              </w:rPr>
              <w:t xml:space="preserve">пгт.Октябрьское, </w:t>
            </w:r>
          </w:p>
          <w:p>
            <w:pPr>
              <w:pStyle w:val="Normal"/>
              <w:jc w:val="center"/>
              <w:rPr>
                <w:sz w:val="20"/>
                <w:szCs w:val="20"/>
                <w:lang w:eastAsia="ru-RU"/>
              </w:rPr>
            </w:pPr>
            <w:r>
              <w:rPr>
                <w:sz w:val="20"/>
                <w:szCs w:val="20"/>
              </w:rPr>
              <w:t>ул.Чапаева, 6б</w:t>
            </w:r>
          </w:p>
        </w:tc>
        <w:tc>
          <w:tcPr>
            <w:tcW w:w="12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Природный газ</w:t>
            </w:r>
          </w:p>
        </w:tc>
        <w:tc>
          <w:tcPr>
            <w:tcW w:w="10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r>
          </w:p>
        </w:tc>
        <w:tc>
          <w:tcPr>
            <w:tcW w:w="11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4955,25</w:t>
            </w:r>
          </w:p>
        </w:tc>
        <w:tc>
          <w:tcPr>
            <w:tcW w:w="10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1190,00</w:t>
            </w:r>
          </w:p>
        </w:tc>
        <w:tc>
          <w:tcPr>
            <w:tcW w:w="138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1031,20</w:t>
            </w:r>
          </w:p>
        </w:tc>
        <w:tc>
          <w:tcPr>
            <w:tcW w:w="11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176,52</w:t>
            </w:r>
          </w:p>
        </w:tc>
      </w:tr>
      <w:tr>
        <w:trPr/>
        <w:tc>
          <w:tcPr>
            <w:tcW w:w="46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4</w:t>
            </w:r>
          </w:p>
        </w:tc>
        <w:tc>
          <w:tcPr>
            <w:tcW w:w="204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rPr>
              <w:t xml:space="preserve">котельная № 6, </w:t>
            </w:r>
          </w:p>
          <w:p>
            <w:pPr>
              <w:pStyle w:val="Normal"/>
              <w:jc w:val="center"/>
              <w:rPr>
                <w:sz w:val="20"/>
                <w:szCs w:val="20"/>
                <w:lang w:eastAsia="ru-RU"/>
              </w:rPr>
            </w:pPr>
            <w:r>
              <w:rPr>
                <w:sz w:val="20"/>
                <w:szCs w:val="20"/>
              </w:rPr>
              <w:t>пгт.Октябрьское,</w:t>
            </w:r>
          </w:p>
          <w:p>
            <w:pPr>
              <w:pStyle w:val="Normal"/>
              <w:jc w:val="center"/>
              <w:rPr>
                <w:sz w:val="20"/>
                <w:szCs w:val="20"/>
                <w:lang w:eastAsia="ru-RU"/>
              </w:rPr>
            </w:pPr>
            <w:r>
              <w:rPr>
                <w:sz w:val="20"/>
                <w:szCs w:val="20"/>
              </w:rPr>
              <w:t xml:space="preserve"> </w:t>
            </w:r>
            <w:r>
              <w:rPr>
                <w:sz w:val="20"/>
                <w:szCs w:val="20"/>
              </w:rPr>
              <w:t>ул.Дзержинского, 2б</w:t>
            </w:r>
          </w:p>
        </w:tc>
        <w:tc>
          <w:tcPr>
            <w:tcW w:w="12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Природный газ</w:t>
            </w:r>
          </w:p>
        </w:tc>
        <w:tc>
          <w:tcPr>
            <w:tcW w:w="10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r>
          </w:p>
        </w:tc>
        <w:tc>
          <w:tcPr>
            <w:tcW w:w="11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3100,57</w:t>
            </w:r>
          </w:p>
        </w:tc>
        <w:tc>
          <w:tcPr>
            <w:tcW w:w="10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744,60</w:t>
            </w:r>
          </w:p>
        </w:tc>
        <w:tc>
          <w:tcPr>
            <w:tcW w:w="138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645,23</w:t>
            </w:r>
          </w:p>
        </w:tc>
        <w:tc>
          <w:tcPr>
            <w:tcW w:w="11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176,52</w:t>
            </w:r>
          </w:p>
        </w:tc>
      </w:tr>
      <w:tr>
        <w:trPr/>
        <w:tc>
          <w:tcPr>
            <w:tcW w:w="46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5</w:t>
            </w:r>
          </w:p>
        </w:tc>
        <w:tc>
          <w:tcPr>
            <w:tcW w:w="204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rPr>
              <w:t>котельная № 7,</w:t>
            </w:r>
          </w:p>
          <w:p>
            <w:pPr>
              <w:pStyle w:val="Normal"/>
              <w:jc w:val="center"/>
              <w:rPr>
                <w:sz w:val="20"/>
                <w:szCs w:val="20"/>
                <w:lang w:eastAsia="ru-RU"/>
              </w:rPr>
            </w:pPr>
            <w:r>
              <w:rPr>
                <w:sz w:val="20"/>
                <w:szCs w:val="20"/>
              </w:rPr>
              <w:t xml:space="preserve">пгт.Октябрьское, </w:t>
            </w:r>
          </w:p>
          <w:p>
            <w:pPr>
              <w:pStyle w:val="Normal"/>
              <w:jc w:val="center"/>
              <w:rPr>
                <w:sz w:val="20"/>
                <w:szCs w:val="20"/>
                <w:lang w:eastAsia="ru-RU"/>
              </w:rPr>
            </w:pPr>
            <w:r>
              <w:rPr>
                <w:sz w:val="20"/>
                <w:szCs w:val="20"/>
              </w:rPr>
              <w:t>ул.Медицинская, 3Б</w:t>
            </w:r>
          </w:p>
        </w:tc>
        <w:tc>
          <w:tcPr>
            <w:tcW w:w="12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Природный газ</w:t>
            </w:r>
          </w:p>
        </w:tc>
        <w:tc>
          <w:tcPr>
            <w:tcW w:w="10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дизельное топливо</w:t>
            </w:r>
          </w:p>
        </w:tc>
        <w:tc>
          <w:tcPr>
            <w:tcW w:w="11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3774,45</w:t>
            </w:r>
          </w:p>
        </w:tc>
        <w:tc>
          <w:tcPr>
            <w:tcW w:w="10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906,43</w:t>
            </w:r>
          </w:p>
        </w:tc>
        <w:tc>
          <w:tcPr>
            <w:tcW w:w="138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785,47</w:t>
            </w:r>
          </w:p>
        </w:tc>
        <w:tc>
          <w:tcPr>
            <w:tcW w:w="11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176,52</w:t>
            </w:r>
          </w:p>
        </w:tc>
      </w:tr>
      <w:tr>
        <w:trPr/>
        <w:tc>
          <w:tcPr>
            <w:tcW w:w="46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6</w:t>
            </w:r>
          </w:p>
        </w:tc>
        <w:tc>
          <w:tcPr>
            <w:tcW w:w="204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rPr>
              <w:t xml:space="preserve">котельная № 12, </w:t>
            </w:r>
          </w:p>
          <w:p>
            <w:pPr>
              <w:pStyle w:val="Normal"/>
              <w:jc w:val="center"/>
              <w:rPr>
                <w:sz w:val="20"/>
                <w:szCs w:val="20"/>
                <w:lang w:eastAsia="ru-RU"/>
              </w:rPr>
            </w:pPr>
            <w:r>
              <w:rPr>
                <w:sz w:val="20"/>
                <w:szCs w:val="20"/>
              </w:rPr>
              <w:t>пгт.Октябрьское,</w:t>
            </w:r>
          </w:p>
          <w:p>
            <w:pPr>
              <w:pStyle w:val="Normal"/>
              <w:jc w:val="center"/>
              <w:rPr>
                <w:sz w:val="20"/>
                <w:szCs w:val="20"/>
                <w:lang w:eastAsia="ru-RU"/>
              </w:rPr>
            </w:pPr>
            <w:r>
              <w:rPr>
                <w:sz w:val="20"/>
                <w:szCs w:val="20"/>
              </w:rPr>
              <w:t xml:space="preserve"> </w:t>
            </w:r>
            <w:r>
              <w:rPr>
                <w:sz w:val="20"/>
                <w:szCs w:val="20"/>
              </w:rPr>
              <w:t>ул.Медицинская, 3к</w:t>
            </w:r>
          </w:p>
        </w:tc>
        <w:tc>
          <w:tcPr>
            <w:tcW w:w="12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Природный газ</w:t>
            </w:r>
          </w:p>
        </w:tc>
        <w:tc>
          <w:tcPr>
            <w:tcW w:w="10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r>
          </w:p>
        </w:tc>
        <w:tc>
          <w:tcPr>
            <w:tcW w:w="11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1550,34</w:t>
            </w:r>
          </w:p>
        </w:tc>
        <w:tc>
          <w:tcPr>
            <w:tcW w:w="10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372,31</w:t>
            </w:r>
          </w:p>
        </w:tc>
        <w:tc>
          <w:tcPr>
            <w:tcW w:w="138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322,63</w:t>
            </w:r>
          </w:p>
        </w:tc>
        <w:tc>
          <w:tcPr>
            <w:tcW w:w="11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176,52</w:t>
            </w:r>
          </w:p>
        </w:tc>
      </w:tr>
      <w:tr>
        <w:trPr/>
        <w:tc>
          <w:tcPr>
            <w:tcW w:w="46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7</w:t>
            </w:r>
          </w:p>
        </w:tc>
        <w:tc>
          <w:tcPr>
            <w:tcW w:w="204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rPr>
              <w:t xml:space="preserve">котельная № 8, </w:t>
            </w:r>
          </w:p>
          <w:p>
            <w:pPr>
              <w:pStyle w:val="Normal"/>
              <w:jc w:val="center"/>
              <w:rPr>
                <w:sz w:val="20"/>
                <w:szCs w:val="20"/>
                <w:lang w:eastAsia="ru-RU"/>
              </w:rPr>
            </w:pPr>
            <w:r>
              <w:rPr>
                <w:sz w:val="20"/>
                <w:szCs w:val="20"/>
              </w:rPr>
              <w:t xml:space="preserve">пгт.Октябрьское, </w:t>
            </w:r>
          </w:p>
          <w:p>
            <w:pPr>
              <w:pStyle w:val="Normal"/>
              <w:jc w:val="center"/>
              <w:rPr>
                <w:sz w:val="20"/>
                <w:szCs w:val="20"/>
                <w:lang w:eastAsia="ru-RU"/>
              </w:rPr>
            </w:pPr>
            <w:r>
              <w:rPr>
                <w:sz w:val="20"/>
                <w:szCs w:val="20"/>
              </w:rPr>
              <w:t>ул.50 лет Победы, 38А</w:t>
            </w:r>
          </w:p>
        </w:tc>
        <w:tc>
          <w:tcPr>
            <w:tcW w:w="12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Природный газ</w:t>
            </w:r>
          </w:p>
        </w:tc>
        <w:tc>
          <w:tcPr>
            <w:tcW w:w="10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r>
          </w:p>
        </w:tc>
        <w:tc>
          <w:tcPr>
            <w:tcW w:w="11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152,23</w:t>
            </w:r>
          </w:p>
        </w:tc>
        <w:tc>
          <w:tcPr>
            <w:tcW w:w="10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36,56</w:t>
            </w:r>
          </w:p>
        </w:tc>
        <w:tc>
          <w:tcPr>
            <w:tcW w:w="138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31,68</w:t>
            </w:r>
          </w:p>
        </w:tc>
        <w:tc>
          <w:tcPr>
            <w:tcW w:w="11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176,52</w:t>
            </w:r>
          </w:p>
        </w:tc>
      </w:tr>
    </w:tbl>
    <w:p>
      <w:pPr>
        <w:pStyle w:val="Normal"/>
        <w:rPr>
          <w:rFonts w:eastAsia="Calibri"/>
          <w:szCs w:val="22"/>
          <w:lang w:eastAsia="en-US"/>
        </w:rPr>
      </w:pPr>
      <w:r>
        <w:rPr>
          <w:rFonts w:eastAsia="Calibri"/>
          <w:szCs w:val="22"/>
          <w:lang w:eastAsia="en-US"/>
        </w:rPr>
      </w:r>
      <w:bookmarkStart w:id="771" w:name="sub_224"/>
      <w:bookmarkStart w:id="772" w:name="sub_224"/>
      <w:bookmarkEnd w:id="772"/>
    </w:p>
    <w:p>
      <w:pPr>
        <w:pStyle w:val="Normal"/>
        <w:keepNext w:val="true"/>
        <w:keepLines/>
        <w:numPr>
          <w:ilvl w:val="0"/>
          <w:numId w:val="0"/>
        </w:numPr>
        <w:ind w:left="0" w:firstLine="709"/>
        <w:jc w:val="both"/>
        <w:outlineLvl w:val="2"/>
        <w:rPr>
          <w:rFonts w:eastAsia="Calibri Light" w:cs="Calibri Light"/>
          <w:b/>
          <w:b/>
          <w:lang w:eastAsia="en-US"/>
        </w:rPr>
      </w:pPr>
      <w:bookmarkStart w:id="773" w:name="_Toc160529941"/>
      <w:bookmarkStart w:id="774" w:name="_Toc181340407"/>
      <w:r>
        <w:rPr>
          <w:rFonts w:eastAsia="Calibri Light" w:cs="Calibri Light"/>
          <w:b/>
          <w:lang w:eastAsia="en-US"/>
        </w:rPr>
        <w:t>1.8.2. Описание видов резервного и аварийного топлива и возможности их обеспечения в соответствии с нормативными требованиями</w:t>
      </w:r>
      <w:bookmarkStart w:id="775" w:name="_Hlk160709700"/>
      <w:bookmarkStart w:id="776" w:name="_Hlk160709695"/>
      <w:bookmarkEnd w:id="773"/>
      <w:bookmarkEnd w:id="774"/>
      <w:bookmarkEnd w:id="775"/>
      <w:bookmarkEnd w:id="776"/>
    </w:p>
    <w:p>
      <w:pPr>
        <w:pStyle w:val="Normal"/>
        <w:keepNext w:val="true"/>
        <w:keepLines/>
        <w:numPr>
          <w:ilvl w:val="0"/>
          <w:numId w:val="0"/>
        </w:numPr>
        <w:ind w:left="0" w:firstLine="709"/>
        <w:jc w:val="both"/>
        <w:outlineLvl w:val="2"/>
        <w:rPr>
          <w:rFonts w:eastAsia="Calibri Light" w:cs="Calibri Light"/>
          <w:b/>
          <w:b/>
          <w:lang w:eastAsia="en-US"/>
        </w:rPr>
      </w:pPr>
      <w:r>
        <w:rPr/>
        <w:t>Резервное топливо предусмотрено на котельных № 1 и № 7. В качестве резервного топлива используется дизельное топливо.</w:t>
      </w:r>
      <w:bookmarkStart w:id="777" w:name="_Toc535409533"/>
      <w:bookmarkStart w:id="778" w:name="_Toc160529942"/>
      <w:bookmarkStart w:id="779" w:name="_Toc181340408"/>
      <w:bookmarkStart w:id="780" w:name="_Hlk161086610"/>
      <w:bookmarkStart w:id="781" w:name="sub_225"/>
      <w:bookmarkEnd w:id="780"/>
      <w:bookmarkEnd w:id="781"/>
    </w:p>
    <w:p>
      <w:pPr>
        <w:pStyle w:val="Normal"/>
        <w:keepNext w:val="true"/>
        <w:keepLines/>
        <w:numPr>
          <w:ilvl w:val="0"/>
          <w:numId w:val="0"/>
        </w:numPr>
        <w:ind w:left="0" w:firstLine="709"/>
        <w:jc w:val="both"/>
        <w:outlineLvl w:val="2"/>
        <w:rPr>
          <w:rFonts w:eastAsia="Calibri Light" w:cs="Calibri Light"/>
          <w:b/>
          <w:b/>
          <w:lang w:eastAsia="en-US"/>
        </w:rPr>
      </w:pPr>
      <w:r>
        <w:rPr>
          <w:rFonts w:eastAsia="Calibri Light" w:cs="Calibri Light"/>
          <w:b/>
          <w:lang w:eastAsia="en-US"/>
        </w:rPr>
      </w:r>
    </w:p>
    <w:p>
      <w:pPr>
        <w:pStyle w:val="Normal"/>
        <w:keepNext w:val="true"/>
        <w:keepLines/>
        <w:numPr>
          <w:ilvl w:val="0"/>
          <w:numId w:val="0"/>
        </w:numPr>
        <w:ind w:left="0" w:firstLine="709"/>
        <w:jc w:val="both"/>
        <w:outlineLvl w:val="2"/>
        <w:rPr>
          <w:rFonts w:eastAsia="Calibri Light" w:cs="Calibri Light"/>
          <w:b/>
          <w:b/>
          <w:lang w:eastAsia="en-US"/>
        </w:rPr>
      </w:pPr>
      <w:r>
        <w:rPr>
          <w:rFonts w:eastAsia="Calibri Light" w:cs="Calibri Light"/>
          <w:b/>
          <w:lang w:eastAsia="en-US"/>
        </w:rPr>
        <w:t>1.8.3. Описание особенностей характеристик видов топлива в зависимости                        от мест поставки</w:t>
      </w:r>
      <w:bookmarkStart w:id="782" w:name="_Hlk160709706"/>
      <w:bookmarkEnd w:id="777"/>
      <w:bookmarkEnd w:id="778"/>
      <w:bookmarkEnd w:id="779"/>
      <w:bookmarkEnd w:id="782"/>
    </w:p>
    <w:p>
      <w:pPr>
        <w:pStyle w:val="Normal"/>
        <w:keepNext w:val="true"/>
        <w:keepLines/>
        <w:numPr>
          <w:ilvl w:val="0"/>
          <w:numId w:val="0"/>
        </w:numPr>
        <w:ind w:left="0" w:firstLine="709"/>
        <w:jc w:val="both"/>
        <w:outlineLvl w:val="2"/>
        <w:rPr>
          <w:rFonts w:eastAsia="Calibri Light" w:cs="Calibri Light"/>
          <w:b/>
          <w:b/>
          <w:lang w:eastAsia="en-US"/>
        </w:rPr>
      </w:pPr>
      <w:r>
        <w:rPr>
          <w:lang w:eastAsia="ru-RU"/>
        </w:rPr>
        <w:t>Основным топливом котельной является дизельное топливо и природный газ.</w:t>
      </w:r>
    </w:p>
    <w:p>
      <w:pPr>
        <w:pStyle w:val="Normal"/>
        <w:ind w:firstLine="709"/>
        <w:jc w:val="both"/>
        <w:rPr>
          <w:lang w:eastAsia="ru-RU"/>
        </w:rPr>
      </w:pPr>
      <w:r>
        <w:rPr>
          <w:rFonts w:eastAsia="Calibri" w:cs="Calibri"/>
          <w:szCs w:val="22"/>
          <w:lang w:eastAsia="ru-RU"/>
        </w:rPr>
        <w:t>Характеристики топлива:</w:t>
      </w:r>
    </w:p>
    <w:p>
      <w:pPr>
        <w:pStyle w:val="Normal"/>
        <w:ind w:firstLine="709"/>
        <w:jc w:val="both"/>
        <w:rPr>
          <w:rFonts w:eastAsia="Calibri" w:cs="Calibri"/>
          <w:szCs w:val="22"/>
          <w:lang w:eastAsia="ru-RU"/>
        </w:rPr>
      </w:pPr>
      <w:r>
        <w:rPr>
          <w:rFonts w:eastAsia="Calibri" w:cs="Calibri"/>
          <w:szCs w:val="22"/>
          <w:lang w:eastAsia="ru-RU"/>
        </w:rPr>
        <w:t>- природный газ: плотность газа 0,702 кг/м</w:t>
      </w:r>
      <w:r>
        <w:rPr>
          <w:rFonts w:eastAsia="Calibri" w:cs="Calibri"/>
          <w:szCs w:val="22"/>
          <w:vertAlign w:val="superscript"/>
          <w:lang w:eastAsia="ru-RU"/>
        </w:rPr>
        <w:t>3</w:t>
      </w:r>
      <w:r>
        <w:rPr>
          <w:rFonts w:eastAsia="Calibri" w:cs="Calibri"/>
          <w:szCs w:val="22"/>
          <w:lang w:eastAsia="ru-RU"/>
        </w:rPr>
        <w:t xml:space="preserve"> при температуре 0 °С и давлении 0,10132 МПа. Низшая теплота сгорания</w:t>
      </w:r>
      <w:r>
        <w:rPr>
          <w:rFonts w:eastAsia="Calibri" w:cs="Calibri"/>
          <w:szCs w:val="22"/>
          <w:lang w:eastAsia="en-US"/>
        </w:rPr>
        <w:t xml:space="preserve"> 8,216 Гкал/тыс. </w:t>
      </w:r>
      <w:r>
        <w:rPr>
          <w:rFonts w:eastAsia="Calibri" w:cs="Calibri"/>
          <w:szCs w:val="22"/>
          <w:lang w:eastAsia="ru-RU"/>
        </w:rPr>
        <w:t>м</w:t>
      </w:r>
      <w:r>
        <w:rPr>
          <w:rFonts w:eastAsia="Calibri" w:cs="Calibri"/>
          <w:szCs w:val="22"/>
          <w:vertAlign w:val="superscript"/>
          <w:lang w:eastAsia="ru-RU"/>
        </w:rPr>
        <w:t>3</w:t>
      </w:r>
      <w:r>
        <w:rPr>
          <w:rFonts w:eastAsia="Calibri" w:cs="Calibri"/>
          <w:szCs w:val="22"/>
          <w:lang w:eastAsia="ru-RU"/>
        </w:rPr>
        <w:t>;</w:t>
      </w:r>
    </w:p>
    <w:p>
      <w:pPr>
        <w:pStyle w:val="Normal"/>
        <w:ind w:firstLine="709"/>
        <w:jc w:val="both"/>
        <w:rPr>
          <w:rFonts w:eastAsia="Calibri" w:cs="Calibri"/>
          <w:szCs w:val="22"/>
          <w:lang w:eastAsia="ru-RU"/>
        </w:rPr>
      </w:pPr>
      <w:r>
        <w:rPr>
          <w:rFonts w:eastAsia="Calibri" w:cs="Calibri"/>
          <w:szCs w:val="22"/>
          <w:lang w:eastAsia="ru-RU"/>
        </w:rPr>
        <w:t>- дизельное топливо: высшая теплота сгорания, сухое беззольное состояние - 10700 Ккал/кг,  низшая теплота сгорания на рабочее состояние – 10127 Ккал/кг.</w:t>
      </w:r>
      <w:bookmarkStart w:id="783" w:name="_Hlk160709717"/>
      <w:bookmarkStart w:id="784" w:name="_Toc181340409"/>
      <w:bookmarkStart w:id="785" w:name="_Toc160529943"/>
      <w:bookmarkStart w:id="786" w:name="_Toc535409534"/>
      <w:bookmarkStart w:id="787" w:name="sub_226"/>
      <w:bookmarkEnd w:id="787"/>
    </w:p>
    <w:p>
      <w:pPr>
        <w:pStyle w:val="Normal"/>
        <w:ind w:firstLine="709"/>
        <w:jc w:val="both"/>
        <w:rPr>
          <w:rFonts w:eastAsia="Calibri" w:cs="Calibri"/>
          <w:szCs w:val="22"/>
          <w:lang w:eastAsia="ru-RU"/>
        </w:rPr>
      </w:pPr>
      <w:r>
        <w:rPr>
          <w:rFonts w:eastAsia="Calibri" w:cs="Calibri"/>
          <w:szCs w:val="22"/>
          <w:lang w:eastAsia="ru-RU"/>
        </w:rPr>
      </w:r>
    </w:p>
    <w:p>
      <w:pPr>
        <w:pStyle w:val="Normal"/>
        <w:ind w:firstLine="709"/>
        <w:jc w:val="both"/>
        <w:rPr>
          <w:rFonts w:eastAsia="Calibri" w:cs="Calibri"/>
          <w:szCs w:val="22"/>
          <w:lang w:eastAsia="ru-RU"/>
        </w:rPr>
      </w:pPr>
      <w:r>
        <w:rPr>
          <w:rFonts w:eastAsia="Calibri Light" w:cs="Calibri Light"/>
          <w:b/>
          <w:lang w:eastAsia="en-US"/>
        </w:rPr>
        <w:t>1.8.4. Описание использования местных видов топлива</w:t>
      </w:r>
      <w:bookmarkStart w:id="788" w:name="_Hlk160614949"/>
      <w:bookmarkStart w:id="789" w:name="_Hlk160629900"/>
      <w:bookmarkEnd w:id="784"/>
      <w:bookmarkEnd w:id="785"/>
      <w:bookmarkEnd w:id="786"/>
    </w:p>
    <w:p>
      <w:pPr>
        <w:pStyle w:val="Normal"/>
        <w:ind w:firstLine="709"/>
        <w:jc w:val="both"/>
        <w:rPr>
          <w:rFonts w:eastAsia="Calibri" w:cs="Calibri"/>
          <w:szCs w:val="22"/>
          <w:lang w:eastAsia="ru-RU"/>
        </w:rPr>
      </w:pPr>
      <w:r>
        <w:rPr>
          <w:rFonts w:eastAsia="Calibri" w:cs="Calibri"/>
          <w:szCs w:val="22"/>
          <w:lang w:eastAsia="en-US"/>
        </w:rPr>
        <w:t>На территории Ханты-Мансийского автономного округа – Югры имеются крупные нефтяные и газовые месторождения, в месторождениях нефти присутствуют попутный газ. Также к местным видам топлива можно отнести дрова, отходы лесопиления и пеллеты.</w:t>
      </w:r>
      <w:bookmarkEnd w:id="789"/>
      <w:r>
        <w:rPr>
          <w:rFonts w:eastAsia="Calibri" w:cs="Calibri"/>
          <w:szCs w:val="22"/>
          <w:lang w:eastAsia="en-US"/>
        </w:rPr>
        <w:t xml:space="preserve"> </w:t>
      </w:r>
      <w:bookmarkEnd w:id="783"/>
      <w:bookmarkEnd w:id="788"/>
      <w:r>
        <w:rPr>
          <w:rFonts w:eastAsia="Calibri"/>
          <w:szCs w:val="22"/>
          <w:lang w:eastAsia="en-US"/>
        </w:rPr>
        <w:t xml:space="preserve">Топливный баланс на 100% составляет природный газ. Характеристики на основании проведенных технических анализов приведены в разделе 1.8.3. </w:t>
      </w:r>
    </w:p>
    <w:p>
      <w:pPr>
        <w:pStyle w:val="Normal"/>
        <w:ind w:firstLine="709"/>
        <w:jc w:val="both"/>
        <w:rPr>
          <w:rFonts w:eastAsia="Calibri"/>
          <w:szCs w:val="22"/>
          <w:lang w:eastAsia="en-US"/>
        </w:rPr>
      </w:pPr>
      <w:r>
        <w:rPr>
          <w:rFonts w:eastAsia="Calibri"/>
          <w:szCs w:val="22"/>
          <w:lang w:eastAsia="en-US"/>
        </w:rPr>
      </w:r>
    </w:p>
    <w:p>
      <w:pPr>
        <w:pStyle w:val="Normal"/>
        <w:keepNext w:val="true"/>
        <w:keepLines/>
        <w:numPr>
          <w:ilvl w:val="0"/>
          <w:numId w:val="0"/>
        </w:numPr>
        <w:ind w:left="0" w:firstLine="709"/>
        <w:jc w:val="both"/>
        <w:outlineLvl w:val="2"/>
        <w:rPr>
          <w:rFonts w:eastAsia="Calibri Light" w:cs="Calibri Light"/>
          <w:b/>
          <w:b/>
          <w:lang w:eastAsia="en-US"/>
        </w:rPr>
      </w:pPr>
      <w:bookmarkStart w:id="790" w:name="_Toc181340410"/>
      <w:bookmarkStart w:id="791" w:name="_Toc160529944"/>
      <w:r>
        <w:rPr>
          <w:rFonts w:eastAsia="Calibri Light" w:cs="Calibri Light"/>
          <w:b/>
          <w:lang w:eastAsia="en-US"/>
        </w:rPr>
        <w:t>1.8.5. Описание видов топлива (в случае, если топливом является уголь, - вид ископаемого угля в соответствии с Межгосударственным стандартом ГОСТ 25543-2013 «Угли бурые, каменные и антрациты. Классификация по генетическим и технологическим параметрам»), их доли и значения низшей теплоты сгорания топлива, используемых для производства тепловой энергии по каждой системе теплоснабжения</w:t>
      </w:r>
      <w:bookmarkEnd w:id="790"/>
      <w:bookmarkEnd w:id="791"/>
    </w:p>
    <w:p>
      <w:pPr>
        <w:pStyle w:val="Normal"/>
        <w:keepNext w:val="true"/>
        <w:keepLines/>
        <w:numPr>
          <w:ilvl w:val="0"/>
          <w:numId w:val="0"/>
        </w:numPr>
        <w:ind w:left="0" w:firstLine="709"/>
        <w:jc w:val="both"/>
        <w:outlineLvl w:val="2"/>
        <w:rPr>
          <w:rFonts w:eastAsia="Calibri Light" w:cs="Calibri Light"/>
          <w:b/>
          <w:b/>
          <w:lang w:eastAsia="en-US"/>
        </w:rPr>
      </w:pPr>
      <w:r>
        <w:rPr>
          <w:rFonts w:eastAsia="Calibri" w:cs="Calibri"/>
          <w:szCs w:val="22"/>
          <w:lang w:eastAsia="ru-RU"/>
        </w:rPr>
        <w:t>Характеристики топлива приведены в разделе 1.8.3.</w:t>
      </w:r>
      <w:bookmarkStart w:id="792" w:name="_Toc181340411"/>
      <w:bookmarkStart w:id="793" w:name="_Toc160529945"/>
      <w:bookmarkStart w:id="794" w:name="_Hlk160709748"/>
      <w:bookmarkEnd w:id="794"/>
    </w:p>
    <w:p>
      <w:pPr>
        <w:pStyle w:val="Normal"/>
        <w:keepNext w:val="true"/>
        <w:keepLines/>
        <w:numPr>
          <w:ilvl w:val="0"/>
          <w:numId w:val="0"/>
        </w:numPr>
        <w:ind w:left="0" w:firstLine="709"/>
        <w:jc w:val="both"/>
        <w:outlineLvl w:val="2"/>
        <w:rPr>
          <w:rFonts w:eastAsia="Calibri Light" w:cs="Calibri Light"/>
          <w:b/>
          <w:b/>
          <w:lang w:eastAsia="en-US"/>
        </w:rPr>
      </w:pPr>
      <w:r>
        <w:rPr>
          <w:rFonts w:eastAsia="Calibri Light" w:cs="Calibri Light"/>
          <w:b/>
          <w:lang w:eastAsia="en-US"/>
        </w:rPr>
      </w:r>
    </w:p>
    <w:p>
      <w:pPr>
        <w:pStyle w:val="Normal"/>
        <w:keepNext w:val="true"/>
        <w:keepLines/>
        <w:numPr>
          <w:ilvl w:val="0"/>
          <w:numId w:val="0"/>
        </w:numPr>
        <w:ind w:left="0" w:firstLine="709"/>
        <w:jc w:val="both"/>
        <w:outlineLvl w:val="2"/>
        <w:rPr>
          <w:rFonts w:eastAsia="Calibri Light" w:cs="Calibri Light"/>
          <w:b/>
          <w:b/>
          <w:lang w:eastAsia="en-US"/>
        </w:rPr>
      </w:pPr>
      <w:r>
        <w:rPr>
          <w:rFonts w:eastAsia="Calibri Light" w:cs="Calibri Light"/>
          <w:b/>
          <w:lang w:eastAsia="en-US"/>
        </w:rPr>
        <w:t>1.8.6. Описание преобладающего в поселении вида топлива, определяемого по совокупности всех систем теплоснабжения, находящихся в соответствующем поселении</w:t>
      </w:r>
      <w:bookmarkStart w:id="795" w:name="_Hlk160709757"/>
      <w:bookmarkEnd w:id="792"/>
      <w:bookmarkEnd w:id="793"/>
      <w:bookmarkEnd w:id="795"/>
    </w:p>
    <w:p>
      <w:pPr>
        <w:pStyle w:val="Normal"/>
        <w:keepNext w:val="true"/>
        <w:keepLines/>
        <w:numPr>
          <w:ilvl w:val="0"/>
          <w:numId w:val="0"/>
        </w:numPr>
        <w:ind w:left="0" w:firstLine="709"/>
        <w:jc w:val="both"/>
        <w:outlineLvl w:val="2"/>
        <w:rPr>
          <w:rFonts w:eastAsia="Calibri Light" w:cs="Calibri Light"/>
          <w:b/>
          <w:b/>
          <w:lang w:eastAsia="en-US"/>
        </w:rPr>
      </w:pPr>
      <w:r>
        <w:rPr>
          <w:rFonts w:eastAsia="Calibri" w:cs="Calibri"/>
          <w:szCs w:val="22"/>
          <w:lang w:eastAsia="en-US"/>
        </w:rPr>
        <w:t>Топливный баланс на 100% составляет природный газ.</w:t>
      </w:r>
      <w:bookmarkStart w:id="796" w:name="_Toc181340412"/>
      <w:bookmarkStart w:id="797" w:name="_Toc160529946"/>
    </w:p>
    <w:p>
      <w:pPr>
        <w:pStyle w:val="Normal"/>
        <w:keepNext w:val="true"/>
        <w:keepLines/>
        <w:numPr>
          <w:ilvl w:val="0"/>
          <w:numId w:val="0"/>
        </w:numPr>
        <w:ind w:left="0" w:firstLine="709"/>
        <w:jc w:val="both"/>
        <w:outlineLvl w:val="2"/>
        <w:rPr>
          <w:rFonts w:eastAsia="Calibri Light" w:cs="Calibri Light"/>
          <w:b/>
          <w:b/>
          <w:lang w:eastAsia="en-US"/>
        </w:rPr>
      </w:pPr>
      <w:r>
        <w:rPr>
          <w:rFonts w:eastAsia="Calibri Light" w:cs="Calibri Light"/>
          <w:b/>
          <w:lang w:eastAsia="en-US"/>
        </w:rPr>
      </w:r>
    </w:p>
    <w:p>
      <w:pPr>
        <w:pStyle w:val="Normal"/>
        <w:keepNext w:val="true"/>
        <w:keepLines/>
        <w:numPr>
          <w:ilvl w:val="0"/>
          <w:numId w:val="0"/>
        </w:numPr>
        <w:ind w:left="0" w:firstLine="709"/>
        <w:jc w:val="both"/>
        <w:outlineLvl w:val="2"/>
        <w:rPr>
          <w:rFonts w:eastAsia="Calibri Light" w:cs="Calibri Light"/>
          <w:b/>
          <w:b/>
          <w:lang w:eastAsia="en-US"/>
        </w:rPr>
      </w:pPr>
      <w:r>
        <w:rPr>
          <w:rFonts w:eastAsia="Calibri Light" w:cs="Calibri Light"/>
          <w:b/>
          <w:lang w:eastAsia="en-US"/>
        </w:rPr>
        <w:t>1.8.7. Описание приоритетного направления развития топливного баланса поселения</w:t>
      </w:r>
      <w:bookmarkEnd w:id="796"/>
      <w:bookmarkEnd w:id="797"/>
    </w:p>
    <w:p>
      <w:pPr>
        <w:pStyle w:val="Normal"/>
        <w:ind w:firstLine="709"/>
        <w:jc w:val="both"/>
        <w:rPr>
          <w:rFonts w:eastAsia="Calibri" w:cs="Calibri"/>
          <w:szCs w:val="22"/>
          <w:lang w:eastAsia="ru-RU"/>
        </w:rPr>
      </w:pPr>
      <w:r>
        <w:rPr>
          <w:rFonts w:eastAsia="Calibri" w:cs="Calibri"/>
          <w:szCs w:val="22"/>
          <w:lang w:eastAsia="ru-RU"/>
        </w:rPr>
        <w:t>Изменений в топливном балансе не запланировано.</w:t>
      </w:r>
      <w:bookmarkStart w:id="798" w:name="_Toc181340413"/>
      <w:bookmarkStart w:id="799" w:name="_Toc160529947"/>
    </w:p>
    <w:p>
      <w:pPr>
        <w:pStyle w:val="Normal"/>
        <w:ind w:firstLine="709"/>
        <w:jc w:val="both"/>
        <w:rPr>
          <w:rFonts w:eastAsia="Calibri" w:cs="Calibri"/>
          <w:szCs w:val="22"/>
          <w:lang w:eastAsia="ru-RU"/>
        </w:rPr>
      </w:pPr>
      <w:r>
        <w:rPr>
          <w:rFonts w:eastAsia="Calibri" w:cs="Calibri"/>
          <w:szCs w:val="22"/>
          <w:lang w:eastAsia="ru-RU"/>
        </w:rPr>
      </w:r>
    </w:p>
    <w:p>
      <w:pPr>
        <w:pStyle w:val="Normal"/>
        <w:ind w:firstLine="709"/>
        <w:jc w:val="both"/>
        <w:rPr>
          <w:rFonts w:eastAsia="Calibri" w:cs="Calibri"/>
          <w:szCs w:val="22"/>
          <w:lang w:eastAsia="ru-RU"/>
        </w:rPr>
      </w:pPr>
      <w:r>
        <w:rPr>
          <w:rFonts w:eastAsia="Calibri Light" w:cs="Calibri Light"/>
          <w:b/>
          <w:lang w:eastAsia="en-US"/>
        </w:rPr>
        <w:t>1.8.8</w:t>
      </w:r>
      <w:bookmarkEnd w:id="799"/>
      <w:r>
        <w:rPr>
          <w:rFonts w:eastAsia="Calibri Light" w:cs="Calibri Light"/>
          <w:b/>
          <w:lang w:eastAsia="en-US"/>
        </w:rPr>
        <w:t>. Описание изменений в топливных балансах источников тепловой энергии для каждой системы теплоснабжения, в том числе с учетом реализации планов строительства, реконструкции, технического перевооружения и (или) модернизации источников тепловой энергии, ввод в эксплуатацию которых осуществлен в период, предшествующий актуализации схемы теплоснабжения</w:t>
      </w:r>
      <w:bookmarkEnd w:id="798"/>
    </w:p>
    <w:p>
      <w:pPr>
        <w:pStyle w:val="Normal"/>
        <w:ind w:firstLine="709"/>
        <w:jc w:val="both"/>
        <w:rPr>
          <w:rFonts w:eastAsia="Calibri" w:cs="Calibri"/>
          <w:szCs w:val="22"/>
          <w:lang w:eastAsia="ru-RU"/>
        </w:rPr>
      </w:pPr>
      <w:r>
        <w:rPr>
          <w:rFonts w:eastAsia="Calibri" w:cs="Calibri"/>
          <w:szCs w:val="22"/>
          <w:lang w:eastAsia="ru-RU"/>
        </w:rPr>
        <w:t xml:space="preserve">За период с момента утверждения ранее актуализированной Схемы теплоснабжения </w:t>
      </w:r>
      <w:r>
        <w:rPr>
          <w:rFonts w:eastAsia="Calibri" w:cs="Calibri"/>
          <w:szCs w:val="22"/>
          <w:lang w:eastAsia="en-US"/>
        </w:rPr>
        <w:t xml:space="preserve">изменений в топливных балансах источников тепловой энергии </w:t>
      </w:r>
      <w:r>
        <w:rPr>
          <w:rFonts w:eastAsia="Calibri" w:cs="Calibri"/>
          <w:szCs w:val="22"/>
          <w:lang w:eastAsia="ru-RU"/>
        </w:rPr>
        <w:t>не зафиксировано</w:t>
      </w:r>
      <w:bookmarkStart w:id="800" w:name="_Hlk160709777"/>
      <w:bookmarkEnd w:id="800"/>
      <w:r>
        <w:rPr>
          <w:rFonts w:eastAsia="Calibri" w:cs="Calibri"/>
          <w:szCs w:val="22"/>
          <w:lang w:eastAsia="ru-RU"/>
        </w:rPr>
        <w:t>.</w:t>
      </w:r>
      <w:bookmarkStart w:id="801" w:name="_Toc181340414"/>
      <w:bookmarkStart w:id="802" w:name="_Toc160529948"/>
    </w:p>
    <w:p>
      <w:pPr>
        <w:pStyle w:val="Normal"/>
        <w:ind w:firstLine="709"/>
        <w:jc w:val="both"/>
        <w:rPr>
          <w:rFonts w:eastAsia="Calibri" w:cs="Calibri"/>
          <w:szCs w:val="22"/>
          <w:lang w:eastAsia="ru-RU"/>
        </w:rPr>
      </w:pPr>
      <w:r>
        <w:rPr>
          <w:rFonts w:eastAsia="Calibri" w:cs="Calibri"/>
          <w:szCs w:val="22"/>
          <w:lang w:eastAsia="ru-RU"/>
        </w:rPr>
      </w:r>
    </w:p>
    <w:p>
      <w:pPr>
        <w:pStyle w:val="Normal"/>
        <w:ind w:firstLine="709"/>
        <w:jc w:val="both"/>
        <w:rPr>
          <w:rFonts w:eastAsia="Calibri" w:cs="Calibri"/>
          <w:szCs w:val="22"/>
          <w:lang w:eastAsia="ru-RU"/>
        </w:rPr>
      </w:pPr>
      <w:r>
        <w:rPr>
          <w:rFonts w:eastAsia="Calibri Light" w:cs="Calibri Light"/>
          <w:b/>
          <w:szCs w:val="26"/>
          <w:lang w:eastAsia="en-US"/>
        </w:rPr>
        <w:t>Часть 9 «Надежность теплоснабжения»</w:t>
      </w:r>
      <w:bookmarkEnd w:id="801"/>
      <w:bookmarkEnd w:id="802"/>
    </w:p>
    <w:p>
      <w:pPr>
        <w:pStyle w:val="2"/>
        <w:spacing w:before="0" w:after="0"/>
        <w:rPr>
          <w:color w:val="auto"/>
        </w:rPr>
      </w:pPr>
      <w:r>
        <w:rPr>
          <w:rFonts w:cs="Times New Roman"/>
          <w:b w:val="false"/>
          <w:bCs/>
          <w:szCs w:val="24"/>
        </w:rPr>
        <w:t>Для оценки надежности системы теплоснабжения используются показатели, установленные пунктом 123 Правил организации теплоснабжения в Российской Федерации, утвержденными постановлением Правительства Российской Федерации от 08.08.2012 № 808.</w:t>
      </w:r>
    </w:p>
    <w:p>
      <w:pPr>
        <w:pStyle w:val="2"/>
        <w:spacing w:before="0" w:after="0"/>
        <w:rPr>
          <w:color w:val="auto"/>
        </w:rPr>
      </w:pPr>
      <w:r>
        <w:rPr>
          <w:b w:val="false"/>
          <w:szCs w:val="24"/>
        </w:rPr>
        <w:t xml:space="preserve">Показатели надежности теплоснабжения определяются в соответствии                                      с требованиями, установленными пунктами 30 – 47 </w:t>
      </w:r>
      <w:r>
        <w:rPr>
          <w:rFonts w:cs="Times New Roman"/>
          <w:b w:val="false"/>
          <w:szCs w:val="24"/>
        </w:rPr>
        <w:t xml:space="preserve">Организационно-методических Рекомендаций по подготовке к проведению отопительного периода и повышению надежности систем коммунального теплоснабжения в городах и населенных пунктах Российской Федерации. МДС 41-6.2000, утвержденных приказом Госстроя РФ от 06.09.2000 № 203, приложением № 18 к Методическим указаниям по разработке схем теплоснабжения, утвержденными </w:t>
      </w:r>
      <w:r>
        <w:rPr>
          <w:rFonts w:cs="Times New Roman"/>
          <w:b w:val="false"/>
          <w:bCs/>
          <w:szCs w:val="24"/>
        </w:rPr>
        <w:t>приказом Минэнерго России от 05.03.2019 № 212, СП 124.13330.2012 «СНиП 41-02-2003 «Тепловые сети».</w:t>
      </w:r>
    </w:p>
    <w:p>
      <w:pPr>
        <w:pStyle w:val="2"/>
        <w:spacing w:before="0" w:after="0"/>
        <w:rPr>
          <w:b w:val="false"/>
          <w:b w:val="false"/>
          <w:szCs w:val="24"/>
        </w:rPr>
      </w:pPr>
      <w:r>
        <w:rPr>
          <w:b w:val="false"/>
          <w:szCs w:val="24"/>
        </w:rPr>
        <w:t>Итоговые значения показателей надежности систем теплоснабжения приведены в таблице 18.</w:t>
      </w:r>
    </w:p>
    <w:p>
      <w:pPr>
        <w:pStyle w:val="Normal"/>
        <w:jc w:val="right"/>
        <w:rPr>
          <w:rFonts w:eastAsia="Calibri" w:cs="Calibri"/>
          <w:iCs/>
          <w:szCs w:val="18"/>
          <w:lang w:eastAsia="en-US"/>
        </w:rPr>
      </w:pPr>
      <w:r>
        <w:rPr>
          <w:rFonts w:eastAsia="Calibri" w:cs="Calibri"/>
          <w:iCs/>
          <w:szCs w:val="18"/>
          <w:lang w:eastAsia="en-US"/>
        </w:rPr>
        <w:t>Таблица 18 – Надежность систем теплоснабжения централизованных котельных</w:t>
      </w:r>
    </w:p>
    <w:tbl>
      <w:tblPr>
        <w:tblW w:w="5000" w:type="pct"/>
        <w:jc w:val="center"/>
        <w:tblInd w:w="0" w:type="dxa"/>
        <w:tblCellMar>
          <w:top w:w="0" w:type="dxa"/>
          <w:left w:w="108" w:type="dxa"/>
          <w:bottom w:w="0" w:type="dxa"/>
          <w:right w:w="108" w:type="dxa"/>
        </w:tblCellMar>
        <w:tblLook w:val="04a0" w:noVBand="1" w:noHBand="0" w:lastColumn="0" w:firstColumn="1" w:lastRow="0" w:firstRow="1"/>
      </w:tblPr>
      <w:tblGrid>
        <w:gridCol w:w="502"/>
        <w:gridCol w:w="2244"/>
        <w:gridCol w:w="2087"/>
        <w:gridCol w:w="1721"/>
        <w:gridCol w:w="3084"/>
      </w:tblGrid>
      <w:tr>
        <w:trPr>
          <w:tblHeader w:val="true"/>
          <w:cantSplit w:val="true"/>
        </w:trPr>
        <w:tc>
          <w:tcPr>
            <w:tcW w:w="5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rPr>
              <w:t xml:space="preserve">№ </w:t>
            </w:r>
            <w:r>
              <w:rPr>
                <w:sz w:val="20"/>
                <w:szCs w:val="20"/>
              </w:rPr>
              <w:t>п/п</w:t>
            </w:r>
          </w:p>
        </w:tc>
        <w:tc>
          <w:tcPr>
            <w:tcW w:w="224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rPr>
              <w:t>Наименование источника</w:t>
            </w:r>
          </w:p>
        </w:tc>
        <w:tc>
          <w:tcPr>
            <w:tcW w:w="20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bCs/>
                <w:sz w:val="20"/>
                <w:szCs w:val="20"/>
              </w:rPr>
            </w:pPr>
            <w:r>
              <w:rPr>
                <w:bCs/>
                <w:sz w:val="20"/>
                <w:szCs w:val="20"/>
              </w:rPr>
              <w:t>Нормативные значения показателей надежности теплоснабжения</w:t>
            </w:r>
          </w:p>
        </w:tc>
        <w:tc>
          <w:tcPr>
            <w:tcW w:w="17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bCs/>
                <w:sz w:val="20"/>
                <w:szCs w:val="20"/>
              </w:rPr>
            </w:pPr>
            <w:r>
              <w:rPr>
                <w:bCs/>
                <w:sz w:val="20"/>
                <w:szCs w:val="20"/>
              </w:rPr>
              <w:t>Расчетные значения показателей надежности теплоснабжения</w:t>
            </w:r>
          </w:p>
        </w:tc>
        <w:tc>
          <w:tcPr>
            <w:tcW w:w="308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rPr>
              <w:t>Заключение</w:t>
            </w:r>
          </w:p>
        </w:tc>
      </w:tr>
      <w:tr>
        <w:trPr>
          <w:cantSplit w:val="true"/>
        </w:trPr>
        <w:tc>
          <w:tcPr>
            <w:tcW w:w="5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spacing w:before="0" w:after="200"/>
              <w:ind w:left="0" w:hanging="0"/>
              <w:jc w:val="center"/>
              <w:rPr>
                <w:rFonts w:ascii="Times New Roman" w:hAnsi="Times New Roman" w:cs="Times New Roman"/>
                <w:sz w:val="20"/>
                <w:szCs w:val="20"/>
              </w:rPr>
            </w:pPr>
            <w:r>
              <w:rPr>
                <w:rFonts w:cs="Times New Roman" w:ascii="Times New Roman" w:hAnsi="Times New Roman"/>
                <w:sz w:val="20"/>
                <w:szCs w:val="20"/>
                <w:lang w:eastAsia="ru-RU"/>
              </w:rPr>
              <w:t>1</w:t>
            </w:r>
          </w:p>
        </w:tc>
        <w:tc>
          <w:tcPr>
            <w:tcW w:w="2244"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jc w:val="center"/>
              <w:rPr>
                <w:sz w:val="20"/>
                <w:szCs w:val="20"/>
              </w:rPr>
            </w:pPr>
            <w:r>
              <w:rPr>
                <w:sz w:val="20"/>
                <w:szCs w:val="20"/>
              </w:rPr>
              <w:t xml:space="preserve">котельная № 1, </w:t>
            </w:r>
          </w:p>
          <w:p>
            <w:pPr>
              <w:pStyle w:val="Normal"/>
              <w:jc w:val="center"/>
              <w:rPr>
                <w:sz w:val="20"/>
                <w:szCs w:val="20"/>
              </w:rPr>
            </w:pPr>
            <w:r>
              <w:rPr>
                <w:sz w:val="20"/>
                <w:szCs w:val="20"/>
              </w:rPr>
              <w:t>пгт.Октябрьское, ул.Сенькина, 46б</w:t>
            </w:r>
          </w:p>
        </w:tc>
        <w:tc>
          <w:tcPr>
            <w:tcW w:w="2087"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rPr>
              <w:t>Вероятность безотказной работы системы теплоснабжения Р=0,9;</w:t>
            </w:r>
          </w:p>
          <w:p>
            <w:pPr>
              <w:pStyle w:val="Normal"/>
              <w:jc w:val="center"/>
              <w:rPr>
                <w:sz w:val="20"/>
                <w:szCs w:val="20"/>
              </w:rPr>
            </w:pPr>
            <w:r>
              <w:rPr>
                <w:sz w:val="20"/>
                <w:szCs w:val="20"/>
              </w:rPr>
              <w:t>Коэффициент готовности Кг=0,97</w:t>
            </w:r>
          </w:p>
        </w:tc>
        <w:tc>
          <w:tcPr>
            <w:tcW w:w="1721"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jc w:val="center"/>
              <w:rPr>
                <w:sz w:val="20"/>
                <w:szCs w:val="20"/>
              </w:rPr>
            </w:pPr>
            <w:r>
              <w:rPr>
                <w:sz w:val="20"/>
                <w:szCs w:val="20"/>
              </w:rPr>
              <w:t>Р=0,92085; Кг=0,998612</w:t>
            </w:r>
          </w:p>
        </w:tc>
        <w:tc>
          <w:tcPr>
            <w:tcW w:w="3084"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jc w:val="both"/>
              <w:rPr>
                <w:sz w:val="20"/>
                <w:szCs w:val="20"/>
              </w:rPr>
            </w:pPr>
            <w:r>
              <w:rPr>
                <w:bCs/>
                <w:sz w:val="20"/>
                <w:szCs w:val="20"/>
              </w:rPr>
              <w:t xml:space="preserve">Вероятность безотказной работы системы соответствует нормативным требованиям, </w:t>
            </w:r>
            <w:r>
              <w:rPr>
                <w:sz w:val="20"/>
                <w:szCs w:val="20"/>
              </w:rPr>
              <w:t xml:space="preserve">коэффициент готовности </w:t>
            </w:r>
            <w:r>
              <w:rPr>
                <w:bCs/>
                <w:sz w:val="20"/>
                <w:szCs w:val="20"/>
              </w:rPr>
              <w:t>соответствует нормативным требованиям</w:t>
            </w:r>
          </w:p>
        </w:tc>
      </w:tr>
      <w:tr>
        <w:trPr>
          <w:cantSplit w:val="true"/>
        </w:trPr>
        <w:tc>
          <w:tcPr>
            <w:tcW w:w="5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spacing w:before="0" w:after="200"/>
              <w:ind w:left="0" w:hanging="0"/>
              <w:jc w:val="center"/>
              <w:rPr>
                <w:rFonts w:ascii="Times New Roman" w:hAnsi="Times New Roman" w:cs="Times New Roman"/>
                <w:sz w:val="20"/>
                <w:szCs w:val="20"/>
                <w:lang w:eastAsia="ru-RU"/>
              </w:rPr>
            </w:pPr>
            <w:r>
              <w:rPr>
                <w:rFonts w:cs="Times New Roman" w:ascii="Times New Roman" w:hAnsi="Times New Roman"/>
                <w:sz w:val="20"/>
                <w:szCs w:val="20"/>
                <w:lang w:eastAsia="ru-RU"/>
              </w:rPr>
              <w:t>2</w:t>
            </w:r>
          </w:p>
        </w:tc>
        <w:tc>
          <w:tcPr>
            <w:tcW w:w="2244"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jc w:val="center"/>
              <w:rPr>
                <w:sz w:val="20"/>
                <w:szCs w:val="20"/>
              </w:rPr>
            </w:pPr>
            <w:r>
              <w:rPr>
                <w:sz w:val="20"/>
                <w:szCs w:val="20"/>
              </w:rPr>
              <w:t>котельная № 2,</w:t>
            </w:r>
          </w:p>
          <w:p>
            <w:pPr>
              <w:pStyle w:val="Normal"/>
              <w:jc w:val="center"/>
              <w:rPr>
                <w:sz w:val="20"/>
                <w:szCs w:val="20"/>
              </w:rPr>
            </w:pPr>
            <w:r>
              <w:rPr>
                <w:sz w:val="20"/>
                <w:szCs w:val="20"/>
              </w:rPr>
              <w:t xml:space="preserve"> </w:t>
            </w:r>
            <w:r>
              <w:rPr>
                <w:sz w:val="20"/>
                <w:szCs w:val="20"/>
              </w:rPr>
              <w:t>пгт.Октябрьское, ул.Пионерская, 17б</w:t>
            </w:r>
          </w:p>
        </w:tc>
        <w:tc>
          <w:tcPr>
            <w:tcW w:w="2087"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rPr>
            </w:r>
          </w:p>
        </w:tc>
        <w:tc>
          <w:tcPr>
            <w:tcW w:w="1721"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jc w:val="center"/>
              <w:rPr>
                <w:sz w:val="20"/>
                <w:szCs w:val="20"/>
              </w:rPr>
            </w:pPr>
            <w:r>
              <w:rPr>
                <w:sz w:val="20"/>
                <w:szCs w:val="20"/>
              </w:rPr>
              <w:t>Р=0,94121; Кг=0,998233</w:t>
            </w:r>
          </w:p>
        </w:tc>
        <w:tc>
          <w:tcPr>
            <w:tcW w:w="3084"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jc w:val="both"/>
              <w:rPr>
                <w:bCs/>
                <w:sz w:val="20"/>
                <w:szCs w:val="20"/>
              </w:rPr>
            </w:pPr>
            <w:r>
              <w:rPr>
                <w:bCs/>
                <w:sz w:val="20"/>
                <w:szCs w:val="20"/>
              </w:rPr>
              <w:t xml:space="preserve">Вероятность безотказной работы системы соответствует нормативным требованиям, </w:t>
            </w:r>
            <w:r>
              <w:rPr>
                <w:sz w:val="20"/>
                <w:szCs w:val="20"/>
              </w:rPr>
              <w:t xml:space="preserve">коэффициент готовности </w:t>
            </w:r>
            <w:r>
              <w:rPr>
                <w:bCs/>
                <w:sz w:val="20"/>
                <w:szCs w:val="20"/>
              </w:rPr>
              <w:t>соответствует нормативным требованиям</w:t>
            </w:r>
          </w:p>
        </w:tc>
      </w:tr>
      <w:tr>
        <w:trPr>
          <w:cantSplit w:val="true"/>
        </w:trPr>
        <w:tc>
          <w:tcPr>
            <w:tcW w:w="5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spacing w:before="0" w:after="200"/>
              <w:ind w:left="0" w:hanging="0"/>
              <w:jc w:val="center"/>
              <w:rPr>
                <w:rFonts w:ascii="Times New Roman" w:hAnsi="Times New Roman" w:cs="Times New Roman"/>
                <w:sz w:val="20"/>
                <w:szCs w:val="20"/>
                <w:lang w:eastAsia="ru-RU"/>
              </w:rPr>
            </w:pPr>
            <w:r>
              <w:rPr>
                <w:rFonts w:cs="Times New Roman" w:ascii="Times New Roman" w:hAnsi="Times New Roman"/>
                <w:sz w:val="20"/>
                <w:szCs w:val="20"/>
                <w:lang w:eastAsia="ru-RU"/>
              </w:rPr>
              <w:t>3</w:t>
            </w:r>
          </w:p>
        </w:tc>
        <w:tc>
          <w:tcPr>
            <w:tcW w:w="2244"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jc w:val="center"/>
              <w:rPr>
                <w:sz w:val="20"/>
                <w:szCs w:val="20"/>
              </w:rPr>
            </w:pPr>
            <w:r>
              <w:rPr>
                <w:sz w:val="20"/>
                <w:szCs w:val="20"/>
              </w:rPr>
              <w:t xml:space="preserve">котельная № 3, </w:t>
            </w:r>
          </w:p>
          <w:p>
            <w:pPr>
              <w:pStyle w:val="Normal"/>
              <w:jc w:val="center"/>
              <w:rPr>
                <w:sz w:val="20"/>
                <w:szCs w:val="20"/>
              </w:rPr>
            </w:pPr>
            <w:r>
              <w:rPr>
                <w:sz w:val="20"/>
                <w:szCs w:val="20"/>
              </w:rPr>
              <w:t>пгт.Октябрьское, ул.Чапаева, 6б</w:t>
            </w:r>
          </w:p>
        </w:tc>
        <w:tc>
          <w:tcPr>
            <w:tcW w:w="2087"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rPr>
            </w:r>
          </w:p>
        </w:tc>
        <w:tc>
          <w:tcPr>
            <w:tcW w:w="1721"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jc w:val="center"/>
              <w:rPr>
                <w:sz w:val="20"/>
                <w:szCs w:val="20"/>
              </w:rPr>
            </w:pPr>
            <w:r>
              <w:rPr>
                <w:sz w:val="20"/>
                <w:szCs w:val="20"/>
              </w:rPr>
              <w:t>Р=0,92164; Кг=0,998251</w:t>
            </w:r>
          </w:p>
        </w:tc>
        <w:tc>
          <w:tcPr>
            <w:tcW w:w="3084"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jc w:val="both"/>
              <w:rPr>
                <w:bCs/>
                <w:sz w:val="20"/>
                <w:szCs w:val="20"/>
              </w:rPr>
            </w:pPr>
            <w:r>
              <w:rPr>
                <w:bCs/>
                <w:sz w:val="20"/>
                <w:szCs w:val="20"/>
              </w:rPr>
              <w:t xml:space="preserve">Вероятность безотказной работы системы соответствует нормативным требованиям, </w:t>
            </w:r>
            <w:r>
              <w:rPr>
                <w:sz w:val="20"/>
                <w:szCs w:val="20"/>
              </w:rPr>
              <w:t xml:space="preserve">коэффициент готовности </w:t>
            </w:r>
            <w:r>
              <w:rPr>
                <w:bCs/>
                <w:sz w:val="20"/>
                <w:szCs w:val="20"/>
              </w:rPr>
              <w:t>соответствует нормативным требованиям</w:t>
            </w:r>
          </w:p>
        </w:tc>
      </w:tr>
      <w:tr>
        <w:trPr>
          <w:cantSplit w:val="true"/>
        </w:trPr>
        <w:tc>
          <w:tcPr>
            <w:tcW w:w="5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spacing w:before="0" w:after="200"/>
              <w:ind w:left="0" w:hanging="0"/>
              <w:jc w:val="center"/>
              <w:rPr>
                <w:rFonts w:ascii="Times New Roman" w:hAnsi="Times New Roman" w:cs="Times New Roman"/>
                <w:sz w:val="20"/>
                <w:szCs w:val="20"/>
                <w:lang w:eastAsia="ru-RU"/>
              </w:rPr>
            </w:pPr>
            <w:r>
              <w:rPr>
                <w:rFonts w:cs="Times New Roman" w:ascii="Times New Roman" w:hAnsi="Times New Roman"/>
                <w:sz w:val="20"/>
                <w:szCs w:val="20"/>
                <w:lang w:eastAsia="ru-RU"/>
              </w:rPr>
              <w:t>4</w:t>
            </w:r>
          </w:p>
        </w:tc>
        <w:tc>
          <w:tcPr>
            <w:tcW w:w="2244"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jc w:val="center"/>
              <w:rPr>
                <w:sz w:val="20"/>
                <w:szCs w:val="20"/>
              </w:rPr>
            </w:pPr>
            <w:r>
              <w:rPr>
                <w:sz w:val="20"/>
                <w:szCs w:val="20"/>
              </w:rPr>
              <w:t xml:space="preserve">котельная № 6, </w:t>
            </w:r>
          </w:p>
          <w:p>
            <w:pPr>
              <w:pStyle w:val="Normal"/>
              <w:jc w:val="center"/>
              <w:rPr>
                <w:sz w:val="20"/>
                <w:szCs w:val="20"/>
              </w:rPr>
            </w:pPr>
            <w:r>
              <w:rPr>
                <w:sz w:val="20"/>
                <w:szCs w:val="20"/>
              </w:rPr>
              <w:t>пгт.Октябрьское, ул.Дзержинского, 2б</w:t>
            </w:r>
          </w:p>
        </w:tc>
        <w:tc>
          <w:tcPr>
            <w:tcW w:w="2087"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rPr>
            </w:r>
          </w:p>
        </w:tc>
        <w:tc>
          <w:tcPr>
            <w:tcW w:w="1721"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jc w:val="center"/>
              <w:rPr>
                <w:sz w:val="20"/>
                <w:szCs w:val="20"/>
              </w:rPr>
            </w:pPr>
            <w:r>
              <w:rPr>
                <w:sz w:val="20"/>
                <w:szCs w:val="20"/>
              </w:rPr>
              <w:t>Р=0,96875; Кг=0,999262</w:t>
            </w:r>
          </w:p>
        </w:tc>
        <w:tc>
          <w:tcPr>
            <w:tcW w:w="3084"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jc w:val="both"/>
              <w:rPr>
                <w:bCs/>
                <w:sz w:val="20"/>
                <w:szCs w:val="20"/>
              </w:rPr>
            </w:pPr>
            <w:r>
              <w:rPr>
                <w:bCs/>
                <w:sz w:val="20"/>
                <w:szCs w:val="20"/>
              </w:rPr>
              <w:t xml:space="preserve">Вероятность безотказной работы системы соответствует нормативным требованиям, </w:t>
            </w:r>
            <w:r>
              <w:rPr>
                <w:sz w:val="20"/>
                <w:szCs w:val="20"/>
              </w:rPr>
              <w:t xml:space="preserve">коэффициент готовности </w:t>
            </w:r>
            <w:r>
              <w:rPr>
                <w:bCs/>
                <w:sz w:val="20"/>
                <w:szCs w:val="20"/>
              </w:rPr>
              <w:t>соответствует нормативным требованиям</w:t>
            </w:r>
          </w:p>
        </w:tc>
      </w:tr>
      <w:tr>
        <w:trPr>
          <w:cantSplit w:val="true"/>
        </w:trPr>
        <w:tc>
          <w:tcPr>
            <w:tcW w:w="5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spacing w:before="0" w:after="200"/>
              <w:ind w:left="0" w:hanging="0"/>
              <w:jc w:val="center"/>
              <w:rPr>
                <w:rFonts w:ascii="Times New Roman" w:hAnsi="Times New Roman" w:cs="Times New Roman"/>
                <w:sz w:val="20"/>
                <w:szCs w:val="20"/>
                <w:lang w:eastAsia="ru-RU"/>
              </w:rPr>
            </w:pPr>
            <w:r>
              <w:rPr>
                <w:rFonts w:cs="Times New Roman" w:ascii="Times New Roman" w:hAnsi="Times New Roman"/>
                <w:sz w:val="20"/>
                <w:szCs w:val="20"/>
                <w:lang w:eastAsia="ru-RU"/>
              </w:rPr>
              <w:t>5</w:t>
            </w:r>
          </w:p>
        </w:tc>
        <w:tc>
          <w:tcPr>
            <w:tcW w:w="2244"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jc w:val="center"/>
              <w:rPr>
                <w:sz w:val="20"/>
                <w:szCs w:val="20"/>
              </w:rPr>
            </w:pPr>
            <w:r>
              <w:rPr>
                <w:sz w:val="20"/>
                <w:szCs w:val="20"/>
              </w:rPr>
              <w:t>котельная № 7,</w:t>
            </w:r>
          </w:p>
          <w:p>
            <w:pPr>
              <w:pStyle w:val="Normal"/>
              <w:jc w:val="center"/>
              <w:rPr>
                <w:sz w:val="20"/>
                <w:szCs w:val="20"/>
              </w:rPr>
            </w:pPr>
            <w:r>
              <w:rPr>
                <w:sz w:val="20"/>
                <w:szCs w:val="20"/>
              </w:rPr>
              <w:t>пгт.Октябрьское, ул.Медицинская, 3Б</w:t>
            </w:r>
          </w:p>
        </w:tc>
        <w:tc>
          <w:tcPr>
            <w:tcW w:w="2087"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rPr>
            </w:r>
          </w:p>
        </w:tc>
        <w:tc>
          <w:tcPr>
            <w:tcW w:w="1721"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jc w:val="center"/>
              <w:rPr>
                <w:sz w:val="20"/>
                <w:szCs w:val="20"/>
              </w:rPr>
            </w:pPr>
            <w:r>
              <w:rPr>
                <w:sz w:val="20"/>
                <w:szCs w:val="20"/>
              </w:rPr>
              <w:t>Р=0,92699; Кг=0,999059</w:t>
            </w:r>
          </w:p>
        </w:tc>
        <w:tc>
          <w:tcPr>
            <w:tcW w:w="3084"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jc w:val="both"/>
              <w:rPr>
                <w:bCs/>
                <w:sz w:val="20"/>
                <w:szCs w:val="20"/>
              </w:rPr>
            </w:pPr>
            <w:r>
              <w:rPr>
                <w:bCs/>
                <w:sz w:val="20"/>
                <w:szCs w:val="20"/>
              </w:rPr>
              <w:t xml:space="preserve">Вероятность безотказной работы системы соответствует нормативным требованиям, </w:t>
            </w:r>
            <w:r>
              <w:rPr>
                <w:sz w:val="20"/>
                <w:szCs w:val="20"/>
              </w:rPr>
              <w:t xml:space="preserve">коэффициент готовности </w:t>
            </w:r>
            <w:r>
              <w:rPr>
                <w:bCs/>
                <w:sz w:val="20"/>
                <w:szCs w:val="20"/>
              </w:rPr>
              <w:t>соответствует нормативным требованиям</w:t>
            </w:r>
          </w:p>
        </w:tc>
      </w:tr>
      <w:tr>
        <w:trPr>
          <w:cantSplit w:val="true"/>
        </w:trPr>
        <w:tc>
          <w:tcPr>
            <w:tcW w:w="5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spacing w:before="0" w:after="200"/>
              <w:ind w:left="0" w:hanging="0"/>
              <w:jc w:val="center"/>
              <w:rPr>
                <w:rFonts w:ascii="Times New Roman" w:hAnsi="Times New Roman" w:cs="Times New Roman"/>
                <w:sz w:val="20"/>
                <w:szCs w:val="20"/>
                <w:lang w:eastAsia="ru-RU"/>
              </w:rPr>
            </w:pPr>
            <w:r>
              <w:rPr>
                <w:rFonts w:cs="Times New Roman" w:ascii="Times New Roman" w:hAnsi="Times New Roman"/>
                <w:sz w:val="20"/>
                <w:szCs w:val="20"/>
                <w:lang w:eastAsia="ru-RU"/>
              </w:rPr>
              <w:t>6</w:t>
            </w:r>
          </w:p>
        </w:tc>
        <w:tc>
          <w:tcPr>
            <w:tcW w:w="2244"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jc w:val="center"/>
              <w:rPr>
                <w:sz w:val="20"/>
                <w:szCs w:val="20"/>
              </w:rPr>
            </w:pPr>
            <w:r>
              <w:rPr>
                <w:sz w:val="20"/>
                <w:szCs w:val="20"/>
              </w:rPr>
              <w:t xml:space="preserve">котельная № 12, </w:t>
            </w:r>
          </w:p>
          <w:p>
            <w:pPr>
              <w:pStyle w:val="Normal"/>
              <w:jc w:val="center"/>
              <w:rPr>
                <w:sz w:val="20"/>
                <w:szCs w:val="20"/>
              </w:rPr>
            </w:pPr>
            <w:r>
              <w:rPr>
                <w:sz w:val="20"/>
                <w:szCs w:val="20"/>
              </w:rPr>
              <w:t>пгт.Октябрьское, ул.Медицинская, 3к</w:t>
            </w:r>
          </w:p>
        </w:tc>
        <w:tc>
          <w:tcPr>
            <w:tcW w:w="2087"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rPr>
            </w:r>
          </w:p>
        </w:tc>
        <w:tc>
          <w:tcPr>
            <w:tcW w:w="1721"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jc w:val="center"/>
              <w:rPr>
                <w:sz w:val="20"/>
                <w:szCs w:val="20"/>
              </w:rPr>
            </w:pPr>
            <w:r>
              <w:rPr>
                <w:sz w:val="20"/>
                <w:szCs w:val="20"/>
              </w:rPr>
              <w:t>Р=0,93696; Кг=0,998767</w:t>
            </w:r>
          </w:p>
        </w:tc>
        <w:tc>
          <w:tcPr>
            <w:tcW w:w="3084"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jc w:val="both"/>
              <w:rPr>
                <w:bCs/>
                <w:sz w:val="20"/>
                <w:szCs w:val="20"/>
              </w:rPr>
            </w:pPr>
            <w:r>
              <w:rPr>
                <w:bCs/>
                <w:sz w:val="20"/>
                <w:szCs w:val="20"/>
              </w:rPr>
              <w:t xml:space="preserve">Вероятность безотказной работы системы соответствует нормативным требованиям, </w:t>
            </w:r>
            <w:r>
              <w:rPr>
                <w:sz w:val="20"/>
                <w:szCs w:val="20"/>
              </w:rPr>
              <w:t xml:space="preserve">коэффициент готовности </w:t>
            </w:r>
            <w:r>
              <w:rPr>
                <w:bCs/>
                <w:sz w:val="20"/>
                <w:szCs w:val="20"/>
              </w:rPr>
              <w:t>соответствует нормативным требованиям</w:t>
            </w:r>
          </w:p>
        </w:tc>
      </w:tr>
      <w:tr>
        <w:trPr>
          <w:cantSplit w:val="true"/>
        </w:trPr>
        <w:tc>
          <w:tcPr>
            <w:tcW w:w="5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spacing w:before="0" w:after="200"/>
              <w:ind w:left="0" w:hanging="0"/>
              <w:jc w:val="center"/>
              <w:rPr>
                <w:rFonts w:ascii="Times New Roman" w:hAnsi="Times New Roman" w:cs="Times New Roman"/>
                <w:sz w:val="20"/>
                <w:szCs w:val="20"/>
                <w:lang w:eastAsia="ru-RU"/>
              </w:rPr>
            </w:pPr>
            <w:r>
              <w:rPr>
                <w:rFonts w:cs="Times New Roman" w:ascii="Times New Roman" w:hAnsi="Times New Roman"/>
                <w:sz w:val="20"/>
                <w:szCs w:val="20"/>
                <w:lang w:eastAsia="ru-RU"/>
              </w:rPr>
              <w:t>7</w:t>
            </w:r>
          </w:p>
        </w:tc>
        <w:tc>
          <w:tcPr>
            <w:tcW w:w="2244"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jc w:val="center"/>
              <w:rPr>
                <w:sz w:val="20"/>
                <w:szCs w:val="20"/>
              </w:rPr>
            </w:pPr>
            <w:r>
              <w:rPr>
                <w:sz w:val="20"/>
                <w:szCs w:val="20"/>
              </w:rPr>
              <w:t xml:space="preserve">котельная № 8, </w:t>
            </w:r>
          </w:p>
          <w:p>
            <w:pPr>
              <w:pStyle w:val="Normal"/>
              <w:jc w:val="center"/>
              <w:rPr>
                <w:sz w:val="20"/>
                <w:szCs w:val="20"/>
              </w:rPr>
            </w:pPr>
            <w:r>
              <w:rPr>
                <w:sz w:val="20"/>
                <w:szCs w:val="20"/>
              </w:rPr>
              <w:t xml:space="preserve">пгт.Октябрьское, </w:t>
            </w:r>
          </w:p>
          <w:p>
            <w:pPr>
              <w:pStyle w:val="Normal"/>
              <w:jc w:val="center"/>
              <w:rPr>
                <w:sz w:val="20"/>
                <w:szCs w:val="20"/>
              </w:rPr>
            </w:pPr>
            <w:r>
              <w:rPr>
                <w:sz w:val="20"/>
                <w:szCs w:val="20"/>
              </w:rPr>
              <w:t>ул. 50 лет, 38А</w:t>
            </w:r>
          </w:p>
        </w:tc>
        <w:tc>
          <w:tcPr>
            <w:tcW w:w="2087"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rPr>
            </w:r>
          </w:p>
        </w:tc>
        <w:tc>
          <w:tcPr>
            <w:tcW w:w="1721"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jc w:val="center"/>
              <w:rPr>
                <w:sz w:val="20"/>
                <w:szCs w:val="20"/>
              </w:rPr>
            </w:pPr>
            <w:r>
              <w:rPr>
                <w:sz w:val="20"/>
                <w:szCs w:val="20"/>
              </w:rPr>
              <w:t>Р=0,99298; Кг=0,999876</w:t>
            </w:r>
          </w:p>
        </w:tc>
        <w:tc>
          <w:tcPr>
            <w:tcW w:w="3084"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jc w:val="both"/>
              <w:rPr>
                <w:bCs/>
                <w:sz w:val="20"/>
                <w:szCs w:val="20"/>
              </w:rPr>
            </w:pPr>
            <w:r>
              <w:rPr>
                <w:bCs/>
                <w:sz w:val="20"/>
                <w:szCs w:val="20"/>
              </w:rPr>
              <w:t xml:space="preserve">Вероятность безотказной работы системы соответствует нормативным требованиям, </w:t>
            </w:r>
            <w:r>
              <w:rPr>
                <w:sz w:val="20"/>
                <w:szCs w:val="20"/>
              </w:rPr>
              <w:t xml:space="preserve">коэффициент готовности </w:t>
            </w:r>
            <w:r>
              <w:rPr>
                <w:bCs/>
                <w:sz w:val="20"/>
                <w:szCs w:val="20"/>
              </w:rPr>
              <w:t>соответствует нормативным требованиям</w:t>
            </w:r>
          </w:p>
        </w:tc>
      </w:tr>
    </w:tbl>
    <w:p>
      <w:pPr>
        <w:pStyle w:val="Normal"/>
        <w:rPr>
          <w:rFonts w:eastAsia="Calibri"/>
          <w:iCs/>
          <w:szCs w:val="18"/>
          <w:lang w:eastAsia="en-US"/>
        </w:rPr>
      </w:pPr>
      <w:r>
        <w:rPr>
          <w:rFonts w:eastAsia="Calibri"/>
          <w:iCs/>
          <w:szCs w:val="18"/>
          <w:lang w:eastAsia="en-US"/>
        </w:rPr>
      </w:r>
    </w:p>
    <w:p>
      <w:pPr>
        <w:pStyle w:val="Normal"/>
        <w:spacing w:before="0" w:after="0"/>
        <w:ind w:firstLine="709"/>
        <w:contextualSpacing/>
        <w:jc w:val="both"/>
        <w:rPr>
          <w:szCs w:val="28"/>
          <w:lang w:eastAsia="ru-RU"/>
        </w:rPr>
      </w:pPr>
      <w:r>
        <w:rPr>
          <w:szCs w:val="28"/>
          <w:lang w:eastAsia="ru-RU"/>
        </w:rPr>
        <w:t>Вероятность безотказной работы и коэффициент готовности системы теплоснабжения поселения соответствует нормативным требованиям. Для обеспечения надежного теплоснабжения потребителей рекомендуется заменить изношенные участки тепловых сетей, а также своевременно проводить текущие и плановые ремонты объектов системы теплоснабжения.</w:t>
      </w:r>
      <w:bookmarkStart w:id="803" w:name="_Toc181340415"/>
      <w:bookmarkStart w:id="804" w:name="_Toc160455067"/>
      <w:bookmarkStart w:id="805" w:name="_Toc160529949"/>
      <w:bookmarkStart w:id="806" w:name="_Toc535409536"/>
      <w:bookmarkStart w:id="807" w:name="sub_1451"/>
      <w:bookmarkEnd w:id="806"/>
      <w:bookmarkEnd w:id="807"/>
    </w:p>
    <w:p>
      <w:pPr>
        <w:pStyle w:val="Normal"/>
        <w:spacing w:before="0" w:after="0"/>
        <w:ind w:firstLine="709"/>
        <w:contextualSpacing/>
        <w:jc w:val="both"/>
        <w:rPr>
          <w:szCs w:val="28"/>
          <w:lang w:eastAsia="ru-RU"/>
        </w:rPr>
      </w:pPr>
      <w:r>
        <w:rPr>
          <w:szCs w:val="28"/>
          <w:lang w:eastAsia="ru-RU"/>
        </w:rPr>
      </w:r>
    </w:p>
    <w:p>
      <w:pPr>
        <w:pStyle w:val="Normal"/>
        <w:spacing w:before="0" w:after="0"/>
        <w:ind w:firstLine="709"/>
        <w:contextualSpacing/>
        <w:jc w:val="both"/>
        <w:rPr>
          <w:szCs w:val="28"/>
          <w:lang w:eastAsia="ru-RU"/>
        </w:rPr>
      </w:pPr>
      <w:r>
        <w:rPr>
          <w:rFonts w:eastAsia="Calibri Light" w:cs="Calibri Light"/>
          <w:b/>
          <w:lang w:eastAsia="en-US"/>
        </w:rPr>
        <w:t>1.9.1. Поток отказов (частота отказов) участков тепловых сетей</w:t>
      </w:r>
      <w:bookmarkEnd w:id="803"/>
      <w:bookmarkEnd w:id="804"/>
      <w:bookmarkEnd w:id="805"/>
    </w:p>
    <w:p>
      <w:pPr>
        <w:pStyle w:val="Normal"/>
        <w:spacing w:before="0" w:after="0"/>
        <w:ind w:firstLine="709"/>
        <w:contextualSpacing/>
        <w:jc w:val="both"/>
        <w:rPr>
          <w:szCs w:val="28"/>
          <w:lang w:eastAsia="ru-RU"/>
        </w:rPr>
      </w:pPr>
      <w:r>
        <w:rPr>
          <w:szCs w:val="28"/>
          <w:lang w:eastAsia="ru-RU"/>
        </w:rPr>
        <w:t>Ограничений в подаче тепла не отмечено. Для обеспечения надежного теплоснабжения потребителей рекомендуется провести работы по реконструкции тепловых сетей с заменой изношенных участков. Ежегодная замена изношенных участков тепловых сетей позволит повысить надежность теплоснабжения, снизить вероятность возникновения аварийной ситуации, а также сократить потери тепловой энергии и теплоносителя в тепловых сетях.</w:t>
      </w:r>
      <w:bookmarkStart w:id="808" w:name="_Toc181340416"/>
      <w:bookmarkStart w:id="809" w:name="_Toc160529950"/>
      <w:bookmarkStart w:id="810" w:name="_Toc160455068"/>
      <w:bookmarkStart w:id="811" w:name="_Toc160186083"/>
      <w:bookmarkStart w:id="812" w:name="_Toc158278678"/>
    </w:p>
    <w:p>
      <w:pPr>
        <w:pStyle w:val="Normal"/>
        <w:spacing w:before="0" w:after="0"/>
        <w:ind w:firstLine="709"/>
        <w:contextualSpacing/>
        <w:jc w:val="both"/>
        <w:rPr>
          <w:szCs w:val="28"/>
          <w:lang w:eastAsia="ru-RU"/>
        </w:rPr>
      </w:pPr>
      <w:r>
        <w:rPr>
          <w:szCs w:val="28"/>
          <w:lang w:eastAsia="ru-RU"/>
        </w:rPr>
      </w:r>
    </w:p>
    <w:p>
      <w:pPr>
        <w:pStyle w:val="Normal"/>
        <w:spacing w:before="0" w:after="0"/>
        <w:ind w:firstLine="709"/>
        <w:contextualSpacing/>
        <w:jc w:val="both"/>
        <w:rPr>
          <w:szCs w:val="28"/>
          <w:lang w:eastAsia="ru-RU"/>
        </w:rPr>
      </w:pPr>
      <w:r>
        <w:rPr>
          <w:rFonts w:eastAsia="Calibri Light" w:cs="Calibri Light"/>
          <w:b/>
          <w:lang w:eastAsia="en-US"/>
        </w:rPr>
        <w:t>1.9.2. Частота отключений потребителей</w:t>
      </w:r>
      <w:bookmarkEnd w:id="808"/>
      <w:bookmarkEnd w:id="809"/>
      <w:bookmarkEnd w:id="810"/>
      <w:bookmarkEnd w:id="811"/>
      <w:bookmarkEnd w:id="812"/>
    </w:p>
    <w:p>
      <w:pPr>
        <w:pStyle w:val="Normal"/>
        <w:spacing w:before="0" w:after="0"/>
        <w:ind w:firstLine="709"/>
        <w:contextualSpacing/>
        <w:jc w:val="both"/>
        <w:rPr>
          <w:szCs w:val="28"/>
          <w:lang w:eastAsia="ru-RU"/>
        </w:rPr>
      </w:pPr>
      <w:r>
        <w:rPr>
          <w:rFonts w:eastAsia="Calibri" w:cs="Calibri"/>
          <w:szCs w:val="22"/>
          <w:lang w:eastAsia="en-US"/>
        </w:rPr>
        <w:t>Ограничений в подаче тепла не отмечено.</w:t>
      </w:r>
      <w:r>
        <w:rPr>
          <w:rFonts w:eastAsia="Calibri"/>
          <w:szCs w:val="22"/>
          <w:lang w:eastAsia="en-US"/>
        </w:rPr>
        <w:t xml:space="preserve"> </w:t>
      </w:r>
      <w:r>
        <w:rPr>
          <w:rFonts w:eastAsia="Calibri" w:cs="Calibri"/>
          <w:szCs w:val="22"/>
          <w:lang w:eastAsia="en-US"/>
        </w:rPr>
        <w:t>На текущий момент эксплуатационная надежность тепловых сетей обеспечивалась за счет текущей ликвидации возникающих повреждений в тепловых сетях и недопущению их развития в серьезные аварии с тяжелыми последствиями.</w:t>
      </w:r>
      <w:bookmarkStart w:id="813" w:name="_Toc181340417"/>
      <w:bookmarkStart w:id="814" w:name="_Toc160529951"/>
      <w:bookmarkStart w:id="815" w:name="_Toc160455069"/>
      <w:bookmarkStart w:id="816" w:name="_Toc160186084"/>
      <w:bookmarkStart w:id="817" w:name="_Toc158278679"/>
    </w:p>
    <w:p>
      <w:pPr>
        <w:pStyle w:val="Normal"/>
        <w:spacing w:before="0" w:after="0"/>
        <w:ind w:firstLine="709"/>
        <w:contextualSpacing/>
        <w:jc w:val="both"/>
        <w:rPr>
          <w:szCs w:val="28"/>
          <w:lang w:eastAsia="ru-RU"/>
        </w:rPr>
      </w:pPr>
      <w:r>
        <w:rPr>
          <w:szCs w:val="28"/>
          <w:lang w:eastAsia="ru-RU"/>
        </w:rPr>
      </w:r>
    </w:p>
    <w:p>
      <w:pPr>
        <w:pStyle w:val="Normal"/>
        <w:spacing w:before="0" w:after="0"/>
        <w:ind w:firstLine="709"/>
        <w:contextualSpacing/>
        <w:jc w:val="both"/>
        <w:rPr>
          <w:rFonts w:eastAsia="Calibri Light" w:cs="Calibri Light"/>
          <w:b/>
          <w:b/>
          <w:lang w:eastAsia="en-US"/>
        </w:rPr>
      </w:pPr>
      <w:r>
        <w:rPr>
          <w:rFonts w:eastAsia="Calibri Light" w:cs="Calibri Light"/>
          <w:b/>
          <w:lang w:eastAsia="en-US"/>
        </w:rPr>
        <w:t>1.9.3. Поток (частота) и время восстановления теплоснабжения потребителей после отключений</w:t>
      </w:r>
      <w:bookmarkEnd w:id="813"/>
      <w:bookmarkEnd w:id="814"/>
      <w:bookmarkEnd w:id="815"/>
      <w:bookmarkEnd w:id="816"/>
      <w:bookmarkEnd w:id="817"/>
    </w:p>
    <w:p>
      <w:pPr>
        <w:pStyle w:val="Normal"/>
        <w:spacing w:before="0" w:after="0"/>
        <w:ind w:firstLine="709"/>
        <w:contextualSpacing/>
        <w:jc w:val="both"/>
        <w:rPr>
          <w:rStyle w:val="Ed"/>
        </w:rPr>
      </w:pPr>
      <w:r>
        <w:rPr>
          <w:rStyle w:val="Ed"/>
        </w:rPr>
        <w:t>Данные о частоте и времени восстановления теплоснабжения потребителей после отключений не были представлены ввиду отсутствия случаев отключения потребителей.</w:t>
      </w:r>
      <w:bookmarkStart w:id="818" w:name="_Toc160529952"/>
      <w:bookmarkStart w:id="819" w:name="_Toc181340418"/>
      <w:bookmarkStart w:id="820" w:name="_Toc160186085"/>
      <w:bookmarkStart w:id="821" w:name="_Toc158278680"/>
      <w:bookmarkStart w:id="822" w:name="_Toc160455070"/>
    </w:p>
    <w:p>
      <w:pPr>
        <w:pStyle w:val="Normal"/>
        <w:spacing w:before="0" w:after="0"/>
        <w:ind w:firstLine="709"/>
        <w:contextualSpacing/>
        <w:jc w:val="both"/>
        <w:rPr>
          <w:rStyle w:val="Ed"/>
          <w:szCs w:val="28"/>
          <w:lang w:eastAsia="ru-RU"/>
        </w:rPr>
      </w:pPr>
      <w:r>
        <w:rPr>
          <w:szCs w:val="28"/>
          <w:lang w:eastAsia="ru-RU"/>
        </w:rPr>
      </w:r>
    </w:p>
    <w:p>
      <w:pPr>
        <w:pStyle w:val="Normal"/>
        <w:spacing w:before="0" w:after="0"/>
        <w:ind w:firstLine="709"/>
        <w:contextualSpacing/>
        <w:jc w:val="both"/>
        <w:rPr>
          <w:szCs w:val="28"/>
          <w:lang w:eastAsia="ru-RU"/>
        </w:rPr>
      </w:pPr>
      <w:r>
        <w:rPr>
          <w:rFonts w:eastAsia="Calibri Light" w:cs="Calibri Light"/>
          <w:b/>
          <w:lang w:eastAsia="en-US"/>
        </w:rPr>
        <w:t>1.9.4. Графические материалы (карты-схемы тепловых сетей и зон ненормативной надежности)</w:t>
      </w:r>
      <w:bookmarkEnd w:id="818"/>
      <w:bookmarkEnd w:id="819"/>
      <w:bookmarkEnd w:id="820"/>
      <w:bookmarkEnd w:id="821"/>
      <w:bookmarkEnd w:id="822"/>
    </w:p>
    <w:p>
      <w:pPr>
        <w:pStyle w:val="Normal"/>
        <w:spacing w:before="0" w:after="0"/>
        <w:ind w:firstLine="709"/>
        <w:contextualSpacing/>
        <w:jc w:val="both"/>
        <w:rPr>
          <w:szCs w:val="28"/>
          <w:lang w:eastAsia="ru-RU"/>
        </w:rPr>
      </w:pPr>
      <w:r>
        <w:rPr>
          <w:rFonts w:eastAsia="Calibri" w:cs="Calibri"/>
          <w:szCs w:val="22"/>
          <w:lang w:eastAsia="en-US"/>
        </w:rPr>
        <w:t>Вероятность безотказной работы и коэффициент готовности систем теплоснабжения соответствует нормативным требованиям. Зоны действия котельной приведены в Части 4 настоящих обосновывающих материалов.</w:t>
      </w:r>
      <w:bookmarkStart w:id="823" w:name="_Toc181337265"/>
      <w:bookmarkStart w:id="824" w:name="_Toc181340419"/>
      <w:bookmarkStart w:id="825" w:name="_Toc181261290"/>
      <w:bookmarkStart w:id="826" w:name="_Toc158278681"/>
      <w:bookmarkStart w:id="827" w:name="_Toc160186086"/>
    </w:p>
    <w:p>
      <w:pPr>
        <w:pStyle w:val="Normal"/>
        <w:spacing w:before="0" w:after="0"/>
        <w:ind w:firstLine="709"/>
        <w:contextualSpacing/>
        <w:jc w:val="both"/>
        <w:rPr>
          <w:szCs w:val="28"/>
          <w:lang w:eastAsia="ru-RU"/>
        </w:rPr>
      </w:pPr>
      <w:r>
        <w:rPr>
          <w:szCs w:val="28"/>
          <w:lang w:eastAsia="ru-RU"/>
        </w:rPr>
      </w:r>
    </w:p>
    <w:p>
      <w:pPr>
        <w:pStyle w:val="Normal"/>
        <w:spacing w:before="0" w:after="0"/>
        <w:ind w:firstLine="709"/>
        <w:contextualSpacing/>
        <w:jc w:val="both"/>
        <w:rPr>
          <w:rFonts w:eastAsia="Calibri Light" w:cs="Calibri Light"/>
          <w:b/>
          <w:b/>
          <w:lang w:eastAsia="en-US"/>
        </w:rPr>
      </w:pPr>
      <w:r>
        <w:rPr>
          <w:rFonts w:eastAsia="Calibri Light" w:cs="Calibri Light"/>
          <w:b/>
          <w:lang w:eastAsia="en-US"/>
        </w:rPr>
        <w:t xml:space="preserve">1.9.5. Результаты анализа аварийных ситуаций при теплоснабжении, расследование причин которых осуществляется федеральным органом исполнительной власти уполномоченным на осуществление федерального государственного энергетического надзора, в соответствии с </w:t>
      </w:r>
      <w:r>
        <w:rPr>
          <w:rFonts w:eastAsia="Tahoma"/>
          <w:b/>
          <w:bCs/>
        </w:rPr>
        <w:t>Правилами расследования причин аварийных ситуаций в сфере теплоснабжения</w:t>
      </w:r>
      <w:r>
        <w:rPr>
          <w:rFonts w:eastAsia="Calibri Light" w:cs="Calibri Light"/>
          <w:b/>
          <w:lang w:eastAsia="en-US"/>
        </w:rPr>
        <w:t>, утвержденными</w:t>
      </w:r>
      <w:r>
        <w:rPr>
          <w:rFonts w:eastAsia="Tahoma"/>
          <w:b/>
          <w:bCs/>
        </w:rPr>
        <w:t xml:space="preserve"> постановлением Правительства </w:t>
      </w:r>
      <w:r>
        <w:rPr>
          <w:rFonts w:eastAsia="Calibri Light" w:cs="Calibri Light"/>
          <w:b/>
          <w:lang w:eastAsia="en-US"/>
        </w:rPr>
        <w:t xml:space="preserve">Российской Федерации </w:t>
      </w:r>
      <w:r>
        <w:rPr>
          <w:rFonts w:eastAsia="Tahoma"/>
          <w:b/>
          <w:bCs/>
        </w:rPr>
        <w:t>от 02.06.2022 № 1014</w:t>
      </w:r>
      <w:r>
        <w:rPr>
          <w:rFonts w:eastAsia="Calibri Light" w:cs="Calibri Light"/>
          <w:b/>
          <w:lang w:eastAsia="en-US"/>
        </w:rPr>
        <w:t xml:space="preserve"> «</w:t>
      </w:r>
      <w:r>
        <w:rPr>
          <w:rFonts w:eastAsia="Tahoma"/>
          <w:b/>
          <w:bCs/>
        </w:rPr>
        <w:t>О расследовании причин аварийных ситуаций в сфере теплоснабжения»</w:t>
      </w:r>
      <w:bookmarkEnd w:id="823"/>
      <w:bookmarkEnd w:id="824"/>
      <w:bookmarkEnd w:id="825"/>
      <w:bookmarkEnd w:id="826"/>
      <w:bookmarkEnd w:id="827"/>
    </w:p>
    <w:p>
      <w:pPr>
        <w:pStyle w:val="Normal"/>
        <w:spacing w:before="0" w:after="0"/>
        <w:ind w:firstLine="709"/>
        <w:contextualSpacing/>
        <w:jc w:val="both"/>
        <w:rPr>
          <w:rFonts w:eastAsia="Calibri Light" w:cs="Calibri Light"/>
          <w:b/>
          <w:b/>
          <w:lang w:eastAsia="en-US"/>
        </w:rPr>
      </w:pPr>
      <w:r>
        <w:rPr>
          <w:szCs w:val="28"/>
          <w:lang w:eastAsia="ru-RU"/>
        </w:rPr>
        <w:t>Аварийных ситуаций, расследование причин, которых осуществляется федеральным органом исполнительной власти, уполномоченным на осуществление федерального государственного энергетического надзора, в соответствии с Правилами расследования причин аварийных ситуаций в сфере теплоснабжения, утвержденными постановлением Правительства Российской Федерации от 02.06.2022 № 1014 «О расследовании причин аварийных ситуаций в сфере теплоснабжения», зафиксировано не было.</w:t>
      </w:r>
      <w:bookmarkStart w:id="828" w:name="_Toc181340420"/>
      <w:bookmarkStart w:id="829" w:name="_Toc160529954"/>
      <w:bookmarkStart w:id="830" w:name="_Toc160455072"/>
      <w:bookmarkStart w:id="831" w:name="_Toc160186087"/>
      <w:bookmarkStart w:id="832" w:name="_Toc158278682"/>
      <w:bookmarkStart w:id="833" w:name="_Hlk181266865"/>
      <w:bookmarkEnd w:id="833"/>
    </w:p>
    <w:p>
      <w:pPr>
        <w:pStyle w:val="Normal"/>
        <w:spacing w:before="0" w:after="0"/>
        <w:ind w:firstLine="709"/>
        <w:contextualSpacing/>
        <w:jc w:val="both"/>
        <w:rPr>
          <w:rFonts w:eastAsia="Calibri Light" w:cs="Calibri Light"/>
          <w:b/>
          <w:b/>
          <w:lang w:eastAsia="en-US"/>
        </w:rPr>
      </w:pPr>
      <w:r>
        <w:rPr>
          <w:rFonts w:eastAsia="Calibri Light" w:cs="Calibri Light"/>
          <w:b/>
          <w:lang w:eastAsia="en-US"/>
        </w:rPr>
      </w:r>
    </w:p>
    <w:p>
      <w:pPr>
        <w:pStyle w:val="Normal"/>
        <w:spacing w:before="0" w:after="0"/>
        <w:ind w:firstLine="709"/>
        <w:contextualSpacing/>
        <w:jc w:val="both"/>
        <w:rPr>
          <w:rFonts w:eastAsia="Calibri Light" w:cs="Calibri Light"/>
          <w:b/>
          <w:b/>
          <w:lang w:eastAsia="en-US"/>
        </w:rPr>
      </w:pPr>
      <w:r>
        <w:rPr>
          <w:rFonts w:eastAsia="Calibri Light" w:cs="Calibri Light"/>
          <w:b/>
          <w:lang w:eastAsia="en-US"/>
        </w:rPr>
        <w:t>1.9.6. Результаты анализа времени восстановления теплоснабжения потребителей, отключенных в результате аварийных ситуаций при теплоснабжении, указанных в подпункте 1.9.5 настоящей Части</w:t>
      </w:r>
      <w:bookmarkEnd w:id="828"/>
      <w:bookmarkEnd w:id="829"/>
      <w:bookmarkEnd w:id="830"/>
      <w:bookmarkEnd w:id="831"/>
      <w:bookmarkEnd w:id="832"/>
    </w:p>
    <w:p>
      <w:pPr>
        <w:pStyle w:val="Normal"/>
        <w:spacing w:before="0" w:after="0"/>
        <w:ind w:firstLine="709"/>
        <w:contextualSpacing/>
        <w:jc w:val="both"/>
        <w:rPr>
          <w:rFonts w:eastAsia="Calibri Light" w:cs="Calibri Light"/>
          <w:b/>
          <w:b/>
          <w:lang w:eastAsia="en-US"/>
        </w:rPr>
      </w:pPr>
      <w:r>
        <w:rPr>
          <w:szCs w:val="28"/>
          <w:lang w:eastAsia="ru-RU"/>
        </w:rPr>
        <w:t>Аварийных ситуаций, расследование причин, которых осуществляется федеральным органом исполнительной власти, уполномоченным на осуществление федерального государственного энергетического надзора, в соответствии с Правилами расследования причин аварийных ситуаций в сфере теплоснабжения, утвержденными постановлением Правительства Российской Федерации от 02.06.2022 № 1014 «О расследовании причин аварийных ситуаций в сфере теплоснабжения», зафиксировано не было.</w:t>
      </w:r>
      <w:bookmarkStart w:id="834" w:name="_Toc181340421"/>
      <w:bookmarkStart w:id="835" w:name="_Toc160529955"/>
      <w:bookmarkStart w:id="836" w:name="_Toc160455073"/>
    </w:p>
    <w:p>
      <w:pPr>
        <w:pStyle w:val="Normal"/>
        <w:spacing w:before="0" w:after="0"/>
        <w:ind w:firstLine="709"/>
        <w:contextualSpacing/>
        <w:jc w:val="both"/>
        <w:rPr>
          <w:rFonts w:eastAsia="Calibri Light" w:cs="Calibri Light"/>
          <w:b/>
          <w:b/>
          <w:lang w:eastAsia="en-US"/>
        </w:rPr>
      </w:pPr>
      <w:r>
        <w:rPr>
          <w:rFonts w:eastAsia="Calibri Light" w:cs="Calibri Light"/>
          <w:b/>
          <w:lang w:eastAsia="en-US"/>
        </w:rPr>
      </w:r>
    </w:p>
    <w:p>
      <w:pPr>
        <w:pStyle w:val="Normal"/>
        <w:spacing w:before="0" w:after="0"/>
        <w:ind w:firstLine="709"/>
        <w:contextualSpacing/>
        <w:jc w:val="both"/>
        <w:rPr>
          <w:rFonts w:eastAsia="Tahoma"/>
          <w:b/>
          <w:b/>
          <w:bCs/>
        </w:rPr>
      </w:pPr>
      <w:r>
        <w:rPr>
          <w:rFonts w:eastAsia="Calibri Light" w:cs="Calibri Light"/>
          <w:b/>
          <w:lang w:eastAsia="en-US"/>
        </w:rPr>
        <w:t>1.9.7</w:t>
      </w:r>
      <w:bookmarkEnd w:id="835"/>
      <w:bookmarkEnd w:id="836"/>
      <w:r>
        <w:rPr>
          <w:rFonts w:eastAsia="Calibri Light" w:cs="Calibri Light"/>
          <w:b/>
          <w:lang w:eastAsia="en-US"/>
        </w:rPr>
        <w:t>. И</w:t>
      </w:r>
      <w:r>
        <w:rPr>
          <w:rFonts w:eastAsia="Tahoma"/>
          <w:b/>
          <w:bCs/>
        </w:rPr>
        <w:t xml:space="preserve">тоги анализа и оценки систем теплоснабжения поселения, а также описание системы мер по повышению надежности для малонадежных и ненадежных систем теплоснабжения, определенной исполнительными органами субъектов Российской Федерации в соответствии с разделом </w:t>
      </w:r>
      <w:r>
        <w:rPr>
          <w:rFonts w:eastAsia="Tahoma"/>
          <w:b/>
          <w:bCs/>
          <w:lang w:val="en-US"/>
        </w:rPr>
        <w:t>X</w:t>
      </w:r>
      <w:r>
        <w:rPr>
          <w:rFonts w:eastAsia="Tahoma"/>
          <w:b/>
          <w:bCs/>
        </w:rPr>
        <w:t xml:space="preserve"> Правил организации теплоснабжения в Российской Федерации, утвержденных постановлением Правительства Российской Федерации от 08.08.2012 № 808 «Об организации теплоснабжения в Российской Федерации и о внесении изменений в некоторые акты Правительства Российской Федерации» (далее – система мер по повышению надежности)</w:t>
      </w:r>
    </w:p>
    <w:p>
      <w:pPr>
        <w:pStyle w:val="Normal"/>
        <w:spacing w:before="0" w:after="0"/>
        <w:ind w:firstLine="709"/>
        <w:contextualSpacing/>
        <w:jc w:val="both"/>
        <w:rPr>
          <w:rFonts w:eastAsia="Calibri Light" w:cs="Calibri Light"/>
          <w:b/>
          <w:b/>
          <w:lang w:eastAsia="en-US"/>
        </w:rPr>
      </w:pPr>
      <w:r>
        <w:rPr>
          <w:rFonts w:eastAsia="Tahoma"/>
          <w:bCs/>
        </w:rPr>
        <w:t>Требования, указанные в данном пункте не применяются в соответствии с пунктом 2 постановления Правительства Российской Федерации от 22.02.2012 № 154 «О требованиях               к схемам теплоснабжения, порядку их разработки и утверждения».</w:t>
      </w:r>
    </w:p>
    <w:p>
      <w:pPr>
        <w:pStyle w:val="Normal"/>
        <w:spacing w:before="0" w:after="0"/>
        <w:ind w:firstLine="709"/>
        <w:contextualSpacing/>
        <w:jc w:val="both"/>
        <w:rPr>
          <w:rFonts w:eastAsia="Calibri Light" w:cs="Calibri Light"/>
          <w:b/>
          <w:b/>
          <w:lang w:eastAsia="en-US"/>
        </w:rPr>
      </w:pPr>
      <w:r>
        <w:rPr>
          <w:rFonts w:eastAsia="Calibri Light" w:cs="Calibri Light"/>
          <w:b/>
          <w:lang w:eastAsia="en-US"/>
        </w:rPr>
      </w:r>
    </w:p>
    <w:p>
      <w:pPr>
        <w:pStyle w:val="Normal"/>
        <w:spacing w:before="0" w:after="0"/>
        <w:ind w:firstLine="709"/>
        <w:contextualSpacing/>
        <w:jc w:val="both"/>
        <w:rPr>
          <w:rFonts w:eastAsia="Calibri Light" w:cs="Calibri Light"/>
          <w:b/>
          <w:b/>
          <w:lang w:eastAsia="en-US"/>
        </w:rPr>
      </w:pPr>
      <w:r>
        <w:rPr>
          <w:rFonts w:eastAsia="Calibri Light" w:cs="Calibri Light"/>
          <w:b/>
          <w:lang w:eastAsia="en-US"/>
        </w:rPr>
        <w:t>1.9.8. Описание изменений в надежности теплоснабжения для каждой системы теплоснабжения, в том числе с учетом реализации планов строительства, реконструкции, технического перевооружения и (или) модернизации источников тепловой энергии и тепловых сетей, ввод в эксплуатацию которых осуществлен в период, предшествующий актуализации схемы теплоснабжения</w:t>
      </w:r>
      <w:bookmarkEnd w:id="834"/>
    </w:p>
    <w:p>
      <w:pPr>
        <w:pStyle w:val="Normal"/>
        <w:spacing w:before="0" w:after="0"/>
        <w:ind w:firstLine="709"/>
        <w:contextualSpacing/>
        <w:jc w:val="both"/>
        <w:rPr>
          <w:szCs w:val="28"/>
          <w:lang w:eastAsia="ru-RU"/>
        </w:rPr>
      </w:pPr>
      <w:r>
        <w:rPr>
          <w:szCs w:val="28"/>
          <w:lang w:eastAsia="ru-RU"/>
        </w:rPr>
        <w:t>Раздел переработан в соответствии с действующей редакцией постановления Правительства Российской Федерации от 22.02.2012 № 154 «О требованиях к схемам теплоснабжения, порядку их разработки и утверждения» и п</w:t>
      </w:r>
      <w:r>
        <w:rPr>
          <w:rFonts w:eastAsia="Tahoma"/>
        </w:rPr>
        <w:t>риказом Минэнерго России                   от 05.03.2019 № 212</w:t>
      </w:r>
      <w:r>
        <w:rPr>
          <w:szCs w:val="28"/>
          <w:lang w:eastAsia="ru-RU"/>
        </w:rPr>
        <w:t xml:space="preserve"> «</w:t>
      </w:r>
      <w:r>
        <w:rPr>
          <w:rFonts w:eastAsia="Tahoma"/>
        </w:rPr>
        <w:t>Об утверждении Методических указаний по разработке схем теплоснабжения».</w:t>
      </w:r>
      <w:r>
        <w:rPr>
          <w:szCs w:val="28"/>
          <w:lang w:eastAsia="ru-RU"/>
        </w:rPr>
        <w:t xml:space="preserve"> </w:t>
      </w:r>
      <w:bookmarkStart w:id="837" w:name="_Toc181340422"/>
      <w:bookmarkStart w:id="838" w:name="_Toc160529956"/>
      <w:bookmarkStart w:id="839" w:name="_Hlk160646660"/>
      <w:bookmarkStart w:id="840" w:name="_Toc181365862"/>
      <w:bookmarkStart w:id="841" w:name="_Hlk160646630"/>
      <w:bookmarkEnd w:id="841"/>
    </w:p>
    <w:p>
      <w:pPr>
        <w:pStyle w:val="Normal"/>
        <w:spacing w:before="0" w:after="0"/>
        <w:ind w:firstLine="709"/>
        <w:contextualSpacing/>
        <w:jc w:val="both"/>
        <w:rPr>
          <w:szCs w:val="28"/>
          <w:lang w:eastAsia="ru-RU"/>
        </w:rPr>
      </w:pPr>
      <w:r>
        <w:rPr>
          <w:szCs w:val="28"/>
          <w:lang w:eastAsia="ru-RU"/>
        </w:rPr>
      </w:r>
    </w:p>
    <w:p>
      <w:pPr>
        <w:pStyle w:val="Normal"/>
        <w:spacing w:before="0" w:after="0"/>
        <w:ind w:firstLine="709"/>
        <w:contextualSpacing/>
        <w:jc w:val="both"/>
        <w:rPr>
          <w:b/>
          <w:b/>
          <w:szCs w:val="28"/>
          <w:lang w:eastAsia="ru-RU"/>
        </w:rPr>
      </w:pPr>
      <w:r>
        <w:rPr>
          <w:b/>
        </w:rPr>
        <w:t>Часть 10 «Технико-экономические показатели теплоснабжающих и теплосетевых организаций»</w:t>
      </w:r>
      <w:bookmarkEnd w:id="840"/>
    </w:p>
    <w:p>
      <w:pPr>
        <w:pStyle w:val="2"/>
        <w:spacing w:before="0" w:after="0"/>
        <w:rPr>
          <w:b w:val="false"/>
          <w:b w:val="false"/>
          <w:color w:val="auto"/>
        </w:rPr>
      </w:pPr>
      <w:r>
        <w:rPr>
          <w:b w:val="false"/>
          <w:color w:val="auto"/>
        </w:rPr>
        <w:t>Технико-экономические показатели</w:t>
      </w:r>
      <w:bookmarkEnd w:id="839"/>
      <w:r>
        <w:rPr>
          <w:b w:val="false"/>
          <w:color w:val="auto"/>
        </w:rPr>
        <w:t xml:space="preserve"> МП МО Октябрьский район «ОКС» представлены в таблице 19.</w:t>
      </w:r>
    </w:p>
    <w:p>
      <w:pPr>
        <w:pStyle w:val="Normal"/>
        <w:jc w:val="right"/>
        <w:rPr>
          <w:rFonts w:eastAsia="Calibri"/>
          <w:szCs w:val="22"/>
          <w:lang w:eastAsia="en-US"/>
        </w:rPr>
      </w:pPr>
      <w:bookmarkStart w:id="842" w:name="_Ref19654594"/>
      <w:bookmarkEnd w:id="837"/>
      <w:bookmarkEnd w:id="838"/>
      <w:r>
        <w:rPr>
          <w:rFonts w:eastAsia="Calibri" w:cs="Calibri"/>
          <w:szCs w:val="22"/>
          <w:lang w:eastAsia="en-US"/>
        </w:rPr>
        <w:t xml:space="preserve">Таблица </w:t>
      </w:r>
      <w:bookmarkEnd w:id="842"/>
      <w:r>
        <w:rPr>
          <w:rFonts w:eastAsia="Calibri" w:cs="Calibri"/>
          <w:szCs w:val="22"/>
          <w:lang w:eastAsia="en-US"/>
        </w:rPr>
        <w:t xml:space="preserve">19 – </w:t>
      </w:r>
      <w:r>
        <w:rPr/>
        <w:t>Технико-экономические показатели МП МО Октябрьский район «ОКС»</w:t>
      </w:r>
      <w:r>
        <w:rPr>
          <w:b/>
        </w:rPr>
        <w:t xml:space="preserve"> </w:t>
      </w:r>
    </w:p>
    <w:tbl>
      <w:tblPr>
        <w:tblW w:w="5000" w:type="pct"/>
        <w:jc w:val="left"/>
        <w:tblInd w:w="0" w:type="dxa"/>
        <w:tblCellMar>
          <w:top w:w="0" w:type="dxa"/>
          <w:left w:w="108" w:type="dxa"/>
          <w:bottom w:w="0" w:type="dxa"/>
          <w:right w:w="108" w:type="dxa"/>
        </w:tblCellMar>
        <w:tblLook w:val="04a0" w:noVBand="1" w:noHBand="0" w:lastColumn="0" w:firstColumn="1" w:lastRow="0" w:firstRow="1"/>
      </w:tblPr>
      <w:tblGrid>
        <w:gridCol w:w="713"/>
        <w:gridCol w:w="5354"/>
        <w:gridCol w:w="1252"/>
        <w:gridCol w:w="2318"/>
      </w:tblGrid>
      <w:tr>
        <w:trPr>
          <w:tblHeader w:val="true"/>
          <w:trHeight w:val="20" w:hRule="atLeast"/>
        </w:trPr>
        <w:tc>
          <w:tcPr>
            <w:tcW w:w="71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xml:space="preserve">№ </w:t>
            </w:r>
            <w:r>
              <w:rPr>
                <w:sz w:val="20"/>
                <w:szCs w:val="20"/>
                <w:lang w:eastAsia="ru-RU"/>
              </w:rPr>
              <w:t>п/п</w:t>
            </w:r>
          </w:p>
        </w:tc>
        <w:tc>
          <w:tcPr>
            <w:tcW w:w="53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Наименование параметра</w:t>
            </w:r>
          </w:p>
        </w:tc>
        <w:tc>
          <w:tcPr>
            <w:tcW w:w="12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Единица измерения</w:t>
            </w:r>
          </w:p>
        </w:tc>
        <w:tc>
          <w:tcPr>
            <w:tcW w:w="231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Централизованная система теплоснабжения</w:t>
            </w:r>
          </w:p>
        </w:tc>
      </w:tr>
      <w:tr>
        <w:trPr>
          <w:trHeight w:val="20" w:hRule="atLeast"/>
        </w:trPr>
        <w:tc>
          <w:tcPr>
            <w:tcW w:w="71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sz w:val="20"/>
                <w:szCs w:val="20"/>
                <w:lang w:eastAsia="ru-RU"/>
              </w:rPr>
            </w:pPr>
            <w:r>
              <w:rPr>
                <w:sz w:val="20"/>
                <w:szCs w:val="20"/>
                <w:lang w:eastAsia="ru-RU"/>
              </w:rPr>
              <w:t>1</w:t>
            </w:r>
          </w:p>
        </w:tc>
        <w:tc>
          <w:tcPr>
            <w:tcW w:w="535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sz w:val="20"/>
                <w:szCs w:val="20"/>
                <w:lang w:eastAsia="ru-RU"/>
              </w:rPr>
            </w:pPr>
            <w:r>
              <w:rPr>
                <w:sz w:val="20"/>
                <w:szCs w:val="20"/>
                <w:lang w:eastAsia="ru-RU"/>
              </w:rPr>
              <w:t>Дата сдачи годового бухгалтерского баланса в налоговые органы</w:t>
            </w:r>
          </w:p>
        </w:tc>
        <w:tc>
          <w:tcPr>
            <w:tcW w:w="125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sz w:val="20"/>
                <w:szCs w:val="20"/>
                <w:lang w:eastAsia="ru-RU"/>
              </w:rPr>
            </w:pPr>
            <w:r>
              <w:rPr>
                <w:sz w:val="20"/>
                <w:szCs w:val="20"/>
                <w:lang w:eastAsia="ru-RU"/>
              </w:rPr>
              <w:t>х</w:t>
            </w:r>
          </w:p>
        </w:tc>
        <w:tc>
          <w:tcPr>
            <w:tcW w:w="231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sz w:val="20"/>
                <w:szCs w:val="20"/>
                <w:lang w:eastAsia="ru-RU"/>
              </w:rPr>
            </w:pPr>
            <w:r>
              <w:rPr>
                <w:sz w:val="20"/>
                <w:szCs w:val="20"/>
                <w:lang w:eastAsia="ru-RU"/>
              </w:rPr>
              <w:t>23.03.2023</w:t>
            </w:r>
          </w:p>
        </w:tc>
      </w:tr>
      <w:tr>
        <w:trPr>
          <w:trHeight w:val="20" w:hRule="atLeast"/>
        </w:trPr>
        <w:tc>
          <w:tcPr>
            <w:tcW w:w="71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sz w:val="20"/>
                <w:szCs w:val="20"/>
                <w:lang w:eastAsia="ru-RU"/>
              </w:rPr>
            </w:pPr>
            <w:r>
              <w:rPr>
                <w:sz w:val="20"/>
                <w:szCs w:val="20"/>
                <w:lang w:eastAsia="ru-RU"/>
              </w:rPr>
              <w:t>2</w:t>
            </w:r>
          </w:p>
        </w:tc>
        <w:tc>
          <w:tcPr>
            <w:tcW w:w="535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sz w:val="20"/>
                <w:szCs w:val="20"/>
                <w:lang w:eastAsia="ru-RU"/>
              </w:rPr>
            </w:pPr>
            <w:r>
              <w:rPr>
                <w:sz w:val="20"/>
                <w:szCs w:val="20"/>
                <w:lang w:eastAsia="ru-RU"/>
              </w:rPr>
              <w:t>Выручка от регулируемой деятельности по виду деятельности</w:t>
            </w:r>
          </w:p>
        </w:tc>
        <w:tc>
          <w:tcPr>
            <w:tcW w:w="125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sz w:val="20"/>
                <w:szCs w:val="20"/>
                <w:lang w:eastAsia="ru-RU"/>
              </w:rPr>
            </w:pPr>
            <w:r>
              <w:rPr>
                <w:sz w:val="20"/>
                <w:szCs w:val="20"/>
                <w:lang w:eastAsia="ru-RU"/>
              </w:rPr>
              <w:t>тыс. руб.</w:t>
            </w:r>
          </w:p>
        </w:tc>
        <w:tc>
          <w:tcPr>
            <w:tcW w:w="231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sz w:val="20"/>
                <w:szCs w:val="20"/>
                <w:lang w:eastAsia="ru-RU"/>
              </w:rPr>
            </w:pPr>
            <w:r>
              <w:rPr>
                <w:sz w:val="20"/>
                <w:szCs w:val="20"/>
                <w:lang w:eastAsia="ru-RU"/>
              </w:rPr>
              <w:t>5890,353266</w:t>
            </w:r>
          </w:p>
        </w:tc>
      </w:tr>
      <w:tr>
        <w:trPr>
          <w:trHeight w:val="20" w:hRule="atLeast"/>
        </w:trPr>
        <w:tc>
          <w:tcPr>
            <w:tcW w:w="71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sz w:val="20"/>
                <w:szCs w:val="20"/>
                <w:lang w:eastAsia="ru-RU"/>
              </w:rPr>
            </w:pPr>
            <w:r>
              <w:rPr>
                <w:sz w:val="20"/>
                <w:szCs w:val="20"/>
                <w:lang w:eastAsia="ru-RU"/>
              </w:rPr>
              <w:t>3</w:t>
            </w:r>
          </w:p>
        </w:tc>
        <w:tc>
          <w:tcPr>
            <w:tcW w:w="535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sz w:val="20"/>
                <w:szCs w:val="20"/>
                <w:lang w:eastAsia="ru-RU"/>
              </w:rPr>
            </w:pPr>
            <w:r>
              <w:rPr>
                <w:sz w:val="20"/>
                <w:szCs w:val="20"/>
                <w:lang w:eastAsia="ru-RU"/>
              </w:rPr>
              <w:t>Себестоимость производимых товаров (оказываемых услуг) по регулируемому виду деятельности, включая:</w:t>
            </w:r>
          </w:p>
        </w:tc>
        <w:tc>
          <w:tcPr>
            <w:tcW w:w="125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sz w:val="20"/>
                <w:szCs w:val="20"/>
                <w:lang w:eastAsia="ru-RU"/>
              </w:rPr>
            </w:pPr>
            <w:r>
              <w:rPr>
                <w:sz w:val="20"/>
                <w:szCs w:val="20"/>
                <w:lang w:eastAsia="ru-RU"/>
              </w:rPr>
              <w:t>тыс. руб.</w:t>
            </w:r>
          </w:p>
        </w:tc>
        <w:tc>
          <w:tcPr>
            <w:tcW w:w="231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sz w:val="20"/>
                <w:szCs w:val="20"/>
                <w:lang w:eastAsia="ru-RU"/>
              </w:rPr>
            </w:pPr>
            <w:r>
              <w:rPr>
                <w:sz w:val="20"/>
                <w:szCs w:val="20"/>
                <w:lang w:eastAsia="ru-RU"/>
              </w:rPr>
              <w:t>8240,705331</w:t>
            </w:r>
          </w:p>
        </w:tc>
      </w:tr>
      <w:tr>
        <w:trPr>
          <w:trHeight w:val="20" w:hRule="atLeast"/>
        </w:trPr>
        <w:tc>
          <w:tcPr>
            <w:tcW w:w="71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sz w:val="20"/>
                <w:szCs w:val="20"/>
                <w:lang w:eastAsia="ru-RU"/>
              </w:rPr>
            </w:pPr>
            <w:r>
              <w:rPr>
                <w:sz w:val="20"/>
                <w:szCs w:val="20"/>
                <w:lang w:eastAsia="ru-RU"/>
              </w:rPr>
              <w:t>3.1.</w:t>
            </w:r>
          </w:p>
        </w:tc>
        <w:tc>
          <w:tcPr>
            <w:tcW w:w="535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sz w:val="20"/>
                <w:szCs w:val="20"/>
                <w:lang w:eastAsia="ru-RU"/>
              </w:rPr>
            </w:pPr>
            <w:r>
              <w:rPr>
                <w:sz w:val="20"/>
                <w:szCs w:val="20"/>
                <w:lang w:eastAsia="ru-RU"/>
              </w:rPr>
              <w:t>расходы на покупаемую тепловую энергию (мощность), теплоноситель</w:t>
            </w:r>
          </w:p>
        </w:tc>
        <w:tc>
          <w:tcPr>
            <w:tcW w:w="125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sz w:val="20"/>
                <w:szCs w:val="20"/>
                <w:lang w:eastAsia="ru-RU"/>
              </w:rPr>
            </w:pPr>
            <w:r>
              <w:rPr>
                <w:sz w:val="20"/>
                <w:szCs w:val="20"/>
                <w:lang w:eastAsia="ru-RU"/>
              </w:rPr>
              <w:t>тыс. руб.</w:t>
            </w:r>
          </w:p>
        </w:tc>
        <w:tc>
          <w:tcPr>
            <w:tcW w:w="231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sz w:val="20"/>
                <w:szCs w:val="20"/>
                <w:lang w:eastAsia="ru-RU"/>
              </w:rPr>
            </w:pPr>
            <w:r>
              <w:rPr>
                <w:sz w:val="20"/>
                <w:szCs w:val="20"/>
                <w:lang w:eastAsia="ru-RU"/>
              </w:rPr>
              <w:t>0</w:t>
            </w:r>
          </w:p>
        </w:tc>
      </w:tr>
      <w:tr>
        <w:trPr>
          <w:trHeight w:val="20" w:hRule="atLeast"/>
        </w:trPr>
        <w:tc>
          <w:tcPr>
            <w:tcW w:w="71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sz w:val="20"/>
                <w:szCs w:val="20"/>
                <w:lang w:eastAsia="ru-RU"/>
              </w:rPr>
            </w:pPr>
            <w:r>
              <w:rPr>
                <w:sz w:val="20"/>
                <w:szCs w:val="20"/>
                <w:lang w:eastAsia="ru-RU"/>
              </w:rPr>
              <w:t>3.2.</w:t>
            </w:r>
          </w:p>
        </w:tc>
        <w:tc>
          <w:tcPr>
            <w:tcW w:w="535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sz w:val="20"/>
                <w:szCs w:val="20"/>
                <w:lang w:eastAsia="ru-RU"/>
              </w:rPr>
            </w:pPr>
            <w:r>
              <w:rPr>
                <w:sz w:val="20"/>
                <w:szCs w:val="20"/>
                <w:lang w:eastAsia="ru-RU"/>
              </w:rPr>
              <w:t>расходы на топливо</w:t>
            </w:r>
          </w:p>
        </w:tc>
        <w:tc>
          <w:tcPr>
            <w:tcW w:w="125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sz w:val="20"/>
                <w:szCs w:val="20"/>
                <w:lang w:eastAsia="ru-RU"/>
              </w:rPr>
            </w:pPr>
            <w:r>
              <w:rPr>
                <w:sz w:val="20"/>
                <w:szCs w:val="20"/>
                <w:lang w:eastAsia="ru-RU"/>
              </w:rPr>
              <w:t>тыс. руб.</w:t>
            </w:r>
          </w:p>
        </w:tc>
        <w:tc>
          <w:tcPr>
            <w:tcW w:w="231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sz w:val="20"/>
                <w:szCs w:val="20"/>
                <w:lang w:eastAsia="ru-RU"/>
              </w:rPr>
            </w:pPr>
            <w:r>
              <w:rPr>
                <w:sz w:val="20"/>
                <w:szCs w:val="20"/>
                <w:lang w:eastAsia="ru-RU"/>
              </w:rPr>
              <w:t>4183,52225</w:t>
            </w:r>
          </w:p>
        </w:tc>
      </w:tr>
      <w:tr>
        <w:trPr>
          <w:trHeight w:val="20" w:hRule="atLeast"/>
        </w:trPr>
        <w:tc>
          <w:tcPr>
            <w:tcW w:w="71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sz w:val="20"/>
                <w:szCs w:val="20"/>
                <w:lang w:eastAsia="ru-RU"/>
              </w:rPr>
            </w:pPr>
            <w:r>
              <w:rPr>
                <w:sz w:val="20"/>
                <w:szCs w:val="20"/>
                <w:lang w:eastAsia="ru-RU"/>
              </w:rPr>
              <w:t>3.3.</w:t>
            </w:r>
          </w:p>
        </w:tc>
        <w:tc>
          <w:tcPr>
            <w:tcW w:w="535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sz w:val="20"/>
                <w:szCs w:val="20"/>
                <w:lang w:eastAsia="ru-RU"/>
              </w:rPr>
            </w:pPr>
            <w:r>
              <w:rPr>
                <w:sz w:val="20"/>
                <w:szCs w:val="20"/>
                <w:lang w:eastAsia="ru-RU"/>
              </w:rPr>
              <w:t>Расходы на покупаемую электрическую энергию (мощность), используемую в технологическом процессе</w:t>
            </w:r>
          </w:p>
        </w:tc>
        <w:tc>
          <w:tcPr>
            <w:tcW w:w="125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sz w:val="20"/>
                <w:szCs w:val="20"/>
                <w:lang w:eastAsia="ru-RU"/>
              </w:rPr>
            </w:pPr>
            <w:r>
              <w:rPr>
                <w:sz w:val="20"/>
                <w:szCs w:val="20"/>
                <w:lang w:eastAsia="ru-RU"/>
              </w:rPr>
              <w:t>тыс. руб.</w:t>
            </w:r>
          </w:p>
        </w:tc>
        <w:tc>
          <w:tcPr>
            <w:tcW w:w="231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sz w:val="20"/>
                <w:szCs w:val="20"/>
                <w:lang w:eastAsia="ru-RU"/>
              </w:rPr>
            </w:pPr>
            <w:r>
              <w:rPr>
                <w:sz w:val="20"/>
                <w:szCs w:val="20"/>
                <w:lang w:eastAsia="ru-RU"/>
              </w:rPr>
              <w:t>1780,674975</w:t>
            </w:r>
          </w:p>
        </w:tc>
      </w:tr>
      <w:tr>
        <w:trPr>
          <w:trHeight w:val="20" w:hRule="atLeast"/>
        </w:trPr>
        <w:tc>
          <w:tcPr>
            <w:tcW w:w="71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sz w:val="20"/>
                <w:szCs w:val="20"/>
                <w:lang w:eastAsia="ru-RU"/>
              </w:rPr>
            </w:pPr>
            <w:r>
              <w:rPr>
                <w:sz w:val="20"/>
                <w:szCs w:val="20"/>
                <w:lang w:eastAsia="ru-RU"/>
              </w:rPr>
              <w:t>3.4.</w:t>
            </w:r>
          </w:p>
        </w:tc>
        <w:tc>
          <w:tcPr>
            <w:tcW w:w="535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sz w:val="20"/>
                <w:szCs w:val="20"/>
                <w:lang w:eastAsia="ru-RU"/>
              </w:rPr>
            </w:pPr>
            <w:r>
              <w:rPr>
                <w:sz w:val="20"/>
                <w:szCs w:val="20"/>
                <w:lang w:eastAsia="ru-RU"/>
              </w:rPr>
              <w:t>Расходы на приобретение холодной воды, используемой в технологическом процессе</w:t>
            </w:r>
          </w:p>
        </w:tc>
        <w:tc>
          <w:tcPr>
            <w:tcW w:w="125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sz w:val="20"/>
                <w:szCs w:val="20"/>
                <w:lang w:eastAsia="ru-RU"/>
              </w:rPr>
            </w:pPr>
            <w:r>
              <w:rPr>
                <w:sz w:val="20"/>
                <w:szCs w:val="20"/>
                <w:lang w:eastAsia="ru-RU"/>
              </w:rPr>
              <w:t>тыс. руб.</w:t>
            </w:r>
          </w:p>
        </w:tc>
        <w:tc>
          <w:tcPr>
            <w:tcW w:w="231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sz w:val="20"/>
                <w:szCs w:val="20"/>
                <w:lang w:eastAsia="ru-RU"/>
              </w:rPr>
            </w:pPr>
            <w:r>
              <w:rPr>
                <w:sz w:val="20"/>
                <w:szCs w:val="20"/>
                <w:lang w:eastAsia="ru-RU"/>
              </w:rPr>
              <w:t>225,864</w:t>
            </w:r>
          </w:p>
        </w:tc>
      </w:tr>
      <w:tr>
        <w:trPr>
          <w:trHeight w:val="20" w:hRule="atLeast"/>
        </w:trPr>
        <w:tc>
          <w:tcPr>
            <w:tcW w:w="71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sz w:val="20"/>
                <w:szCs w:val="20"/>
                <w:lang w:eastAsia="ru-RU"/>
              </w:rPr>
            </w:pPr>
            <w:r>
              <w:rPr>
                <w:sz w:val="20"/>
                <w:szCs w:val="20"/>
                <w:lang w:eastAsia="ru-RU"/>
              </w:rPr>
              <w:t>3.5.</w:t>
            </w:r>
          </w:p>
        </w:tc>
        <w:tc>
          <w:tcPr>
            <w:tcW w:w="535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sz w:val="20"/>
                <w:szCs w:val="20"/>
                <w:lang w:eastAsia="ru-RU"/>
              </w:rPr>
            </w:pPr>
            <w:r>
              <w:rPr>
                <w:sz w:val="20"/>
                <w:szCs w:val="20"/>
                <w:lang w:eastAsia="ru-RU"/>
              </w:rPr>
              <w:t>Расходы на хим. реагенты, используемые в технологическом процессе</w:t>
            </w:r>
          </w:p>
        </w:tc>
        <w:tc>
          <w:tcPr>
            <w:tcW w:w="125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sz w:val="20"/>
                <w:szCs w:val="20"/>
                <w:lang w:eastAsia="ru-RU"/>
              </w:rPr>
            </w:pPr>
            <w:r>
              <w:rPr>
                <w:sz w:val="20"/>
                <w:szCs w:val="20"/>
                <w:lang w:eastAsia="ru-RU"/>
              </w:rPr>
              <w:t>тыс. руб.</w:t>
            </w:r>
          </w:p>
        </w:tc>
        <w:tc>
          <w:tcPr>
            <w:tcW w:w="231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sz w:val="20"/>
                <w:szCs w:val="20"/>
                <w:lang w:eastAsia="ru-RU"/>
              </w:rPr>
            </w:pPr>
            <w:r>
              <w:rPr>
                <w:sz w:val="20"/>
                <w:szCs w:val="20"/>
                <w:lang w:eastAsia="ru-RU"/>
              </w:rPr>
              <w:t>0</w:t>
            </w:r>
          </w:p>
        </w:tc>
      </w:tr>
      <w:tr>
        <w:trPr>
          <w:trHeight w:val="20" w:hRule="atLeast"/>
        </w:trPr>
        <w:tc>
          <w:tcPr>
            <w:tcW w:w="71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sz w:val="20"/>
                <w:szCs w:val="20"/>
                <w:lang w:eastAsia="ru-RU"/>
              </w:rPr>
            </w:pPr>
            <w:r>
              <w:rPr>
                <w:sz w:val="20"/>
                <w:szCs w:val="20"/>
                <w:lang w:eastAsia="ru-RU"/>
              </w:rPr>
              <w:t>3.6.</w:t>
            </w:r>
          </w:p>
        </w:tc>
        <w:tc>
          <w:tcPr>
            <w:tcW w:w="535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sz w:val="20"/>
                <w:szCs w:val="20"/>
                <w:lang w:eastAsia="ru-RU"/>
              </w:rPr>
            </w:pPr>
            <w:r>
              <w:rPr>
                <w:sz w:val="20"/>
                <w:szCs w:val="20"/>
                <w:lang w:eastAsia="ru-RU"/>
              </w:rPr>
              <w:t>Расходы на оплату труда основного производственного персонала</w:t>
            </w:r>
          </w:p>
        </w:tc>
        <w:tc>
          <w:tcPr>
            <w:tcW w:w="125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sz w:val="20"/>
                <w:szCs w:val="20"/>
                <w:lang w:eastAsia="ru-RU"/>
              </w:rPr>
            </w:pPr>
            <w:r>
              <w:rPr>
                <w:sz w:val="20"/>
                <w:szCs w:val="20"/>
                <w:lang w:eastAsia="ru-RU"/>
              </w:rPr>
              <w:t>тыс. руб.</w:t>
            </w:r>
          </w:p>
        </w:tc>
        <w:tc>
          <w:tcPr>
            <w:tcW w:w="231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sz w:val="20"/>
                <w:szCs w:val="20"/>
                <w:lang w:eastAsia="ru-RU"/>
              </w:rPr>
            </w:pPr>
            <w:r>
              <w:rPr>
                <w:sz w:val="20"/>
                <w:szCs w:val="20"/>
                <w:lang w:eastAsia="ru-RU"/>
              </w:rPr>
              <w:t>1027,49518</w:t>
            </w:r>
          </w:p>
        </w:tc>
      </w:tr>
      <w:tr>
        <w:trPr>
          <w:trHeight w:val="20" w:hRule="atLeast"/>
        </w:trPr>
        <w:tc>
          <w:tcPr>
            <w:tcW w:w="71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sz w:val="20"/>
                <w:szCs w:val="20"/>
                <w:lang w:eastAsia="ru-RU"/>
              </w:rPr>
            </w:pPr>
            <w:r>
              <w:rPr>
                <w:sz w:val="20"/>
                <w:szCs w:val="20"/>
                <w:lang w:eastAsia="ru-RU"/>
              </w:rPr>
              <w:t>3.7.</w:t>
            </w:r>
          </w:p>
        </w:tc>
        <w:tc>
          <w:tcPr>
            <w:tcW w:w="535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sz w:val="20"/>
                <w:szCs w:val="20"/>
                <w:lang w:eastAsia="ru-RU"/>
              </w:rPr>
            </w:pPr>
            <w:r>
              <w:rPr>
                <w:sz w:val="20"/>
                <w:szCs w:val="20"/>
                <w:lang w:eastAsia="ru-RU"/>
              </w:rPr>
              <w:t>Отчисления на социальные нужды основного производственного персонала</w:t>
            </w:r>
          </w:p>
        </w:tc>
        <w:tc>
          <w:tcPr>
            <w:tcW w:w="125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sz w:val="20"/>
                <w:szCs w:val="20"/>
                <w:lang w:eastAsia="ru-RU"/>
              </w:rPr>
            </w:pPr>
            <w:r>
              <w:rPr>
                <w:sz w:val="20"/>
                <w:szCs w:val="20"/>
                <w:lang w:eastAsia="ru-RU"/>
              </w:rPr>
              <w:t>тыс. руб.</w:t>
            </w:r>
          </w:p>
        </w:tc>
        <w:tc>
          <w:tcPr>
            <w:tcW w:w="231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sz w:val="20"/>
                <w:szCs w:val="20"/>
                <w:lang w:eastAsia="ru-RU"/>
              </w:rPr>
            </w:pPr>
            <w:r>
              <w:rPr>
                <w:sz w:val="20"/>
                <w:szCs w:val="20"/>
                <w:lang w:eastAsia="ru-RU"/>
              </w:rPr>
              <w:t>209,98327</w:t>
            </w:r>
          </w:p>
        </w:tc>
      </w:tr>
      <w:tr>
        <w:trPr>
          <w:trHeight w:val="20" w:hRule="atLeast"/>
        </w:trPr>
        <w:tc>
          <w:tcPr>
            <w:tcW w:w="71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sz w:val="20"/>
                <w:szCs w:val="20"/>
                <w:lang w:eastAsia="ru-RU"/>
              </w:rPr>
            </w:pPr>
            <w:r>
              <w:rPr>
                <w:sz w:val="20"/>
                <w:szCs w:val="20"/>
                <w:lang w:eastAsia="ru-RU"/>
              </w:rPr>
              <w:t>3.8.</w:t>
            </w:r>
          </w:p>
        </w:tc>
        <w:tc>
          <w:tcPr>
            <w:tcW w:w="535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sz w:val="20"/>
                <w:szCs w:val="20"/>
                <w:lang w:eastAsia="ru-RU"/>
              </w:rPr>
            </w:pPr>
            <w:r>
              <w:rPr>
                <w:sz w:val="20"/>
                <w:szCs w:val="20"/>
                <w:lang w:eastAsia="ru-RU"/>
              </w:rPr>
              <w:t>Расходы на оплату труда административно-управленческого персонала</w:t>
            </w:r>
          </w:p>
        </w:tc>
        <w:tc>
          <w:tcPr>
            <w:tcW w:w="125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sz w:val="20"/>
                <w:szCs w:val="20"/>
                <w:lang w:eastAsia="ru-RU"/>
              </w:rPr>
            </w:pPr>
            <w:r>
              <w:rPr>
                <w:sz w:val="20"/>
                <w:szCs w:val="20"/>
                <w:lang w:eastAsia="ru-RU"/>
              </w:rPr>
              <w:t>тыс. руб.</w:t>
            </w:r>
          </w:p>
        </w:tc>
        <w:tc>
          <w:tcPr>
            <w:tcW w:w="231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sz w:val="20"/>
                <w:szCs w:val="20"/>
                <w:lang w:eastAsia="ru-RU"/>
              </w:rPr>
            </w:pPr>
            <w:r>
              <w:rPr>
                <w:sz w:val="20"/>
                <w:szCs w:val="20"/>
                <w:lang w:eastAsia="ru-RU"/>
              </w:rPr>
              <w:t>544,820989</w:t>
            </w:r>
          </w:p>
        </w:tc>
      </w:tr>
      <w:tr>
        <w:trPr>
          <w:trHeight w:val="20" w:hRule="atLeast"/>
        </w:trPr>
        <w:tc>
          <w:tcPr>
            <w:tcW w:w="71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sz w:val="20"/>
                <w:szCs w:val="20"/>
                <w:lang w:eastAsia="ru-RU"/>
              </w:rPr>
            </w:pPr>
            <w:r>
              <w:rPr>
                <w:sz w:val="20"/>
                <w:szCs w:val="20"/>
                <w:lang w:eastAsia="ru-RU"/>
              </w:rPr>
              <w:t>3.9.</w:t>
            </w:r>
          </w:p>
        </w:tc>
        <w:tc>
          <w:tcPr>
            <w:tcW w:w="535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sz w:val="20"/>
                <w:szCs w:val="20"/>
                <w:lang w:eastAsia="ru-RU"/>
              </w:rPr>
            </w:pPr>
            <w:r>
              <w:rPr>
                <w:sz w:val="20"/>
                <w:szCs w:val="20"/>
                <w:lang w:eastAsia="ru-RU"/>
              </w:rPr>
              <w:t>Отчисления на социальные нужды административно-управленческого персонала</w:t>
            </w:r>
          </w:p>
        </w:tc>
        <w:tc>
          <w:tcPr>
            <w:tcW w:w="125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sz w:val="20"/>
                <w:szCs w:val="20"/>
                <w:lang w:eastAsia="ru-RU"/>
              </w:rPr>
            </w:pPr>
            <w:r>
              <w:rPr>
                <w:sz w:val="20"/>
                <w:szCs w:val="20"/>
                <w:lang w:eastAsia="ru-RU"/>
              </w:rPr>
              <w:t>тыс. руб.</w:t>
            </w:r>
          </w:p>
        </w:tc>
        <w:tc>
          <w:tcPr>
            <w:tcW w:w="231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sz w:val="20"/>
                <w:szCs w:val="20"/>
                <w:lang w:eastAsia="ru-RU"/>
              </w:rPr>
            </w:pPr>
            <w:r>
              <w:rPr>
                <w:sz w:val="20"/>
                <w:szCs w:val="20"/>
                <w:lang w:eastAsia="ru-RU"/>
              </w:rPr>
              <w:t>157,9980868</w:t>
            </w:r>
          </w:p>
        </w:tc>
      </w:tr>
      <w:tr>
        <w:trPr>
          <w:trHeight w:val="20" w:hRule="atLeast"/>
        </w:trPr>
        <w:tc>
          <w:tcPr>
            <w:tcW w:w="71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sz w:val="20"/>
                <w:szCs w:val="20"/>
                <w:lang w:eastAsia="ru-RU"/>
              </w:rPr>
            </w:pPr>
            <w:r>
              <w:rPr>
                <w:sz w:val="20"/>
                <w:szCs w:val="20"/>
                <w:lang w:eastAsia="ru-RU"/>
              </w:rPr>
              <w:t>3.10.</w:t>
            </w:r>
          </w:p>
        </w:tc>
        <w:tc>
          <w:tcPr>
            <w:tcW w:w="535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sz w:val="20"/>
                <w:szCs w:val="20"/>
                <w:lang w:eastAsia="ru-RU"/>
              </w:rPr>
            </w:pPr>
            <w:r>
              <w:rPr>
                <w:sz w:val="20"/>
                <w:szCs w:val="20"/>
                <w:lang w:eastAsia="ru-RU"/>
              </w:rPr>
              <w:t>Расходы на амортизацию основных производственных средств</w:t>
            </w:r>
          </w:p>
        </w:tc>
        <w:tc>
          <w:tcPr>
            <w:tcW w:w="125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sz w:val="20"/>
                <w:szCs w:val="20"/>
                <w:lang w:eastAsia="ru-RU"/>
              </w:rPr>
            </w:pPr>
            <w:r>
              <w:rPr>
                <w:sz w:val="20"/>
                <w:szCs w:val="20"/>
                <w:lang w:eastAsia="ru-RU"/>
              </w:rPr>
              <w:t>тыс. руб.</w:t>
            </w:r>
          </w:p>
        </w:tc>
        <w:tc>
          <w:tcPr>
            <w:tcW w:w="231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sz w:val="20"/>
                <w:szCs w:val="20"/>
                <w:lang w:eastAsia="ru-RU"/>
              </w:rPr>
            </w:pPr>
            <w:r>
              <w:rPr>
                <w:sz w:val="20"/>
                <w:szCs w:val="20"/>
                <w:lang w:eastAsia="ru-RU"/>
              </w:rPr>
              <w:t>0</w:t>
            </w:r>
          </w:p>
        </w:tc>
      </w:tr>
      <w:tr>
        <w:trPr>
          <w:trHeight w:val="20" w:hRule="atLeast"/>
        </w:trPr>
        <w:tc>
          <w:tcPr>
            <w:tcW w:w="71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sz w:val="20"/>
                <w:szCs w:val="20"/>
                <w:lang w:eastAsia="ru-RU"/>
              </w:rPr>
            </w:pPr>
            <w:r>
              <w:rPr>
                <w:sz w:val="20"/>
                <w:szCs w:val="20"/>
                <w:lang w:eastAsia="ru-RU"/>
              </w:rPr>
              <w:t>3.11.</w:t>
            </w:r>
          </w:p>
        </w:tc>
        <w:tc>
          <w:tcPr>
            <w:tcW w:w="535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sz w:val="20"/>
                <w:szCs w:val="20"/>
                <w:lang w:eastAsia="ru-RU"/>
              </w:rPr>
            </w:pPr>
            <w:r>
              <w:rPr>
                <w:sz w:val="20"/>
                <w:szCs w:val="20"/>
                <w:lang w:eastAsia="ru-RU"/>
              </w:rPr>
              <w:t>Расходы на аренду имущества, используемого для осуществления регулируемого вида деятельности</w:t>
            </w:r>
          </w:p>
        </w:tc>
        <w:tc>
          <w:tcPr>
            <w:tcW w:w="125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sz w:val="20"/>
                <w:szCs w:val="20"/>
                <w:lang w:eastAsia="ru-RU"/>
              </w:rPr>
            </w:pPr>
            <w:r>
              <w:rPr>
                <w:sz w:val="20"/>
                <w:szCs w:val="20"/>
                <w:lang w:eastAsia="ru-RU"/>
              </w:rPr>
              <w:t>тыс. руб.</w:t>
            </w:r>
          </w:p>
        </w:tc>
        <w:tc>
          <w:tcPr>
            <w:tcW w:w="231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sz w:val="20"/>
                <w:szCs w:val="20"/>
                <w:lang w:eastAsia="ru-RU"/>
              </w:rPr>
            </w:pPr>
            <w:r>
              <w:rPr>
                <w:sz w:val="20"/>
                <w:szCs w:val="20"/>
                <w:lang w:eastAsia="ru-RU"/>
              </w:rPr>
              <w:t>0</w:t>
            </w:r>
          </w:p>
        </w:tc>
      </w:tr>
      <w:tr>
        <w:trPr>
          <w:trHeight w:val="20" w:hRule="atLeast"/>
        </w:trPr>
        <w:tc>
          <w:tcPr>
            <w:tcW w:w="71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sz w:val="20"/>
                <w:szCs w:val="20"/>
                <w:lang w:eastAsia="ru-RU"/>
              </w:rPr>
            </w:pPr>
            <w:r>
              <w:rPr>
                <w:sz w:val="20"/>
                <w:szCs w:val="20"/>
                <w:lang w:eastAsia="ru-RU"/>
              </w:rPr>
              <w:t>3.12.</w:t>
            </w:r>
          </w:p>
        </w:tc>
        <w:tc>
          <w:tcPr>
            <w:tcW w:w="535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sz w:val="20"/>
                <w:szCs w:val="20"/>
                <w:lang w:eastAsia="ru-RU"/>
              </w:rPr>
            </w:pPr>
            <w:r>
              <w:rPr>
                <w:sz w:val="20"/>
                <w:szCs w:val="20"/>
                <w:lang w:eastAsia="ru-RU"/>
              </w:rPr>
              <w:t>Общепроизводственные расходы, в том числе:</w:t>
            </w:r>
          </w:p>
        </w:tc>
        <w:tc>
          <w:tcPr>
            <w:tcW w:w="125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sz w:val="20"/>
                <w:szCs w:val="20"/>
                <w:lang w:eastAsia="ru-RU"/>
              </w:rPr>
            </w:pPr>
            <w:r>
              <w:rPr>
                <w:sz w:val="20"/>
                <w:szCs w:val="20"/>
                <w:lang w:eastAsia="ru-RU"/>
              </w:rPr>
              <w:t>тыс. руб.</w:t>
            </w:r>
          </w:p>
        </w:tc>
        <w:tc>
          <w:tcPr>
            <w:tcW w:w="231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sz w:val="20"/>
                <w:szCs w:val="20"/>
                <w:lang w:eastAsia="ru-RU"/>
              </w:rPr>
            </w:pPr>
            <w:r>
              <w:rPr>
                <w:sz w:val="20"/>
                <w:szCs w:val="20"/>
                <w:lang w:eastAsia="ru-RU"/>
              </w:rPr>
              <w:t>0</w:t>
            </w:r>
          </w:p>
        </w:tc>
      </w:tr>
      <w:tr>
        <w:trPr>
          <w:trHeight w:val="20" w:hRule="atLeast"/>
        </w:trPr>
        <w:tc>
          <w:tcPr>
            <w:tcW w:w="71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sz w:val="20"/>
                <w:szCs w:val="20"/>
                <w:lang w:eastAsia="ru-RU"/>
              </w:rPr>
            </w:pPr>
            <w:r>
              <w:rPr>
                <w:sz w:val="20"/>
                <w:szCs w:val="20"/>
                <w:lang w:eastAsia="ru-RU"/>
              </w:rPr>
              <w:t>3.13.</w:t>
            </w:r>
          </w:p>
        </w:tc>
        <w:tc>
          <w:tcPr>
            <w:tcW w:w="535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sz w:val="20"/>
                <w:szCs w:val="20"/>
                <w:lang w:eastAsia="ru-RU"/>
              </w:rPr>
            </w:pPr>
            <w:r>
              <w:rPr>
                <w:sz w:val="20"/>
                <w:szCs w:val="20"/>
                <w:lang w:eastAsia="ru-RU"/>
              </w:rPr>
              <w:t>Общехозяйственные расходы, в том числе:</w:t>
            </w:r>
          </w:p>
        </w:tc>
        <w:tc>
          <w:tcPr>
            <w:tcW w:w="125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sz w:val="20"/>
                <w:szCs w:val="20"/>
                <w:lang w:eastAsia="ru-RU"/>
              </w:rPr>
            </w:pPr>
            <w:r>
              <w:rPr>
                <w:sz w:val="20"/>
                <w:szCs w:val="20"/>
                <w:lang w:eastAsia="ru-RU"/>
              </w:rPr>
              <w:t>тыс. руб.</w:t>
            </w:r>
          </w:p>
        </w:tc>
        <w:tc>
          <w:tcPr>
            <w:tcW w:w="231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sz w:val="20"/>
                <w:szCs w:val="20"/>
                <w:lang w:eastAsia="ru-RU"/>
              </w:rPr>
            </w:pPr>
            <w:r>
              <w:rPr>
                <w:sz w:val="20"/>
                <w:szCs w:val="20"/>
                <w:lang w:eastAsia="ru-RU"/>
              </w:rPr>
              <w:t>110,3465794</w:t>
            </w:r>
          </w:p>
        </w:tc>
      </w:tr>
      <w:tr>
        <w:trPr>
          <w:trHeight w:val="20" w:hRule="atLeast"/>
        </w:trPr>
        <w:tc>
          <w:tcPr>
            <w:tcW w:w="71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sz w:val="20"/>
                <w:szCs w:val="20"/>
                <w:lang w:eastAsia="ru-RU"/>
              </w:rPr>
            </w:pPr>
            <w:r>
              <w:rPr>
                <w:sz w:val="20"/>
                <w:szCs w:val="20"/>
                <w:lang w:eastAsia="ru-RU"/>
              </w:rPr>
              <w:t>3.14.</w:t>
            </w:r>
          </w:p>
        </w:tc>
        <w:tc>
          <w:tcPr>
            <w:tcW w:w="535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sz w:val="20"/>
                <w:szCs w:val="20"/>
                <w:lang w:eastAsia="ru-RU"/>
              </w:rPr>
            </w:pPr>
            <w:r>
              <w:rPr>
                <w:sz w:val="20"/>
                <w:szCs w:val="20"/>
                <w:lang w:eastAsia="ru-RU"/>
              </w:rPr>
              <w:t>Расходы на капитальный и текущий ремонт основных производственных средств</w:t>
            </w:r>
          </w:p>
        </w:tc>
        <w:tc>
          <w:tcPr>
            <w:tcW w:w="125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sz w:val="20"/>
                <w:szCs w:val="20"/>
                <w:lang w:eastAsia="ru-RU"/>
              </w:rPr>
            </w:pPr>
            <w:r>
              <w:rPr>
                <w:sz w:val="20"/>
                <w:szCs w:val="20"/>
                <w:lang w:eastAsia="ru-RU"/>
              </w:rPr>
              <w:t>тыс. руб.</w:t>
            </w:r>
          </w:p>
        </w:tc>
        <w:tc>
          <w:tcPr>
            <w:tcW w:w="231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sz w:val="20"/>
                <w:szCs w:val="20"/>
                <w:lang w:eastAsia="ru-RU"/>
              </w:rPr>
            </w:pPr>
            <w:r>
              <w:rPr>
                <w:sz w:val="20"/>
                <w:szCs w:val="20"/>
                <w:lang w:eastAsia="ru-RU"/>
              </w:rPr>
              <w:t>0</w:t>
            </w:r>
          </w:p>
        </w:tc>
      </w:tr>
      <w:tr>
        <w:trPr>
          <w:trHeight w:val="20" w:hRule="atLeast"/>
        </w:trPr>
        <w:tc>
          <w:tcPr>
            <w:tcW w:w="71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sz w:val="20"/>
                <w:szCs w:val="20"/>
                <w:lang w:eastAsia="ru-RU"/>
              </w:rPr>
            </w:pPr>
            <w:r>
              <w:rPr>
                <w:sz w:val="20"/>
                <w:szCs w:val="20"/>
                <w:lang w:eastAsia="ru-RU"/>
              </w:rPr>
              <w:t>3.15.</w:t>
            </w:r>
          </w:p>
        </w:tc>
        <w:tc>
          <w:tcPr>
            <w:tcW w:w="535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sz w:val="20"/>
                <w:szCs w:val="20"/>
                <w:lang w:eastAsia="ru-RU"/>
              </w:rPr>
            </w:pPr>
            <w:r>
              <w:rPr>
                <w:sz w:val="20"/>
                <w:szCs w:val="20"/>
                <w:lang w:eastAsia="ru-RU"/>
              </w:rPr>
              <w:t>Прочие расходы, которые подлежат отнесению на регулируемые виды деятельности, в том числе:</w:t>
            </w:r>
          </w:p>
        </w:tc>
        <w:tc>
          <w:tcPr>
            <w:tcW w:w="125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sz w:val="20"/>
                <w:szCs w:val="20"/>
                <w:lang w:eastAsia="ru-RU"/>
              </w:rPr>
            </w:pPr>
            <w:r>
              <w:rPr>
                <w:sz w:val="20"/>
                <w:szCs w:val="20"/>
                <w:lang w:eastAsia="ru-RU"/>
              </w:rPr>
              <w:t>тыс. руб.</w:t>
            </w:r>
          </w:p>
        </w:tc>
        <w:tc>
          <w:tcPr>
            <w:tcW w:w="231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sz w:val="20"/>
                <w:szCs w:val="20"/>
                <w:lang w:eastAsia="ru-RU"/>
              </w:rPr>
            </w:pPr>
            <w:r>
              <w:rPr>
                <w:sz w:val="20"/>
                <w:szCs w:val="20"/>
                <w:lang w:eastAsia="ru-RU"/>
              </w:rPr>
              <w:t>0</w:t>
            </w:r>
          </w:p>
        </w:tc>
      </w:tr>
      <w:tr>
        <w:trPr>
          <w:trHeight w:val="20" w:hRule="atLeast"/>
        </w:trPr>
        <w:tc>
          <w:tcPr>
            <w:tcW w:w="71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sz w:val="20"/>
                <w:szCs w:val="20"/>
                <w:lang w:eastAsia="ru-RU"/>
              </w:rPr>
            </w:pPr>
            <w:r>
              <w:rPr>
                <w:sz w:val="20"/>
                <w:szCs w:val="20"/>
                <w:lang w:eastAsia="ru-RU"/>
              </w:rPr>
              <w:t>4</w:t>
            </w:r>
          </w:p>
        </w:tc>
        <w:tc>
          <w:tcPr>
            <w:tcW w:w="535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sz w:val="20"/>
                <w:szCs w:val="20"/>
                <w:lang w:eastAsia="ru-RU"/>
              </w:rPr>
            </w:pPr>
            <w:r>
              <w:rPr>
                <w:sz w:val="20"/>
                <w:szCs w:val="20"/>
                <w:lang w:eastAsia="ru-RU"/>
              </w:rPr>
              <w:t>Валовая прибыль (убытки) от реализации товаров и оказания услуг по регулируемому виду деятельности</w:t>
            </w:r>
          </w:p>
        </w:tc>
        <w:tc>
          <w:tcPr>
            <w:tcW w:w="125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sz w:val="20"/>
                <w:szCs w:val="20"/>
                <w:lang w:eastAsia="ru-RU"/>
              </w:rPr>
            </w:pPr>
            <w:r>
              <w:rPr>
                <w:sz w:val="20"/>
                <w:szCs w:val="20"/>
                <w:lang w:eastAsia="ru-RU"/>
              </w:rPr>
              <w:t>тыс. руб.</w:t>
            </w:r>
          </w:p>
        </w:tc>
        <w:tc>
          <w:tcPr>
            <w:tcW w:w="231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sz w:val="20"/>
                <w:szCs w:val="20"/>
                <w:lang w:eastAsia="ru-RU"/>
              </w:rPr>
            </w:pPr>
            <w:r>
              <w:rPr>
                <w:sz w:val="20"/>
                <w:szCs w:val="20"/>
                <w:lang w:eastAsia="ru-RU"/>
              </w:rPr>
              <w:t>-2350,352065</w:t>
            </w:r>
          </w:p>
        </w:tc>
      </w:tr>
      <w:tr>
        <w:trPr>
          <w:trHeight w:val="20" w:hRule="atLeast"/>
        </w:trPr>
        <w:tc>
          <w:tcPr>
            <w:tcW w:w="71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sz w:val="20"/>
                <w:szCs w:val="20"/>
                <w:lang w:eastAsia="ru-RU"/>
              </w:rPr>
            </w:pPr>
            <w:r>
              <w:rPr>
                <w:sz w:val="20"/>
                <w:szCs w:val="20"/>
                <w:lang w:eastAsia="ru-RU"/>
              </w:rPr>
              <w:t>5</w:t>
            </w:r>
          </w:p>
        </w:tc>
        <w:tc>
          <w:tcPr>
            <w:tcW w:w="535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sz w:val="20"/>
                <w:szCs w:val="20"/>
                <w:lang w:eastAsia="ru-RU"/>
              </w:rPr>
            </w:pPr>
            <w:r>
              <w:rPr>
                <w:sz w:val="20"/>
                <w:szCs w:val="20"/>
                <w:lang w:eastAsia="ru-RU"/>
              </w:rPr>
              <w:t>Чистая прибыль, полученная от регулируемого вида деятельности, в том числе:</w:t>
            </w:r>
          </w:p>
        </w:tc>
        <w:tc>
          <w:tcPr>
            <w:tcW w:w="125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sz w:val="20"/>
                <w:szCs w:val="20"/>
                <w:lang w:eastAsia="ru-RU"/>
              </w:rPr>
            </w:pPr>
            <w:r>
              <w:rPr>
                <w:sz w:val="20"/>
                <w:szCs w:val="20"/>
                <w:lang w:eastAsia="ru-RU"/>
              </w:rPr>
              <w:t>тыс. руб.</w:t>
            </w:r>
          </w:p>
        </w:tc>
        <w:tc>
          <w:tcPr>
            <w:tcW w:w="231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sz w:val="20"/>
                <w:szCs w:val="20"/>
                <w:lang w:eastAsia="ru-RU"/>
              </w:rPr>
            </w:pPr>
            <w:r>
              <w:rPr>
                <w:sz w:val="20"/>
                <w:szCs w:val="20"/>
                <w:lang w:eastAsia="ru-RU"/>
              </w:rPr>
              <w:t>0</w:t>
            </w:r>
          </w:p>
        </w:tc>
      </w:tr>
      <w:tr>
        <w:trPr>
          <w:trHeight w:val="20" w:hRule="atLeast"/>
        </w:trPr>
        <w:tc>
          <w:tcPr>
            <w:tcW w:w="71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sz w:val="20"/>
                <w:szCs w:val="20"/>
                <w:lang w:eastAsia="ru-RU"/>
              </w:rPr>
            </w:pPr>
            <w:r>
              <w:rPr>
                <w:sz w:val="20"/>
                <w:szCs w:val="20"/>
                <w:lang w:eastAsia="ru-RU"/>
              </w:rPr>
              <w:t>5.1.</w:t>
            </w:r>
          </w:p>
        </w:tc>
        <w:tc>
          <w:tcPr>
            <w:tcW w:w="535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sz w:val="20"/>
                <w:szCs w:val="20"/>
                <w:lang w:eastAsia="ru-RU"/>
              </w:rPr>
            </w:pPr>
            <w:r>
              <w:rPr>
                <w:sz w:val="20"/>
                <w:szCs w:val="20"/>
                <w:lang w:eastAsia="ru-RU"/>
              </w:rPr>
              <w:t>Размер расходования чистой прибыли на финансирование мероприятий, предусмотренных инвестиционной программой регулируемой организации</w:t>
            </w:r>
          </w:p>
        </w:tc>
        <w:tc>
          <w:tcPr>
            <w:tcW w:w="125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sz w:val="20"/>
                <w:szCs w:val="20"/>
                <w:lang w:eastAsia="ru-RU"/>
              </w:rPr>
            </w:pPr>
            <w:r>
              <w:rPr>
                <w:sz w:val="20"/>
                <w:szCs w:val="20"/>
                <w:lang w:eastAsia="ru-RU"/>
              </w:rPr>
              <w:t>тыс. руб.</w:t>
            </w:r>
          </w:p>
        </w:tc>
        <w:tc>
          <w:tcPr>
            <w:tcW w:w="231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sz w:val="20"/>
                <w:szCs w:val="20"/>
                <w:lang w:eastAsia="ru-RU"/>
              </w:rPr>
            </w:pPr>
            <w:r>
              <w:rPr>
                <w:sz w:val="20"/>
                <w:szCs w:val="20"/>
                <w:lang w:eastAsia="ru-RU"/>
              </w:rPr>
              <w:t>0</w:t>
            </w:r>
          </w:p>
        </w:tc>
      </w:tr>
      <w:tr>
        <w:trPr>
          <w:trHeight w:val="20" w:hRule="atLeast"/>
        </w:trPr>
        <w:tc>
          <w:tcPr>
            <w:tcW w:w="71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sz w:val="20"/>
                <w:szCs w:val="20"/>
                <w:lang w:eastAsia="ru-RU"/>
              </w:rPr>
            </w:pPr>
            <w:r>
              <w:rPr>
                <w:sz w:val="20"/>
                <w:szCs w:val="20"/>
                <w:lang w:eastAsia="ru-RU"/>
              </w:rPr>
              <w:t>6</w:t>
            </w:r>
          </w:p>
        </w:tc>
        <w:tc>
          <w:tcPr>
            <w:tcW w:w="535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sz w:val="20"/>
                <w:szCs w:val="20"/>
                <w:lang w:eastAsia="ru-RU"/>
              </w:rPr>
            </w:pPr>
            <w:r>
              <w:rPr>
                <w:sz w:val="20"/>
                <w:szCs w:val="20"/>
                <w:lang w:eastAsia="ru-RU"/>
              </w:rPr>
              <w:t>Изменение стоимости основных фондов, в том числе:</w:t>
            </w:r>
          </w:p>
        </w:tc>
        <w:tc>
          <w:tcPr>
            <w:tcW w:w="125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sz w:val="20"/>
                <w:szCs w:val="20"/>
                <w:lang w:eastAsia="ru-RU"/>
              </w:rPr>
            </w:pPr>
            <w:r>
              <w:rPr>
                <w:sz w:val="20"/>
                <w:szCs w:val="20"/>
                <w:lang w:eastAsia="ru-RU"/>
              </w:rPr>
              <w:t>тыс. руб.</w:t>
            </w:r>
          </w:p>
        </w:tc>
        <w:tc>
          <w:tcPr>
            <w:tcW w:w="231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sz w:val="20"/>
                <w:szCs w:val="20"/>
                <w:lang w:eastAsia="ru-RU"/>
              </w:rPr>
            </w:pPr>
            <w:r>
              <w:rPr>
                <w:sz w:val="20"/>
                <w:szCs w:val="20"/>
                <w:lang w:eastAsia="ru-RU"/>
              </w:rPr>
              <w:t>0</w:t>
            </w:r>
          </w:p>
        </w:tc>
      </w:tr>
      <w:tr>
        <w:trPr>
          <w:trHeight w:val="20" w:hRule="atLeast"/>
        </w:trPr>
        <w:tc>
          <w:tcPr>
            <w:tcW w:w="71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sz w:val="20"/>
                <w:szCs w:val="20"/>
                <w:lang w:eastAsia="ru-RU"/>
              </w:rPr>
            </w:pPr>
            <w:r>
              <w:rPr>
                <w:sz w:val="20"/>
                <w:szCs w:val="20"/>
                <w:lang w:eastAsia="ru-RU"/>
              </w:rPr>
              <w:t>6.1.</w:t>
            </w:r>
          </w:p>
        </w:tc>
        <w:tc>
          <w:tcPr>
            <w:tcW w:w="535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sz w:val="20"/>
                <w:szCs w:val="20"/>
                <w:lang w:eastAsia="ru-RU"/>
              </w:rPr>
            </w:pPr>
            <w:r>
              <w:rPr>
                <w:sz w:val="20"/>
                <w:szCs w:val="20"/>
                <w:lang w:eastAsia="ru-RU"/>
              </w:rPr>
              <w:t>Изменение стоимости основных фондов за счет их ввода в эксплуатацию (вывода из эксплуатации)</w:t>
            </w:r>
          </w:p>
        </w:tc>
        <w:tc>
          <w:tcPr>
            <w:tcW w:w="125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sz w:val="20"/>
                <w:szCs w:val="20"/>
                <w:lang w:eastAsia="ru-RU"/>
              </w:rPr>
            </w:pPr>
            <w:r>
              <w:rPr>
                <w:sz w:val="20"/>
                <w:szCs w:val="20"/>
                <w:lang w:eastAsia="ru-RU"/>
              </w:rPr>
              <w:t>тыс. руб.</w:t>
            </w:r>
          </w:p>
        </w:tc>
        <w:tc>
          <w:tcPr>
            <w:tcW w:w="231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sz w:val="20"/>
                <w:szCs w:val="20"/>
                <w:lang w:eastAsia="ru-RU"/>
              </w:rPr>
            </w:pPr>
            <w:r>
              <w:rPr>
                <w:sz w:val="20"/>
                <w:szCs w:val="20"/>
                <w:lang w:eastAsia="ru-RU"/>
              </w:rPr>
              <w:t>0</w:t>
            </w:r>
          </w:p>
        </w:tc>
      </w:tr>
      <w:tr>
        <w:trPr>
          <w:trHeight w:val="20" w:hRule="atLeast"/>
        </w:trPr>
        <w:tc>
          <w:tcPr>
            <w:tcW w:w="71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sz w:val="20"/>
                <w:szCs w:val="20"/>
                <w:lang w:eastAsia="ru-RU"/>
              </w:rPr>
            </w:pPr>
            <w:r>
              <w:rPr>
                <w:sz w:val="20"/>
                <w:szCs w:val="20"/>
                <w:lang w:eastAsia="ru-RU"/>
              </w:rPr>
              <w:t>6.2.</w:t>
            </w:r>
          </w:p>
        </w:tc>
        <w:tc>
          <w:tcPr>
            <w:tcW w:w="535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sz w:val="20"/>
                <w:szCs w:val="20"/>
                <w:lang w:eastAsia="ru-RU"/>
              </w:rPr>
            </w:pPr>
            <w:r>
              <w:rPr>
                <w:sz w:val="20"/>
                <w:szCs w:val="20"/>
                <w:lang w:eastAsia="ru-RU"/>
              </w:rPr>
              <w:t>Изменение стоимости основных фондов за счет их переоценки</w:t>
            </w:r>
          </w:p>
        </w:tc>
        <w:tc>
          <w:tcPr>
            <w:tcW w:w="125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sz w:val="20"/>
                <w:szCs w:val="20"/>
                <w:lang w:eastAsia="ru-RU"/>
              </w:rPr>
            </w:pPr>
            <w:r>
              <w:rPr>
                <w:sz w:val="20"/>
                <w:szCs w:val="20"/>
                <w:lang w:eastAsia="ru-RU"/>
              </w:rPr>
              <w:t>тыс. руб.</w:t>
            </w:r>
          </w:p>
        </w:tc>
        <w:tc>
          <w:tcPr>
            <w:tcW w:w="231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sz w:val="20"/>
                <w:szCs w:val="20"/>
                <w:lang w:eastAsia="ru-RU"/>
              </w:rPr>
            </w:pPr>
            <w:r>
              <w:rPr>
                <w:sz w:val="20"/>
                <w:szCs w:val="20"/>
                <w:lang w:eastAsia="ru-RU"/>
              </w:rPr>
              <w:t>0</w:t>
            </w:r>
          </w:p>
        </w:tc>
      </w:tr>
      <w:tr>
        <w:trPr>
          <w:trHeight w:val="20" w:hRule="atLeast"/>
        </w:trPr>
        <w:tc>
          <w:tcPr>
            <w:tcW w:w="71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sz w:val="20"/>
                <w:szCs w:val="20"/>
                <w:lang w:eastAsia="ru-RU"/>
              </w:rPr>
            </w:pPr>
            <w:r>
              <w:rPr>
                <w:sz w:val="20"/>
                <w:szCs w:val="20"/>
                <w:lang w:eastAsia="ru-RU"/>
              </w:rPr>
              <w:t>7</w:t>
            </w:r>
          </w:p>
        </w:tc>
        <w:tc>
          <w:tcPr>
            <w:tcW w:w="535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sz w:val="20"/>
                <w:szCs w:val="20"/>
                <w:lang w:eastAsia="ru-RU"/>
              </w:rPr>
            </w:pPr>
            <w:r>
              <w:rPr>
                <w:sz w:val="20"/>
                <w:szCs w:val="20"/>
                <w:lang w:eastAsia="ru-RU"/>
              </w:rPr>
              <w:t>Годовая бухгалтерская отчетность, включая бухгалтерский баланс и приложения к нему</w:t>
            </w:r>
          </w:p>
        </w:tc>
        <w:tc>
          <w:tcPr>
            <w:tcW w:w="125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sz w:val="20"/>
                <w:szCs w:val="20"/>
                <w:lang w:eastAsia="ru-RU"/>
              </w:rPr>
            </w:pPr>
            <w:r>
              <w:rPr>
                <w:sz w:val="20"/>
                <w:szCs w:val="20"/>
                <w:lang w:eastAsia="ru-RU"/>
              </w:rPr>
              <w:t>x</w:t>
            </w:r>
          </w:p>
        </w:tc>
        <w:tc>
          <w:tcPr>
            <w:tcW w:w="231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sz w:val="20"/>
                <w:szCs w:val="20"/>
                <w:lang w:eastAsia="ru-RU"/>
              </w:rPr>
            </w:pPr>
            <w:r>
              <w:rPr>
                <w:sz w:val="20"/>
                <w:szCs w:val="20"/>
                <w:lang w:eastAsia="ru-RU"/>
              </w:rPr>
            </w:r>
          </w:p>
        </w:tc>
      </w:tr>
      <w:tr>
        <w:trPr>
          <w:trHeight w:val="20" w:hRule="atLeast"/>
        </w:trPr>
        <w:tc>
          <w:tcPr>
            <w:tcW w:w="71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sz w:val="20"/>
                <w:szCs w:val="20"/>
                <w:lang w:eastAsia="ru-RU"/>
              </w:rPr>
            </w:pPr>
            <w:r>
              <w:rPr>
                <w:sz w:val="20"/>
                <w:szCs w:val="20"/>
                <w:lang w:eastAsia="ru-RU"/>
              </w:rPr>
              <w:t>8</w:t>
            </w:r>
          </w:p>
        </w:tc>
        <w:tc>
          <w:tcPr>
            <w:tcW w:w="535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sz w:val="20"/>
                <w:szCs w:val="20"/>
                <w:lang w:eastAsia="ru-RU"/>
              </w:rPr>
            </w:pPr>
            <w:r>
              <w:rPr>
                <w:sz w:val="20"/>
                <w:szCs w:val="20"/>
                <w:lang w:eastAsia="ru-RU"/>
              </w:rPr>
              <w:t>Установленная тепловая мощность объектов основных фондов, используемых для теплоснабжения, в том числе по каждому источнику тепловой энергии</w:t>
            </w:r>
          </w:p>
        </w:tc>
        <w:tc>
          <w:tcPr>
            <w:tcW w:w="125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sz w:val="20"/>
                <w:szCs w:val="20"/>
                <w:lang w:eastAsia="ru-RU"/>
              </w:rPr>
            </w:pPr>
            <w:r>
              <w:rPr>
                <w:sz w:val="20"/>
                <w:szCs w:val="20"/>
                <w:lang w:eastAsia="ru-RU"/>
              </w:rPr>
              <w:t>Гкал/ч</w:t>
            </w:r>
          </w:p>
        </w:tc>
        <w:tc>
          <w:tcPr>
            <w:tcW w:w="231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sz w:val="20"/>
                <w:szCs w:val="20"/>
                <w:lang w:eastAsia="ru-RU"/>
              </w:rPr>
            </w:pPr>
            <w:r>
              <w:rPr>
                <w:sz w:val="20"/>
                <w:szCs w:val="20"/>
                <w:lang w:eastAsia="ru-RU"/>
              </w:rPr>
              <w:t>36,37</w:t>
            </w:r>
          </w:p>
        </w:tc>
      </w:tr>
      <w:tr>
        <w:trPr>
          <w:trHeight w:val="20" w:hRule="atLeast"/>
        </w:trPr>
        <w:tc>
          <w:tcPr>
            <w:tcW w:w="71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sz w:val="20"/>
                <w:szCs w:val="20"/>
                <w:lang w:eastAsia="ru-RU"/>
              </w:rPr>
            </w:pPr>
            <w:r>
              <w:rPr>
                <w:sz w:val="20"/>
                <w:szCs w:val="20"/>
                <w:lang w:eastAsia="ru-RU"/>
              </w:rPr>
              <w:t>9</w:t>
            </w:r>
          </w:p>
        </w:tc>
        <w:tc>
          <w:tcPr>
            <w:tcW w:w="535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sz w:val="20"/>
                <w:szCs w:val="20"/>
                <w:lang w:eastAsia="ru-RU"/>
              </w:rPr>
            </w:pPr>
            <w:r>
              <w:rPr>
                <w:sz w:val="20"/>
                <w:szCs w:val="20"/>
                <w:lang w:eastAsia="ru-RU"/>
              </w:rPr>
              <w:t>Тепловая нагрузка по договорам теплоснабжения</w:t>
            </w:r>
          </w:p>
        </w:tc>
        <w:tc>
          <w:tcPr>
            <w:tcW w:w="125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sz w:val="20"/>
                <w:szCs w:val="20"/>
                <w:lang w:eastAsia="ru-RU"/>
              </w:rPr>
            </w:pPr>
            <w:r>
              <w:rPr>
                <w:sz w:val="20"/>
                <w:szCs w:val="20"/>
                <w:lang w:eastAsia="ru-RU"/>
              </w:rPr>
              <w:t>Гкал/ч</w:t>
            </w:r>
          </w:p>
        </w:tc>
        <w:tc>
          <w:tcPr>
            <w:tcW w:w="231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sz w:val="20"/>
                <w:szCs w:val="20"/>
                <w:lang w:eastAsia="ru-RU"/>
              </w:rPr>
            </w:pPr>
            <w:r>
              <w:rPr>
                <w:sz w:val="20"/>
                <w:szCs w:val="20"/>
                <w:lang w:eastAsia="ru-RU"/>
              </w:rPr>
              <w:t>0,808820367</w:t>
            </w:r>
          </w:p>
        </w:tc>
      </w:tr>
      <w:tr>
        <w:trPr>
          <w:trHeight w:val="20" w:hRule="atLeast"/>
        </w:trPr>
        <w:tc>
          <w:tcPr>
            <w:tcW w:w="71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sz w:val="20"/>
                <w:szCs w:val="20"/>
                <w:lang w:eastAsia="ru-RU"/>
              </w:rPr>
            </w:pPr>
            <w:r>
              <w:rPr>
                <w:sz w:val="20"/>
                <w:szCs w:val="20"/>
                <w:lang w:eastAsia="ru-RU"/>
              </w:rPr>
              <w:t>10</w:t>
            </w:r>
          </w:p>
        </w:tc>
        <w:tc>
          <w:tcPr>
            <w:tcW w:w="535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sz w:val="20"/>
                <w:szCs w:val="20"/>
                <w:lang w:eastAsia="ru-RU"/>
              </w:rPr>
            </w:pPr>
            <w:r>
              <w:rPr>
                <w:sz w:val="20"/>
                <w:szCs w:val="20"/>
                <w:lang w:eastAsia="ru-RU"/>
              </w:rPr>
              <w:t>Объем вырабатываемой тепловой энергии</w:t>
            </w:r>
          </w:p>
        </w:tc>
        <w:tc>
          <w:tcPr>
            <w:tcW w:w="125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sz w:val="20"/>
                <w:szCs w:val="20"/>
                <w:lang w:eastAsia="ru-RU"/>
              </w:rPr>
            </w:pPr>
            <w:r>
              <w:rPr>
                <w:sz w:val="20"/>
                <w:szCs w:val="20"/>
                <w:lang w:eastAsia="ru-RU"/>
              </w:rPr>
              <w:t>тыс. Гкал</w:t>
            </w:r>
          </w:p>
        </w:tc>
        <w:tc>
          <w:tcPr>
            <w:tcW w:w="231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sz w:val="20"/>
                <w:szCs w:val="20"/>
                <w:lang w:eastAsia="ru-RU"/>
              </w:rPr>
            </w:pPr>
            <w:r>
              <w:rPr>
                <w:sz w:val="20"/>
                <w:szCs w:val="20"/>
                <w:lang w:eastAsia="ru-RU"/>
              </w:rPr>
              <w:t>2,378883432</w:t>
            </w:r>
          </w:p>
        </w:tc>
      </w:tr>
      <w:tr>
        <w:trPr>
          <w:trHeight w:val="20" w:hRule="atLeast"/>
        </w:trPr>
        <w:tc>
          <w:tcPr>
            <w:tcW w:w="71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sz w:val="20"/>
                <w:szCs w:val="20"/>
                <w:lang w:eastAsia="ru-RU"/>
              </w:rPr>
            </w:pPr>
            <w:r>
              <w:rPr>
                <w:sz w:val="20"/>
                <w:szCs w:val="20"/>
                <w:lang w:eastAsia="ru-RU"/>
              </w:rPr>
              <w:t>10.1.</w:t>
            </w:r>
          </w:p>
        </w:tc>
        <w:tc>
          <w:tcPr>
            <w:tcW w:w="535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sz w:val="20"/>
                <w:szCs w:val="20"/>
                <w:lang w:eastAsia="ru-RU"/>
              </w:rPr>
            </w:pPr>
            <w:r>
              <w:rPr>
                <w:sz w:val="20"/>
                <w:szCs w:val="20"/>
                <w:lang w:eastAsia="ru-RU"/>
              </w:rPr>
              <w:t>Объем приобретаемой тепловой энергии</w:t>
            </w:r>
          </w:p>
        </w:tc>
        <w:tc>
          <w:tcPr>
            <w:tcW w:w="125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sz w:val="20"/>
                <w:szCs w:val="20"/>
                <w:lang w:eastAsia="ru-RU"/>
              </w:rPr>
            </w:pPr>
            <w:r>
              <w:rPr>
                <w:sz w:val="20"/>
                <w:szCs w:val="20"/>
                <w:lang w:eastAsia="ru-RU"/>
              </w:rPr>
              <w:t>тыс. Гкал</w:t>
            </w:r>
          </w:p>
        </w:tc>
        <w:tc>
          <w:tcPr>
            <w:tcW w:w="231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sz w:val="20"/>
                <w:szCs w:val="20"/>
                <w:lang w:eastAsia="ru-RU"/>
              </w:rPr>
            </w:pPr>
            <w:r>
              <w:rPr>
                <w:sz w:val="20"/>
                <w:szCs w:val="20"/>
                <w:lang w:eastAsia="ru-RU"/>
              </w:rPr>
            </w:r>
          </w:p>
        </w:tc>
      </w:tr>
      <w:tr>
        <w:trPr>
          <w:trHeight w:val="20" w:hRule="atLeast"/>
        </w:trPr>
        <w:tc>
          <w:tcPr>
            <w:tcW w:w="71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sz w:val="20"/>
                <w:szCs w:val="20"/>
                <w:lang w:eastAsia="ru-RU"/>
              </w:rPr>
            </w:pPr>
            <w:r>
              <w:rPr>
                <w:sz w:val="20"/>
                <w:szCs w:val="20"/>
                <w:lang w:eastAsia="ru-RU"/>
              </w:rPr>
              <w:t>11</w:t>
            </w:r>
          </w:p>
        </w:tc>
        <w:tc>
          <w:tcPr>
            <w:tcW w:w="535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sz w:val="20"/>
                <w:szCs w:val="20"/>
                <w:lang w:eastAsia="ru-RU"/>
              </w:rPr>
            </w:pPr>
            <w:r>
              <w:rPr>
                <w:sz w:val="20"/>
                <w:szCs w:val="20"/>
                <w:lang w:eastAsia="ru-RU"/>
              </w:rPr>
              <w:t xml:space="preserve">Объем тепловой энергии, отпускаемой потребителям </w:t>
            </w:r>
          </w:p>
        </w:tc>
        <w:tc>
          <w:tcPr>
            <w:tcW w:w="125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sz w:val="20"/>
                <w:szCs w:val="20"/>
                <w:lang w:eastAsia="ru-RU"/>
              </w:rPr>
            </w:pPr>
            <w:r>
              <w:rPr>
                <w:sz w:val="20"/>
                <w:szCs w:val="20"/>
                <w:lang w:eastAsia="ru-RU"/>
              </w:rPr>
              <w:t>тыс. Гкал</w:t>
            </w:r>
          </w:p>
        </w:tc>
        <w:tc>
          <w:tcPr>
            <w:tcW w:w="231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sz w:val="20"/>
                <w:szCs w:val="20"/>
                <w:lang w:eastAsia="ru-RU"/>
              </w:rPr>
            </w:pPr>
            <w:r>
              <w:rPr>
                <w:sz w:val="20"/>
                <w:szCs w:val="20"/>
                <w:lang w:eastAsia="ru-RU"/>
              </w:rPr>
              <w:t>2,128883432</w:t>
            </w:r>
          </w:p>
        </w:tc>
      </w:tr>
      <w:tr>
        <w:trPr>
          <w:trHeight w:val="20" w:hRule="atLeast"/>
        </w:trPr>
        <w:tc>
          <w:tcPr>
            <w:tcW w:w="71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sz w:val="20"/>
                <w:szCs w:val="20"/>
                <w:lang w:eastAsia="ru-RU"/>
              </w:rPr>
            </w:pPr>
            <w:r>
              <w:rPr>
                <w:sz w:val="20"/>
                <w:szCs w:val="20"/>
                <w:lang w:eastAsia="ru-RU"/>
              </w:rPr>
              <w:t>11.1.</w:t>
            </w:r>
          </w:p>
        </w:tc>
        <w:tc>
          <w:tcPr>
            <w:tcW w:w="535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sz w:val="20"/>
                <w:szCs w:val="20"/>
                <w:lang w:eastAsia="ru-RU"/>
              </w:rPr>
            </w:pPr>
            <w:r>
              <w:rPr>
                <w:sz w:val="20"/>
                <w:szCs w:val="20"/>
                <w:lang w:eastAsia="ru-RU"/>
              </w:rPr>
              <w:t>Определенном по приборам учета, в т.ч.:</w:t>
            </w:r>
          </w:p>
        </w:tc>
        <w:tc>
          <w:tcPr>
            <w:tcW w:w="125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sz w:val="20"/>
                <w:szCs w:val="20"/>
                <w:lang w:eastAsia="ru-RU"/>
              </w:rPr>
            </w:pPr>
            <w:r>
              <w:rPr>
                <w:sz w:val="20"/>
                <w:szCs w:val="20"/>
                <w:lang w:eastAsia="ru-RU"/>
              </w:rPr>
              <w:t>тыс. Гкал</w:t>
            </w:r>
          </w:p>
        </w:tc>
        <w:tc>
          <w:tcPr>
            <w:tcW w:w="231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sz w:val="20"/>
                <w:szCs w:val="20"/>
                <w:lang w:eastAsia="ru-RU"/>
              </w:rPr>
            </w:pPr>
            <w:r>
              <w:rPr>
                <w:sz w:val="20"/>
                <w:szCs w:val="20"/>
                <w:lang w:eastAsia="ru-RU"/>
              </w:rPr>
              <w:t>0,425776686</w:t>
            </w:r>
          </w:p>
        </w:tc>
      </w:tr>
      <w:tr>
        <w:trPr>
          <w:trHeight w:val="20" w:hRule="atLeast"/>
        </w:trPr>
        <w:tc>
          <w:tcPr>
            <w:tcW w:w="71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sz w:val="20"/>
                <w:szCs w:val="20"/>
                <w:lang w:eastAsia="ru-RU"/>
              </w:rPr>
            </w:pPr>
            <w:r>
              <w:rPr>
                <w:sz w:val="20"/>
                <w:szCs w:val="20"/>
                <w:lang w:eastAsia="ru-RU"/>
              </w:rPr>
              <w:t>11.2.</w:t>
            </w:r>
          </w:p>
        </w:tc>
        <w:tc>
          <w:tcPr>
            <w:tcW w:w="535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sz w:val="20"/>
                <w:szCs w:val="20"/>
                <w:lang w:eastAsia="ru-RU"/>
              </w:rPr>
            </w:pPr>
            <w:r>
              <w:rPr>
                <w:sz w:val="20"/>
                <w:szCs w:val="20"/>
                <w:lang w:eastAsia="ru-RU"/>
              </w:rPr>
              <w:t>Определенном расчетным путем (нормативам потребления коммунальных услуг)</w:t>
            </w:r>
          </w:p>
        </w:tc>
        <w:tc>
          <w:tcPr>
            <w:tcW w:w="125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sz w:val="20"/>
                <w:szCs w:val="20"/>
                <w:lang w:eastAsia="ru-RU"/>
              </w:rPr>
            </w:pPr>
            <w:r>
              <w:rPr>
                <w:sz w:val="20"/>
                <w:szCs w:val="20"/>
                <w:lang w:eastAsia="ru-RU"/>
              </w:rPr>
              <w:t>тыс. Гкал</w:t>
            </w:r>
          </w:p>
        </w:tc>
        <w:tc>
          <w:tcPr>
            <w:tcW w:w="231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sz w:val="20"/>
                <w:szCs w:val="20"/>
                <w:lang w:eastAsia="ru-RU"/>
              </w:rPr>
            </w:pPr>
            <w:r>
              <w:rPr>
                <w:sz w:val="20"/>
                <w:szCs w:val="20"/>
                <w:lang w:eastAsia="ru-RU"/>
              </w:rPr>
              <w:t>1,703106746</w:t>
            </w:r>
          </w:p>
        </w:tc>
      </w:tr>
      <w:tr>
        <w:trPr>
          <w:trHeight w:val="20" w:hRule="atLeast"/>
        </w:trPr>
        <w:tc>
          <w:tcPr>
            <w:tcW w:w="71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sz w:val="20"/>
                <w:szCs w:val="20"/>
                <w:lang w:eastAsia="ru-RU"/>
              </w:rPr>
            </w:pPr>
            <w:r>
              <w:rPr>
                <w:sz w:val="20"/>
                <w:szCs w:val="20"/>
                <w:lang w:eastAsia="ru-RU"/>
              </w:rPr>
              <w:t>12</w:t>
            </w:r>
          </w:p>
        </w:tc>
        <w:tc>
          <w:tcPr>
            <w:tcW w:w="535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sz w:val="20"/>
                <w:szCs w:val="20"/>
                <w:lang w:eastAsia="ru-RU"/>
              </w:rPr>
            </w:pPr>
            <w:r>
              <w:rPr>
                <w:sz w:val="20"/>
                <w:szCs w:val="20"/>
                <w:lang w:eastAsia="ru-RU"/>
              </w:rPr>
              <w:t>Нормативы технологических потерь при передаче тепловой энергии, теплоносителя по тепловым сетям</w:t>
            </w:r>
          </w:p>
        </w:tc>
        <w:tc>
          <w:tcPr>
            <w:tcW w:w="125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sz w:val="20"/>
                <w:szCs w:val="20"/>
                <w:lang w:eastAsia="ru-RU"/>
              </w:rPr>
            </w:pPr>
            <w:r>
              <w:rPr>
                <w:sz w:val="20"/>
                <w:szCs w:val="20"/>
                <w:lang w:eastAsia="ru-RU"/>
              </w:rPr>
              <w:t>Ккал/ч. мес.</w:t>
            </w:r>
          </w:p>
        </w:tc>
        <w:tc>
          <w:tcPr>
            <w:tcW w:w="231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sz w:val="20"/>
                <w:szCs w:val="20"/>
                <w:lang w:eastAsia="ru-RU"/>
              </w:rPr>
            </w:pPr>
            <w:r>
              <w:rPr>
                <w:sz w:val="20"/>
                <w:szCs w:val="20"/>
                <w:lang w:eastAsia="ru-RU"/>
              </w:rPr>
              <w:t>0,118583333</w:t>
            </w:r>
          </w:p>
        </w:tc>
      </w:tr>
      <w:tr>
        <w:trPr>
          <w:trHeight w:val="20" w:hRule="atLeast"/>
        </w:trPr>
        <w:tc>
          <w:tcPr>
            <w:tcW w:w="71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sz w:val="20"/>
                <w:szCs w:val="20"/>
                <w:lang w:eastAsia="ru-RU"/>
              </w:rPr>
            </w:pPr>
            <w:r>
              <w:rPr>
                <w:sz w:val="20"/>
                <w:szCs w:val="20"/>
                <w:lang w:eastAsia="ru-RU"/>
              </w:rPr>
              <w:t>13</w:t>
            </w:r>
          </w:p>
        </w:tc>
        <w:tc>
          <w:tcPr>
            <w:tcW w:w="535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sz w:val="20"/>
                <w:szCs w:val="20"/>
                <w:lang w:eastAsia="ru-RU"/>
              </w:rPr>
            </w:pPr>
            <w:r>
              <w:rPr>
                <w:sz w:val="20"/>
                <w:szCs w:val="20"/>
                <w:lang w:eastAsia="ru-RU"/>
              </w:rPr>
              <w:t>Фактический объем потерь при передаче тепловой энергии</w:t>
            </w:r>
          </w:p>
        </w:tc>
        <w:tc>
          <w:tcPr>
            <w:tcW w:w="125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sz w:val="20"/>
                <w:szCs w:val="20"/>
                <w:lang w:eastAsia="ru-RU"/>
              </w:rPr>
            </w:pPr>
            <w:r>
              <w:rPr>
                <w:sz w:val="20"/>
                <w:szCs w:val="20"/>
                <w:lang w:eastAsia="ru-RU"/>
              </w:rPr>
              <w:t>тыс. Гкал/год</w:t>
            </w:r>
          </w:p>
        </w:tc>
        <w:tc>
          <w:tcPr>
            <w:tcW w:w="231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sz w:val="20"/>
                <w:szCs w:val="20"/>
                <w:lang w:eastAsia="ru-RU"/>
              </w:rPr>
            </w:pPr>
            <w:r>
              <w:rPr>
                <w:sz w:val="20"/>
                <w:szCs w:val="20"/>
                <w:lang w:eastAsia="ru-RU"/>
              </w:rPr>
              <w:t>0,25</w:t>
            </w:r>
          </w:p>
        </w:tc>
      </w:tr>
      <w:tr>
        <w:trPr>
          <w:trHeight w:val="20" w:hRule="atLeast"/>
        </w:trPr>
        <w:tc>
          <w:tcPr>
            <w:tcW w:w="71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sz w:val="20"/>
                <w:szCs w:val="20"/>
                <w:lang w:eastAsia="ru-RU"/>
              </w:rPr>
            </w:pPr>
            <w:r>
              <w:rPr>
                <w:sz w:val="20"/>
                <w:szCs w:val="20"/>
                <w:lang w:eastAsia="ru-RU"/>
              </w:rPr>
              <w:t>13.1.</w:t>
            </w:r>
          </w:p>
        </w:tc>
        <w:tc>
          <w:tcPr>
            <w:tcW w:w="535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sz w:val="20"/>
                <w:szCs w:val="20"/>
                <w:lang w:eastAsia="ru-RU"/>
              </w:rPr>
            </w:pPr>
            <w:r>
              <w:rPr>
                <w:sz w:val="20"/>
                <w:szCs w:val="20"/>
                <w:lang w:eastAsia="ru-RU"/>
              </w:rPr>
              <w:t>Плановый объем потерь при передаче тепловой энергии</w:t>
            </w:r>
          </w:p>
        </w:tc>
        <w:tc>
          <w:tcPr>
            <w:tcW w:w="125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sz w:val="20"/>
                <w:szCs w:val="20"/>
                <w:lang w:eastAsia="ru-RU"/>
              </w:rPr>
            </w:pPr>
            <w:r>
              <w:rPr>
                <w:sz w:val="20"/>
                <w:szCs w:val="20"/>
                <w:lang w:eastAsia="ru-RU"/>
              </w:rPr>
              <w:t>тыс. Гкал/год</w:t>
            </w:r>
          </w:p>
        </w:tc>
        <w:tc>
          <w:tcPr>
            <w:tcW w:w="231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sz w:val="20"/>
                <w:szCs w:val="20"/>
                <w:lang w:eastAsia="ru-RU"/>
              </w:rPr>
            </w:pPr>
            <w:r>
              <w:rPr>
                <w:sz w:val="20"/>
                <w:szCs w:val="20"/>
                <w:lang w:eastAsia="ru-RU"/>
              </w:rPr>
              <w:t>0,118583333</w:t>
            </w:r>
          </w:p>
        </w:tc>
      </w:tr>
      <w:tr>
        <w:trPr>
          <w:trHeight w:val="20" w:hRule="atLeast"/>
        </w:trPr>
        <w:tc>
          <w:tcPr>
            <w:tcW w:w="71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sz w:val="20"/>
                <w:szCs w:val="20"/>
                <w:lang w:eastAsia="ru-RU"/>
              </w:rPr>
            </w:pPr>
            <w:r>
              <w:rPr>
                <w:sz w:val="20"/>
                <w:szCs w:val="20"/>
                <w:lang w:eastAsia="ru-RU"/>
              </w:rPr>
              <w:t>14</w:t>
            </w:r>
          </w:p>
        </w:tc>
        <w:tc>
          <w:tcPr>
            <w:tcW w:w="535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sz w:val="20"/>
                <w:szCs w:val="20"/>
                <w:lang w:eastAsia="ru-RU"/>
              </w:rPr>
            </w:pPr>
            <w:r>
              <w:rPr>
                <w:sz w:val="20"/>
                <w:szCs w:val="20"/>
                <w:lang w:eastAsia="ru-RU"/>
              </w:rPr>
              <w:t>Среднесписочная численность основного производственного персонала</w:t>
            </w:r>
          </w:p>
        </w:tc>
        <w:tc>
          <w:tcPr>
            <w:tcW w:w="125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sz w:val="20"/>
                <w:szCs w:val="20"/>
                <w:lang w:eastAsia="ru-RU"/>
              </w:rPr>
            </w:pPr>
            <w:r>
              <w:rPr>
                <w:sz w:val="20"/>
                <w:szCs w:val="20"/>
                <w:lang w:eastAsia="ru-RU"/>
              </w:rPr>
              <w:t>человек</w:t>
            </w:r>
          </w:p>
        </w:tc>
        <w:tc>
          <w:tcPr>
            <w:tcW w:w="231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sz w:val="20"/>
                <w:szCs w:val="20"/>
                <w:lang w:eastAsia="ru-RU"/>
              </w:rPr>
            </w:pPr>
            <w:r>
              <w:rPr>
                <w:sz w:val="20"/>
                <w:szCs w:val="20"/>
                <w:lang w:eastAsia="ru-RU"/>
              </w:rPr>
              <w:t>46,5</w:t>
            </w:r>
          </w:p>
        </w:tc>
      </w:tr>
      <w:tr>
        <w:trPr>
          <w:trHeight w:val="20" w:hRule="atLeast"/>
        </w:trPr>
        <w:tc>
          <w:tcPr>
            <w:tcW w:w="71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sz w:val="20"/>
                <w:szCs w:val="20"/>
                <w:lang w:eastAsia="ru-RU"/>
              </w:rPr>
            </w:pPr>
            <w:r>
              <w:rPr>
                <w:sz w:val="20"/>
                <w:szCs w:val="20"/>
                <w:lang w:eastAsia="ru-RU"/>
              </w:rPr>
              <w:t>15</w:t>
            </w:r>
          </w:p>
        </w:tc>
        <w:tc>
          <w:tcPr>
            <w:tcW w:w="535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sz w:val="20"/>
                <w:szCs w:val="20"/>
                <w:lang w:eastAsia="ru-RU"/>
              </w:rPr>
            </w:pPr>
            <w:r>
              <w:rPr>
                <w:sz w:val="20"/>
                <w:szCs w:val="20"/>
                <w:lang w:eastAsia="ru-RU"/>
              </w:rPr>
              <w:t>Среднесписочная численность административно-управленческого персонала</w:t>
            </w:r>
          </w:p>
        </w:tc>
        <w:tc>
          <w:tcPr>
            <w:tcW w:w="125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sz w:val="20"/>
                <w:szCs w:val="20"/>
                <w:lang w:eastAsia="ru-RU"/>
              </w:rPr>
            </w:pPr>
            <w:r>
              <w:rPr>
                <w:sz w:val="20"/>
                <w:szCs w:val="20"/>
                <w:lang w:eastAsia="ru-RU"/>
              </w:rPr>
              <w:t>человек</w:t>
            </w:r>
          </w:p>
        </w:tc>
        <w:tc>
          <w:tcPr>
            <w:tcW w:w="231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sz w:val="20"/>
                <w:szCs w:val="20"/>
                <w:lang w:eastAsia="ru-RU"/>
              </w:rPr>
            </w:pPr>
            <w:r>
              <w:rPr>
                <w:sz w:val="20"/>
                <w:szCs w:val="20"/>
                <w:lang w:eastAsia="ru-RU"/>
              </w:rPr>
              <w:t>5,5</w:t>
            </w:r>
          </w:p>
        </w:tc>
      </w:tr>
      <w:tr>
        <w:trPr>
          <w:trHeight w:val="20" w:hRule="atLeast"/>
        </w:trPr>
        <w:tc>
          <w:tcPr>
            <w:tcW w:w="71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sz w:val="20"/>
                <w:szCs w:val="20"/>
                <w:lang w:eastAsia="ru-RU"/>
              </w:rPr>
            </w:pPr>
            <w:r>
              <w:rPr>
                <w:sz w:val="20"/>
                <w:szCs w:val="20"/>
                <w:lang w:eastAsia="ru-RU"/>
              </w:rPr>
              <w:t>16</w:t>
            </w:r>
          </w:p>
        </w:tc>
        <w:tc>
          <w:tcPr>
            <w:tcW w:w="535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sz w:val="20"/>
                <w:szCs w:val="20"/>
                <w:lang w:eastAsia="ru-RU"/>
              </w:rPr>
            </w:pPr>
            <w:r>
              <w:rPr>
                <w:sz w:val="20"/>
                <w:szCs w:val="20"/>
                <w:lang w:eastAsia="ru-RU"/>
              </w:rPr>
              <w:t>Норматив удельного расхода условного топлива при производстве тепловой энергии источниками тепловой энергии, с распределением по источникам тепловой энергии, используемым для осуществления регулируемых видов деятельности</w:t>
            </w:r>
          </w:p>
        </w:tc>
        <w:tc>
          <w:tcPr>
            <w:tcW w:w="125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sz w:val="20"/>
                <w:szCs w:val="20"/>
                <w:lang w:eastAsia="ru-RU"/>
              </w:rPr>
            </w:pPr>
            <w:r>
              <w:rPr>
                <w:sz w:val="20"/>
                <w:szCs w:val="20"/>
                <w:lang w:eastAsia="ru-RU"/>
              </w:rPr>
              <w:t>кг у. т./Гкал</w:t>
            </w:r>
          </w:p>
        </w:tc>
        <w:tc>
          <w:tcPr>
            <w:tcW w:w="231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sz w:val="20"/>
                <w:szCs w:val="20"/>
                <w:lang w:eastAsia="ru-RU"/>
              </w:rPr>
            </w:pPr>
            <w:r>
              <w:rPr>
                <w:sz w:val="20"/>
                <w:szCs w:val="20"/>
                <w:lang w:eastAsia="ru-RU"/>
              </w:rPr>
              <w:t>170,04</w:t>
            </w:r>
          </w:p>
        </w:tc>
      </w:tr>
      <w:tr>
        <w:trPr>
          <w:trHeight w:val="20" w:hRule="atLeast"/>
        </w:trPr>
        <w:tc>
          <w:tcPr>
            <w:tcW w:w="71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sz w:val="20"/>
                <w:szCs w:val="20"/>
                <w:lang w:eastAsia="ru-RU"/>
              </w:rPr>
            </w:pPr>
            <w:r>
              <w:rPr>
                <w:sz w:val="20"/>
                <w:szCs w:val="20"/>
                <w:lang w:eastAsia="ru-RU"/>
              </w:rPr>
              <w:t>17</w:t>
            </w:r>
          </w:p>
        </w:tc>
        <w:tc>
          <w:tcPr>
            <w:tcW w:w="535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sz w:val="20"/>
                <w:szCs w:val="20"/>
                <w:lang w:eastAsia="ru-RU"/>
              </w:rPr>
            </w:pPr>
            <w:r>
              <w:rPr>
                <w:sz w:val="20"/>
                <w:szCs w:val="20"/>
                <w:lang w:eastAsia="ru-RU"/>
              </w:rPr>
              <w:t>Плановый удельный расход условного топлива при производстве тепловой энергии источниками тепловой энергии с распределением по источникам тепловой энергии</w:t>
            </w:r>
          </w:p>
        </w:tc>
        <w:tc>
          <w:tcPr>
            <w:tcW w:w="125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sz w:val="20"/>
                <w:szCs w:val="20"/>
                <w:lang w:eastAsia="ru-RU"/>
              </w:rPr>
            </w:pPr>
            <w:r>
              <w:rPr>
                <w:sz w:val="20"/>
                <w:szCs w:val="20"/>
                <w:lang w:eastAsia="ru-RU"/>
              </w:rPr>
              <w:t>кг усл. топл./Гкал</w:t>
            </w:r>
          </w:p>
        </w:tc>
        <w:tc>
          <w:tcPr>
            <w:tcW w:w="231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sz w:val="20"/>
                <w:szCs w:val="20"/>
                <w:lang w:eastAsia="ru-RU"/>
              </w:rPr>
            </w:pPr>
            <w:r>
              <w:rPr>
                <w:sz w:val="20"/>
                <w:szCs w:val="20"/>
                <w:lang w:eastAsia="ru-RU"/>
              </w:rPr>
              <w:t>170,04</w:t>
            </w:r>
          </w:p>
        </w:tc>
      </w:tr>
      <w:tr>
        <w:trPr>
          <w:trHeight w:val="20" w:hRule="atLeast"/>
        </w:trPr>
        <w:tc>
          <w:tcPr>
            <w:tcW w:w="71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sz w:val="20"/>
                <w:szCs w:val="20"/>
                <w:lang w:eastAsia="ru-RU"/>
              </w:rPr>
            </w:pPr>
            <w:r>
              <w:rPr>
                <w:sz w:val="20"/>
                <w:szCs w:val="20"/>
                <w:lang w:eastAsia="ru-RU"/>
              </w:rPr>
              <w:t>18</w:t>
            </w:r>
          </w:p>
        </w:tc>
        <w:tc>
          <w:tcPr>
            <w:tcW w:w="535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sz w:val="20"/>
                <w:szCs w:val="20"/>
                <w:lang w:eastAsia="ru-RU"/>
              </w:rPr>
            </w:pPr>
            <w:r>
              <w:rPr>
                <w:sz w:val="20"/>
                <w:szCs w:val="20"/>
                <w:lang w:eastAsia="ru-RU"/>
              </w:rPr>
              <w:t>Фактический удельный расход условного топлива при производстве тепловой энергии источниками тепловой энергии с распределением по источникам тепловой энергии</w:t>
            </w:r>
          </w:p>
        </w:tc>
        <w:tc>
          <w:tcPr>
            <w:tcW w:w="125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sz w:val="20"/>
                <w:szCs w:val="20"/>
                <w:lang w:eastAsia="ru-RU"/>
              </w:rPr>
            </w:pPr>
            <w:r>
              <w:rPr>
                <w:sz w:val="20"/>
                <w:szCs w:val="20"/>
                <w:lang w:eastAsia="ru-RU"/>
              </w:rPr>
              <w:t>кг усл. топл./Гкал</w:t>
            </w:r>
          </w:p>
        </w:tc>
        <w:tc>
          <w:tcPr>
            <w:tcW w:w="231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sz w:val="20"/>
                <w:szCs w:val="20"/>
                <w:lang w:eastAsia="ru-RU"/>
              </w:rPr>
            </w:pPr>
            <w:r>
              <w:rPr>
                <w:sz w:val="20"/>
                <w:szCs w:val="20"/>
                <w:lang w:eastAsia="ru-RU"/>
              </w:rPr>
              <w:t>185</w:t>
            </w:r>
          </w:p>
        </w:tc>
      </w:tr>
    </w:tbl>
    <w:p>
      <w:pPr>
        <w:pStyle w:val="Normal"/>
        <w:keepNext w:val="true"/>
        <w:keepLines/>
        <w:numPr>
          <w:ilvl w:val="0"/>
          <w:numId w:val="0"/>
        </w:numPr>
        <w:spacing w:before="0" w:after="120"/>
        <w:ind w:left="0" w:hanging="0"/>
        <w:outlineLvl w:val="1"/>
        <w:rPr>
          <w:rFonts w:eastAsia="Calibri"/>
          <w:szCs w:val="22"/>
          <w:lang w:eastAsia="en-US"/>
        </w:rPr>
      </w:pPr>
      <w:r>
        <w:rPr>
          <w:rFonts w:eastAsia="Calibri"/>
          <w:szCs w:val="22"/>
          <w:lang w:eastAsia="en-US"/>
        </w:rPr>
      </w:r>
    </w:p>
    <w:p>
      <w:pPr>
        <w:pStyle w:val="Normal"/>
        <w:keepNext w:val="true"/>
        <w:keepLines/>
        <w:numPr>
          <w:ilvl w:val="0"/>
          <w:numId w:val="0"/>
        </w:numPr>
        <w:ind w:left="0" w:firstLine="709"/>
        <w:jc w:val="both"/>
        <w:outlineLvl w:val="1"/>
        <w:rPr>
          <w:rFonts w:eastAsia="Calibri Light" w:cs="Calibri Light"/>
          <w:b/>
          <w:b/>
          <w:szCs w:val="26"/>
          <w:lang w:eastAsia="en-US"/>
        </w:rPr>
      </w:pPr>
      <w:bookmarkStart w:id="843" w:name="_Toc181340423"/>
      <w:bookmarkStart w:id="844" w:name="_Toc160529957"/>
      <w:r>
        <w:rPr>
          <w:rFonts w:eastAsia="Calibri Light" w:cs="Calibri Light"/>
          <w:b/>
          <w:szCs w:val="26"/>
          <w:lang w:eastAsia="en-US"/>
        </w:rPr>
        <w:t>Часть 11 «Цены (тарифы) в сфере теплоснабжения»</w:t>
      </w:r>
      <w:bookmarkStart w:id="845" w:name="_Toc160529958"/>
      <w:bookmarkStart w:id="846" w:name="_Toc535409544"/>
      <w:bookmarkStart w:id="847" w:name="_Toc181340424"/>
      <w:bookmarkEnd w:id="843"/>
      <w:bookmarkEnd w:id="844"/>
    </w:p>
    <w:p>
      <w:pPr>
        <w:pStyle w:val="Normal"/>
        <w:keepNext w:val="true"/>
        <w:keepLines/>
        <w:ind w:firstLine="709"/>
        <w:jc w:val="both"/>
        <w:rPr>
          <w:rFonts w:eastAsia="Calibri Light" w:cs="Calibri Light"/>
          <w:b/>
          <w:b/>
          <w:szCs w:val="26"/>
          <w:lang w:eastAsia="en-US"/>
        </w:rPr>
      </w:pPr>
      <w:r>
        <w:rPr>
          <w:rFonts w:eastAsia="Calibri Light" w:cs="Calibri Light"/>
          <w:b/>
          <w:lang w:eastAsia="en-US"/>
        </w:rPr>
        <w:t>1.11.1. Описание динамики утвержденных цен (тарифов), устанавливаемых исполнительными органами субъекта Российской Федерации в области государственного регулирования цен (тарифов) по каждому из регулируемых видов деятельности и по каждой теплосетевой и теплоснабжающей организации с учетом последних 3 лет</w:t>
      </w:r>
      <w:bookmarkEnd w:id="845"/>
      <w:bookmarkEnd w:id="846"/>
      <w:bookmarkEnd w:id="847"/>
    </w:p>
    <w:p>
      <w:pPr>
        <w:pStyle w:val="Normal"/>
        <w:ind w:firstLine="709"/>
        <w:jc w:val="both"/>
        <w:rPr>
          <w:rFonts w:eastAsia="Calibri" w:cs="Calibri"/>
          <w:szCs w:val="22"/>
          <w:lang w:eastAsia="ru-RU"/>
        </w:rPr>
      </w:pPr>
      <w:bookmarkStart w:id="848" w:name="_Hlk160709853"/>
      <w:bookmarkEnd w:id="848"/>
      <w:r>
        <w:rPr>
          <w:rFonts w:eastAsia="Calibri" w:cs="Calibri"/>
          <w:szCs w:val="22"/>
          <w:lang w:eastAsia="ru-RU"/>
        </w:rPr>
        <w:t>Динамика изменения тарифов за последние 3 года для потребителей, оплачивающих производство и передачу тепловой энергии, представлены в таблице 20.</w:t>
      </w:r>
    </w:p>
    <w:p>
      <w:pPr>
        <w:pStyle w:val="Normal"/>
        <w:jc w:val="right"/>
        <w:rPr>
          <w:rFonts w:eastAsia="Calibri" w:cs="Calibri"/>
          <w:szCs w:val="22"/>
          <w:lang w:eastAsia="en-US"/>
        </w:rPr>
      </w:pPr>
      <w:r>
        <w:rPr>
          <w:rFonts w:eastAsia="Calibri" w:cs="Calibri"/>
          <w:szCs w:val="22"/>
          <w:lang w:eastAsia="en-US"/>
        </w:rPr>
      </w:r>
    </w:p>
    <w:p>
      <w:pPr>
        <w:pStyle w:val="Normal"/>
        <w:jc w:val="right"/>
        <w:rPr>
          <w:rFonts w:eastAsia="Calibri" w:cs="Calibri"/>
          <w:szCs w:val="22"/>
          <w:lang w:eastAsia="en-US"/>
        </w:rPr>
      </w:pPr>
      <w:bookmarkStart w:id="849" w:name="sub_1491"/>
      <w:bookmarkStart w:id="850" w:name="_Ref19656585"/>
      <w:bookmarkEnd w:id="849"/>
      <w:bookmarkEnd w:id="850"/>
      <w:r>
        <w:rPr>
          <w:rFonts w:eastAsia="Calibri" w:cs="Calibri"/>
          <w:szCs w:val="22"/>
          <w:lang w:eastAsia="en-US"/>
        </w:rPr>
        <w:t xml:space="preserve">Таблица 20 – Тарифы на тепловую энергию МП МО Октябрьский район «ОКС» </w:t>
      </w:r>
    </w:p>
    <w:p>
      <w:pPr>
        <w:pStyle w:val="Normal"/>
        <w:jc w:val="right"/>
        <w:rPr>
          <w:rFonts w:eastAsia="Calibri" w:cs="Calibri"/>
          <w:szCs w:val="22"/>
          <w:lang w:eastAsia="en-US"/>
        </w:rPr>
      </w:pPr>
      <w:r>
        <w:rPr>
          <w:rFonts w:eastAsia="Calibri" w:cs="Calibri"/>
          <w:szCs w:val="22"/>
          <w:lang w:eastAsia="en-US"/>
        </w:rPr>
        <w:t>с 2023 по 2025 гг.</w:t>
      </w:r>
    </w:p>
    <w:tbl>
      <w:tblPr>
        <w:tblW w:w="5000" w:type="pct"/>
        <w:jc w:val="center"/>
        <w:tblInd w:w="0" w:type="dxa"/>
        <w:tblCellMar>
          <w:top w:w="15" w:type="dxa"/>
          <w:left w:w="15" w:type="dxa"/>
          <w:bottom w:w="0" w:type="dxa"/>
          <w:right w:w="15" w:type="dxa"/>
        </w:tblCellMar>
        <w:tblLook w:val="04a0" w:noVBand="1" w:noHBand="0" w:lastColumn="0" w:firstColumn="1" w:lastRow="0" w:firstRow="1"/>
      </w:tblPr>
      <w:tblGrid>
        <w:gridCol w:w="1802"/>
        <w:gridCol w:w="1040"/>
        <w:gridCol w:w="1043"/>
        <w:gridCol w:w="1038"/>
        <w:gridCol w:w="1757"/>
        <w:gridCol w:w="1756"/>
        <w:gridCol w:w="1128"/>
        <w:gridCol w:w="72"/>
      </w:tblGrid>
      <w:tr>
        <w:trPr>
          <w:tblHeader w:val="true"/>
          <w:trHeight w:val="20" w:hRule="atLeast"/>
        </w:trPr>
        <w:tc>
          <w:tcPr>
            <w:tcW w:w="1802"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bCs/>
                <w:sz w:val="20"/>
                <w:szCs w:val="20"/>
              </w:rPr>
            </w:pPr>
            <w:r>
              <w:rPr>
                <w:bCs/>
                <w:sz w:val="20"/>
                <w:szCs w:val="20"/>
              </w:rPr>
              <w:t>Показатели</w:t>
            </w:r>
          </w:p>
        </w:tc>
        <w:tc>
          <w:tcPr>
            <w:tcW w:w="2083"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bCs/>
                <w:sz w:val="20"/>
                <w:szCs w:val="20"/>
              </w:rPr>
            </w:pPr>
            <w:r>
              <w:rPr>
                <w:bCs/>
                <w:sz w:val="20"/>
                <w:szCs w:val="20"/>
              </w:rPr>
              <w:t>2023</w:t>
            </w:r>
          </w:p>
        </w:tc>
        <w:tc>
          <w:tcPr>
            <w:tcW w:w="279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bCs/>
                <w:sz w:val="20"/>
                <w:szCs w:val="20"/>
              </w:rPr>
            </w:pPr>
            <w:r>
              <w:rPr>
                <w:bCs/>
                <w:sz w:val="20"/>
                <w:szCs w:val="20"/>
              </w:rPr>
              <w:t>2024</w:t>
            </w:r>
          </w:p>
        </w:tc>
        <w:tc>
          <w:tcPr>
            <w:tcW w:w="2884" w:type="dxa"/>
            <w:gridSpan w:val="2"/>
            <w:tcBorders>
              <w:top w:val="single" w:sz="4" w:space="0" w:color="000000"/>
              <w:left w:val="single" w:sz="4" w:space="0" w:color="000000"/>
              <w:bottom w:val="single" w:sz="4" w:space="0" w:color="000000"/>
              <w:right w:val="single" w:sz="4" w:space="0" w:color="000000"/>
            </w:tcBorders>
            <w:tcMar>
              <w:top w:w="0" w:type="dxa"/>
              <w:left w:w="28" w:type="dxa"/>
              <w:right w:w="28" w:type="dxa"/>
            </w:tcMar>
          </w:tcPr>
          <w:p>
            <w:pPr>
              <w:pStyle w:val="Normal"/>
              <w:jc w:val="both"/>
              <w:rPr>
                <w:bCs/>
                <w:sz w:val="20"/>
                <w:szCs w:val="20"/>
              </w:rPr>
            </w:pPr>
            <w:r>
              <w:rPr>
                <w:bCs/>
                <w:sz w:val="20"/>
                <w:szCs w:val="20"/>
              </w:rPr>
              <w:t>2025</w:t>
            </w:r>
          </w:p>
        </w:tc>
        <w:tc>
          <w:tcPr>
            <w:tcW w:w="72" w:type="dxa"/>
            <w:tcBorders/>
            <w:tcMar>
              <w:top w:w="0" w:type="dxa"/>
              <w:left w:w="28" w:type="dxa"/>
              <w:right w:w="28" w:type="dxa"/>
            </w:tcMar>
          </w:tcPr>
          <w:p>
            <w:pPr>
              <w:pStyle w:val="Normal"/>
              <w:jc w:val="both"/>
              <w:rPr>
                <w:rFonts w:eastAsia="Calibri"/>
                <w:b/>
                <w:b/>
                <w:lang w:eastAsia="en-US"/>
              </w:rPr>
            </w:pPr>
            <w:r>
              <w:rPr>
                <w:rFonts w:eastAsia="Calibri"/>
                <w:b/>
                <w:lang w:eastAsia="en-US"/>
              </w:rPr>
            </w:r>
          </w:p>
        </w:tc>
      </w:tr>
      <w:tr>
        <w:trPr>
          <w:tblHeader w:val="true"/>
          <w:trHeight w:val="20" w:hRule="atLeast"/>
        </w:trPr>
        <w:tc>
          <w:tcPr>
            <w:tcW w:w="180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bCs/>
                <w:sz w:val="20"/>
                <w:szCs w:val="20"/>
              </w:rPr>
            </w:pPr>
            <w:r>
              <w:rPr>
                <w:bCs/>
                <w:sz w:val="20"/>
                <w:szCs w:val="20"/>
              </w:rPr>
            </w:r>
          </w:p>
        </w:tc>
        <w:tc>
          <w:tcPr>
            <w:tcW w:w="1040"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both"/>
              <w:rPr>
                <w:bCs/>
                <w:sz w:val="20"/>
                <w:szCs w:val="20"/>
              </w:rPr>
            </w:pPr>
            <w:r>
              <w:rPr>
                <w:sz w:val="20"/>
                <w:szCs w:val="20"/>
                <w:lang w:eastAsia="ru-RU"/>
              </w:rPr>
              <w:t xml:space="preserve">с 1 января по 30 июня </w:t>
            </w:r>
          </w:p>
        </w:tc>
        <w:tc>
          <w:tcPr>
            <w:tcW w:w="1043"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both"/>
              <w:rPr>
                <w:bCs/>
                <w:sz w:val="20"/>
                <w:szCs w:val="20"/>
              </w:rPr>
            </w:pPr>
            <w:r>
              <w:rPr>
                <w:sz w:val="20"/>
                <w:szCs w:val="20"/>
                <w:lang w:eastAsia="ru-RU"/>
              </w:rPr>
              <w:t xml:space="preserve">с 1 июля по 31 декабря </w:t>
            </w:r>
          </w:p>
        </w:tc>
        <w:tc>
          <w:tcPr>
            <w:tcW w:w="1038"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both"/>
              <w:rPr>
                <w:bCs/>
                <w:sz w:val="20"/>
                <w:szCs w:val="20"/>
              </w:rPr>
            </w:pPr>
            <w:r>
              <w:rPr>
                <w:sz w:val="20"/>
                <w:szCs w:val="20"/>
                <w:lang w:eastAsia="ru-RU"/>
              </w:rPr>
              <w:t xml:space="preserve">с 1 января по 30 июня </w:t>
            </w:r>
          </w:p>
        </w:tc>
        <w:tc>
          <w:tcPr>
            <w:tcW w:w="1757"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both"/>
              <w:rPr>
                <w:bCs/>
                <w:sz w:val="20"/>
                <w:szCs w:val="20"/>
              </w:rPr>
            </w:pPr>
            <w:r>
              <w:rPr>
                <w:sz w:val="20"/>
                <w:szCs w:val="20"/>
                <w:lang w:eastAsia="ru-RU"/>
              </w:rPr>
              <w:t xml:space="preserve">с 1 июля по 30 ноября </w:t>
            </w:r>
          </w:p>
        </w:tc>
        <w:tc>
          <w:tcPr>
            <w:tcW w:w="1756" w:type="dxa"/>
            <w:tcBorders>
              <w:top w:val="single" w:sz="4" w:space="0" w:color="000000"/>
              <w:left w:val="single" w:sz="4" w:space="0" w:color="000000"/>
              <w:bottom w:val="single" w:sz="4" w:space="0" w:color="000000"/>
              <w:right w:val="single" w:sz="4" w:space="0" w:color="000000"/>
            </w:tcBorders>
            <w:tcMar>
              <w:top w:w="0" w:type="dxa"/>
              <w:left w:w="28" w:type="dxa"/>
              <w:right w:w="28" w:type="dxa"/>
            </w:tcMar>
          </w:tcPr>
          <w:p>
            <w:pPr>
              <w:pStyle w:val="Formattext1"/>
              <w:spacing w:beforeAutospacing="0" w:before="280" w:afterAutospacing="0" w:after="280"/>
              <w:ind w:hanging="0"/>
              <w:rPr>
                <w:sz w:val="20"/>
                <w:szCs w:val="20"/>
              </w:rPr>
            </w:pPr>
            <w:r>
              <w:rPr>
                <w:sz w:val="20"/>
                <w:szCs w:val="20"/>
              </w:rPr>
              <w:t xml:space="preserve">с 1 января </w:t>
            </w:r>
          </w:p>
          <w:p>
            <w:pPr>
              <w:pStyle w:val="Normal"/>
              <w:jc w:val="both"/>
              <w:rPr>
                <w:bCs/>
                <w:sz w:val="20"/>
                <w:szCs w:val="20"/>
              </w:rPr>
            </w:pPr>
            <w:r>
              <w:rPr>
                <w:sz w:val="20"/>
                <w:szCs w:val="20"/>
              </w:rPr>
              <w:t xml:space="preserve">по 30 июня </w:t>
            </w:r>
          </w:p>
        </w:tc>
        <w:tc>
          <w:tcPr>
            <w:tcW w:w="1128" w:type="dxa"/>
            <w:tcBorders>
              <w:top w:val="single" w:sz="4" w:space="0" w:color="000000"/>
              <w:left w:val="single" w:sz="4" w:space="0" w:color="000000"/>
              <w:bottom w:val="single" w:sz="4" w:space="0" w:color="000000"/>
              <w:right w:val="single" w:sz="4" w:space="0" w:color="000000"/>
            </w:tcBorders>
            <w:tcMar>
              <w:top w:w="0" w:type="dxa"/>
              <w:left w:w="28" w:type="dxa"/>
              <w:right w:w="28" w:type="dxa"/>
            </w:tcMar>
          </w:tcPr>
          <w:p>
            <w:pPr>
              <w:pStyle w:val="Formattext1"/>
              <w:spacing w:beforeAutospacing="0" w:before="280" w:afterAutospacing="0" w:after="280"/>
              <w:ind w:hanging="0"/>
              <w:rPr>
                <w:sz w:val="20"/>
                <w:szCs w:val="20"/>
              </w:rPr>
            </w:pPr>
            <w:r>
              <w:rPr>
                <w:sz w:val="20"/>
                <w:szCs w:val="20"/>
              </w:rPr>
              <w:t xml:space="preserve">с 1 июля </w:t>
            </w:r>
          </w:p>
          <w:p>
            <w:pPr>
              <w:pStyle w:val="Normal"/>
              <w:jc w:val="both"/>
              <w:rPr>
                <w:bCs/>
                <w:sz w:val="20"/>
                <w:szCs w:val="20"/>
              </w:rPr>
            </w:pPr>
            <w:r>
              <w:rPr>
                <w:sz w:val="20"/>
                <w:szCs w:val="20"/>
              </w:rPr>
              <w:t xml:space="preserve">по 31 декабря </w:t>
            </w:r>
          </w:p>
        </w:tc>
        <w:tc>
          <w:tcPr>
            <w:tcW w:w="72" w:type="dxa"/>
            <w:tcBorders/>
          </w:tcPr>
          <w:p>
            <w:pPr>
              <w:pStyle w:val="Normal"/>
              <w:rPr>
                <w:rFonts w:eastAsia="Calibri"/>
                <w:b/>
                <w:b/>
                <w:lang w:eastAsia="en-US"/>
              </w:rPr>
            </w:pPr>
            <w:r>
              <w:rPr>
                <w:rFonts w:eastAsia="Calibri"/>
                <w:b/>
                <w:lang w:eastAsia="en-US"/>
              </w:rPr>
            </w:r>
          </w:p>
        </w:tc>
      </w:tr>
      <w:tr>
        <w:trPr>
          <w:trHeight w:val="20" w:hRule="atLeast"/>
        </w:trPr>
        <w:tc>
          <w:tcPr>
            <w:tcW w:w="18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sz w:val="20"/>
                <w:szCs w:val="20"/>
              </w:rPr>
            </w:pPr>
            <w:r>
              <w:rPr>
                <w:sz w:val="20"/>
                <w:szCs w:val="20"/>
              </w:rPr>
              <w:t>Тариф для потребителей, в случае отсутствия дифференциации тарифов по схеме подключения, (без НДС), руб./Гкал</w:t>
            </w:r>
          </w:p>
        </w:tc>
        <w:tc>
          <w:tcPr>
            <w:tcW w:w="10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Times New Roman" w:hAnsi="Times New Roman" w:eastAsia="Times New Roman" w:cs="Times New Roman"/>
                <w:sz w:val="20"/>
                <w:szCs w:val="20"/>
                <w:lang w:bidi="ar-SA"/>
              </w:rPr>
            </w:pPr>
            <w:r>
              <w:rPr>
                <w:rFonts w:eastAsia="Times New Roman" w:cs="Times New Roman"/>
                <w:sz w:val="20"/>
                <w:szCs w:val="20"/>
                <w:lang w:bidi="ar-SA"/>
              </w:rPr>
              <w:t>2971,32</w:t>
            </w:r>
          </w:p>
        </w:tc>
        <w:tc>
          <w:tcPr>
            <w:tcW w:w="10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Times New Roman" w:hAnsi="Times New Roman" w:eastAsia="Times New Roman" w:cs="Times New Roman"/>
                <w:sz w:val="20"/>
                <w:szCs w:val="20"/>
                <w:lang w:bidi="ar-SA"/>
              </w:rPr>
            </w:pPr>
            <w:r>
              <w:rPr>
                <w:rFonts w:eastAsia="Times New Roman" w:cs="Times New Roman"/>
                <w:sz w:val="20"/>
                <w:szCs w:val="20"/>
                <w:lang w:bidi="ar-SA"/>
              </w:rPr>
              <w:t>2971,32</w:t>
            </w:r>
          </w:p>
        </w:tc>
        <w:tc>
          <w:tcPr>
            <w:tcW w:w="103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Times New Roman" w:hAnsi="Times New Roman" w:eastAsia="Times New Roman" w:cs="Times New Roman"/>
                <w:sz w:val="20"/>
                <w:szCs w:val="20"/>
                <w:lang w:eastAsia="ru-RU" w:bidi="ar-SA"/>
              </w:rPr>
            </w:pPr>
            <w:r>
              <w:rPr>
                <w:rFonts w:eastAsia="Times New Roman" w:cs="Times New Roman"/>
                <w:sz w:val="20"/>
                <w:szCs w:val="20"/>
                <w:lang w:eastAsia="ru-RU" w:bidi="ar-SA"/>
              </w:rPr>
              <w:t>2971,32</w:t>
            </w:r>
          </w:p>
        </w:tc>
        <w:tc>
          <w:tcPr>
            <w:tcW w:w="17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Times New Roman" w:hAnsi="Times New Roman" w:eastAsia="Times New Roman" w:cs="Times New Roman"/>
                <w:sz w:val="20"/>
                <w:szCs w:val="20"/>
                <w:lang w:eastAsia="ru-RU" w:bidi="ar-SA"/>
              </w:rPr>
            </w:pPr>
            <w:r>
              <w:rPr>
                <w:rFonts w:eastAsia="Times New Roman" w:cs="Times New Roman"/>
                <w:sz w:val="20"/>
                <w:szCs w:val="20"/>
                <w:lang w:eastAsia="ru-RU" w:bidi="ar-SA"/>
              </w:rPr>
              <w:t>3256,5</w:t>
            </w:r>
          </w:p>
        </w:tc>
        <w:tc>
          <w:tcPr>
            <w:tcW w:w="1756" w:type="dxa"/>
            <w:tcBorders>
              <w:top w:val="single" w:sz="4" w:space="0" w:color="000000"/>
              <w:left w:val="single" w:sz="4" w:space="0" w:color="000000"/>
              <w:bottom w:val="single" w:sz="4" w:space="0" w:color="000000"/>
              <w:right w:val="single" w:sz="4" w:space="0" w:color="000000"/>
            </w:tcBorders>
            <w:shd w:color="auto" w:fill="auto" w:val="clear"/>
            <w:tcMar>
              <w:top w:w="0" w:type="dxa"/>
              <w:left w:w="28" w:type="dxa"/>
              <w:right w:w="28" w:type="dxa"/>
            </w:tcMar>
            <w:vAlign w:val="center"/>
          </w:tcPr>
          <w:p>
            <w:pPr>
              <w:pStyle w:val="Normal"/>
              <w:jc w:val="both"/>
              <w:rPr>
                <w:sz w:val="20"/>
                <w:szCs w:val="20"/>
              </w:rPr>
            </w:pPr>
            <w:r>
              <w:rPr>
                <w:sz w:val="20"/>
                <w:szCs w:val="20"/>
                <w:lang w:eastAsia="ru-RU"/>
              </w:rPr>
              <w:t>3256,5</w:t>
            </w:r>
          </w:p>
        </w:tc>
        <w:tc>
          <w:tcPr>
            <w:tcW w:w="1128" w:type="dxa"/>
            <w:tcBorders>
              <w:top w:val="single" w:sz="4" w:space="0" w:color="000000"/>
              <w:left w:val="single" w:sz="4" w:space="0" w:color="000000"/>
              <w:bottom w:val="single" w:sz="4" w:space="0" w:color="000000"/>
              <w:right w:val="single" w:sz="4" w:space="0" w:color="000000"/>
            </w:tcBorders>
            <w:shd w:color="auto" w:fill="auto" w:val="clear"/>
            <w:tcMar>
              <w:top w:w="0" w:type="dxa"/>
              <w:left w:w="28" w:type="dxa"/>
              <w:right w:w="28" w:type="dxa"/>
            </w:tcMar>
            <w:vAlign w:val="center"/>
          </w:tcPr>
          <w:p>
            <w:pPr>
              <w:pStyle w:val="Normal"/>
              <w:jc w:val="both"/>
              <w:rPr>
                <w:sz w:val="20"/>
                <w:szCs w:val="20"/>
              </w:rPr>
            </w:pPr>
            <w:r>
              <w:rPr>
                <w:sz w:val="20"/>
                <w:szCs w:val="20"/>
                <w:lang w:eastAsia="ru-RU"/>
              </w:rPr>
              <w:t xml:space="preserve">3549,58 </w:t>
            </w:r>
          </w:p>
        </w:tc>
        <w:tc>
          <w:tcPr>
            <w:tcW w:w="72" w:type="dxa"/>
            <w:tcBorders/>
          </w:tcPr>
          <w:p>
            <w:pPr>
              <w:pStyle w:val="Normal"/>
              <w:rPr>
                <w:rFonts w:eastAsia="Calibri"/>
                <w:b/>
                <w:b/>
                <w:lang w:eastAsia="en-US"/>
              </w:rPr>
            </w:pPr>
            <w:r>
              <w:rPr>
                <w:rFonts w:eastAsia="Calibri"/>
                <w:b/>
                <w:lang w:eastAsia="en-US"/>
              </w:rPr>
            </w:r>
          </w:p>
        </w:tc>
      </w:tr>
      <w:tr>
        <w:trPr>
          <w:trHeight w:val="20" w:hRule="atLeast"/>
        </w:trPr>
        <w:tc>
          <w:tcPr>
            <w:tcW w:w="18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sz w:val="20"/>
                <w:szCs w:val="20"/>
              </w:rPr>
            </w:pPr>
            <w:r>
              <w:rPr>
                <w:sz w:val="20"/>
                <w:szCs w:val="20"/>
              </w:rPr>
              <w:t>Тариф для населения (с учетом НДС)</w:t>
            </w:r>
          </w:p>
        </w:tc>
        <w:tc>
          <w:tcPr>
            <w:tcW w:w="10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Times New Roman" w:hAnsi="Times New Roman" w:eastAsia="Times New Roman" w:cs="Times New Roman"/>
                <w:sz w:val="20"/>
                <w:szCs w:val="20"/>
                <w:lang w:bidi="ar-SA"/>
              </w:rPr>
            </w:pPr>
            <w:r>
              <w:rPr>
                <w:rFonts w:eastAsia="Times New Roman" w:cs="Times New Roman"/>
                <w:sz w:val="20"/>
                <w:szCs w:val="20"/>
                <w:lang w:bidi="ar-SA"/>
              </w:rPr>
              <w:t>2971,32</w:t>
            </w:r>
          </w:p>
        </w:tc>
        <w:tc>
          <w:tcPr>
            <w:tcW w:w="10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Times New Roman" w:hAnsi="Times New Roman" w:eastAsia="Times New Roman" w:cs="Times New Roman"/>
                <w:sz w:val="20"/>
                <w:szCs w:val="20"/>
                <w:lang w:bidi="ar-SA"/>
              </w:rPr>
            </w:pPr>
            <w:r>
              <w:rPr>
                <w:rFonts w:eastAsia="Times New Roman" w:cs="Times New Roman"/>
                <w:sz w:val="20"/>
                <w:szCs w:val="20"/>
                <w:lang w:bidi="ar-SA"/>
              </w:rPr>
              <w:t>2971,32</w:t>
            </w:r>
          </w:p>
        </w:tc>
        <w:tc>
          <w:tcPr>
            <w:tcW w:w="103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Times New Roman" w:hAnsi="Times New Roman" w:eastAsia="Times New Roman" w:cs="Times New Roman"/>
                <w:sz w:val="20"/>
                <w:szCs w:val="20"/>
                <w:lang w:eastAsia="ru-RU" w:bidi="ar-SA"/>
              </w:rPr>
            </w:pPr>
            <w:r>
              <w:rPr>
                <w:rFonts w:eastAsia="Times New Roman" w:cs="Times New Roman"/>
                <w:sz w:val="20"/>
                <w:szCs w:val="20"/>
                <w:lang w:eastAsia="ru-RU" w:bidi="ar-SA"/>
              </w:rPr>
              <w:t>2971,32</w:t>
            </w:r>
          </w:p>
        </w:tc>
        <w:tc>
          <w:tcPr>
            <w:tcW w:w="17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Times New Roman" w:hAnsi="Times New Roman" w:eastAsia="Times New Roman" w:cs="Times New Roman"/>
                <w:sz w:val="20"/>
                <w:szCs w:val="20"/>
                <w:lang w:eastAsia="ru-RU" w:bidi="ar-SA"/>
              </w:rPr>
            </w:pPr>
            <w:r>
              <w:rPr>
                <w:rFonts w:eastAsia="Times New Roman" w:cs="Times New Roman"/>
                <w:sz w:val="20"/>
                <w:szCs w:val="20"/>
                <w:lang w:eastAsia="ru-RU" w:bidi="ar-SA"/>
              </w:rPr>
              <w:t>3256,5</w:t>
            </w:r>
          </w:p>
        </w:tc>
        <w:tc>
          <w:tcPr>
            <w:tcW w:w="1756" w:type="dxa"/>
            <w:tcBorders>
              <w:top w:val="single" w:sz="4" w:space="0" w:color="000000"/>
              <w:left w:val="single" w:sz="4" w:space="0" w:color="000000"/>
              <w:bottom w:val="single" w:sz="4" w:space="0" w:color="000000"/>
              <w:right w:val="single" w:sz="4" w:space="0" w:color="000000"/>
            </w:tcBorders>
            <w:shd w:color="auto" w:fill="auto" w:val="clear"/>
            <w:tcMar>
              <w:top w:w="0" w:type="dxa"/>
              <w:left w:w="28" w:type="dxa"/>
              <w:right w:w="28" w:type="dxa"/>
            </w:tcMar>
            <w:vAlign w:val="center"/>
          </w:tcPr>
          <w:p>
            <w:pPr>
              <w:pStyle w:val="Normal"/>
              <w:jc w:val="both"/>
              <w:rPr>
                <w:sz w:val="20"/>
                <w:szCs w:val="20"/>
              </w:rPr>
            </w:pPr>
            <w:r>
              <w:rPr>
                <w:sz w:val="20"/>
                <w:szCs w:val="20"/>
                <w:lang w:eastAsia="ru-RU"/>
              </w:rPr>
              <w:t>3256,5</w:t>
            </w:r>
          </w:p>
        </w:tc>
        <w:tc>
          <w:tcPr>
            <w:tcW w:w="1128" w:type="dxa"/>
            <w:tcBorders>
              <w:top w:val="single" w:sz="4" w:space="0" w:color="000000"/>
              <w:left w:val="single" w:sz="4" w:space="0" w:color="000000"/>
              <w:bottom w:val="single" w:sz="4" w:space="0" w:color="000000"/>
              <w:right w:val="single" w:sz="4" w:space="0" w:color="000000"/>
            </w:tcBorders>
            <w:shd w:color="auto" w:fill="auto" w:val="clear"/>
            <w:tcMar>
              <w:top w:w="0" w:type="dxa"/>
              <w:left w:w="28" w:type="dxa"/>
              <w:right w:w="28" w:type="dxa"/>
            </w:tcMar>
            <w:vAlign w:val="center"/>
          </w:tcPr>
          <w:p>
            <w:pPr>
              <w:pStyle w:val="Normal"/>
              <w:jc w:val="both"/>
              <w:rPr>
                <w:sz w:val="20"/>
                <w:szCs w:val="20"/>
              </w:rPr>
            </w:pPr>
            <w:r>
              <w:rPr>
                <w:sz w:val="20"/>
                <w:szCs w:val="20"/>
                <w:lang w:eastAsia="ru-RU"/>
              </w:rPr>
              <w:t xml:space="preserve">3549,58 </w:t>
            </w:r>
          </w:p>
        </w:tc>
        <w:tc>
          <w:tcPr>
            <w:tcW w:w="72" w:type="dxa"/>
            <w:tcBorders/>
          </w:tcPr>
          <w:p>
            <w:pPr>
              <w:pStyle w:val="Normal"/>
              <w:rPr>
                <w:rFonts w:eastAsia="Calibri"/>
                <w:b/>
                <w:b/>
                <w:lang w:eastAsia="en-US"/>
              </w:rPr>
            </w:pPr>
            <w:r>
              <w:rPr>
                <w:rFonts w:eastAsia="Calibri"/>
                <w:b/>
                <w:lang w:eastAsia="en-US"/>
              </w:rPr>
            </w:r>
          </w:p>
        </w:tc>
      </w:tr>
    </w:tbl>
    <w:p>
      <w:pPr>
        <w:pStyle w:val="Normal"/>
        <w:keepNext w:val="true"/>
        <w:keepLines/>
        <w:ind w:firstLine="709"/>
        <w:jc w:val="both"/>
        <w:rPr>
          <w:rFonts w:eastAsia="Calibri Light" w:cs="Calibri Light"/>
          <w:b/>
          <w:b/>
          <w:lang w:eastAsia="en-US"/>
        </w:rPr>
      </w:pPr>
      <w:bookmarkStart w:id="851" w:name="_Toc181340425"/>
      <w:bookmarkStart w:id="852" w:name="_Toc160529959"/>
      <w:bookmarkStart w:id="853" w:name="sub_1492"/>
      <w:bookmarkStart w:id="854" w:name="_Toc535409545"/>
      <w:bookmarkEnd w:id="853"/>
      <w:bookmarkEnd w:id="854"/>
      <w:r>
        <w:rPr>
          <w:rFonts w:eastAsia="Calibri Light" w:cs="Calibri Light"/>
          <w:b/>
          <w:lang w:eastAsia="en-US"/>
        </w:rPr>
        <w:t>1.11.2. Описание структуры цен (тарифов), установленных на момент разработки схемы теплоснабжения</w:t>
      </w:r>
      <w:bookmarkEnd w:id="851"/>
      <w:bookmarkEnd w:id="852"/>
    </w:p>
    <w:p>
      <w:pPr>
        <w:pStyle w:val="Normal"/>
        <w:keepNext w:val="true"/>
        <w:keepLines/>
        <w:ind w:firstLine="709"/>
        <w:jc w:val="both"/>
        <w:rPr>
          <w:rFonts w:eastAsia="Calibri Light" w:cs="Calibri Light"/>
          <w:b/>
          <w:b/>
          <w:lang w:eastAsia="en-US"/>
        </w:rPr>
      </w:pPr>
      <w:r>
        <w:rPr>
          <w:rFonts w:eastAsia="Calibri" w:cs="Calibri"/>
          <w:szCs w:val="22"/>
          <w:lang w:eastAsia="en-US"/>
        </w:rPr>
        <w:t xml:space="preserve">Регулирование тарифов (цен) основывается на принципе обязательности раздельного учета организациями, осуществляющими регулируемую деятельность, объемов продукции (услуг), доходов и расходов по производству, передаче и сбыту энергии в соответствии с законодательством Российской Федерации. </w:t>
      </w:r>
    </w:p>
    <w:p>
      <w:pPr>
        <w:pStyle w:val="Normal"/>
        <w:keepNext w:val="true"/>
        <w:keepLines/>
        <w:ind w:firstLine="709"/>
        <w:jc w:val="both"/>
        <w:rPr>
          <w:rFonts w:eastAsia="Calibri Light" w:cs="Calibri Light"/>
          <w:b/>
          <w:b/>
          <w:lang w:eastAsia="en-US"/>
        </w:rPr>
      </w:pPr>
      <w:r>
        <w:rPr>
          <w:rFonts w:eastAsia="Calibri" w:cs="Calibri"/>
          <w:szCs w:val="22"/>
          <w:lang w:eastAsia="en-US"/>
        </w:rPr>
        <w:t xml:space="preserve">Расходы, связанные с производством и реализацией продукции (услуг) по регулируемым видам деятельности, включают следующие группы расходов: </w:t>
      </w:r>
    </w:p>
    <w:p>
      <w:pPr>
        <w:pStyle w:val="Normal"/>
        <w:keepNext w:val="true"/>
        <w:keepLines/>
        <w:ind w:firstLine="709"/>
        <w:jc w:val="both"/>
        <w:rPr>
          <w:rFonts w:eastAsia="Calibri Light" w:cs="Calibri Light"/>
          <w:b/>
          <w:b/>
          <w:lang w:eastAsia="en-US"/>
        </w:rPr>
      </w:pPr>
      <w:r>
        <w:rPr>
          <w:rFonts w:eastAsia="Calibri" w:cs="Calibri"/>
          <w:szCs w:val="22"/>
          <w:lang w:eastAsia="en-US"/>
        </w:rPr>
        <w:t xml:space="preserve">1) на топливо; </w:t>
      </w:r>
    </w:p>
    <w:p>
      <w:pPr>
        <w:pStyle w:val="Normal"/>
        <w:keepNext w:val="true"/>
        <w:keepLines/>
        <w:ind w:firstLine="709"/>
        <w:jc w:val="both"/>
        <w:rPr>
          <w:rFonts w:eastAsia="Calibri Light" w:cs="Calibri Light"/>
          <w:b/>
          <w:b/>
          <w:lang w:eastAsia="en-US"/>
        </w:rPr>
      </w:pPr>
      <w:r>
        <w:rPr>
          <w:rFonts w:eastAsia="Calibri" w:cs="Calibri"/>
          <w:szCs w:val="22"/>
          <w:lang w:eastAsia="en-US"/>
        </w:rPr>
        <w:t xml:space="preserve">2) на покупаемую электрическую и тепловую энергию; </w:t>
      </w:r>
    </w:p>
    <w:p>
      <w:pPr>
        <w:pStyle w:val="Normal"/>
        <w:keepNext w:val="true"/>
        <w:keepLines/>
        <w:ind w:firstLine="709"/>
        <w:jc w:val="both"/>
        <w:rPr>
          <w:rFonts w:eastAsia="Calibri Light" w:cs="Calibri Light"/>
          <w:b/>
          <w:b/>
          <w:lang w:eastAsia="en-US"/>
        </w:rPr>
      </w:pPr>
      <w:r>
        <w:rPr>
          <w:rFonts w:eastAsia="Calibri" w:cs="Calibri"/>
          <w:szCs w:val="22"/>
          <w:lang w:eastAsia="en-US"/>
        </w:rPr>
        <w:t xml:space="preserve">3) на оплату услуг, оказываемых организациями, осуществляющими регулируемую деятельность; </w:t>
      </w:r>
    </w:p>
    <w:p>
      <w:pPr>
        <w:pStyle w:val="Normal"/>
        <w:keepNext w:val="true"/>
        <w:keepLines/>
        <w:ind w:firstLine="709"/>
        <w:jc w:val="both"/>
        <w:rPr>
          <w:rFonts w:eastAsia="Calibri Light" w:cs="Calibri Light"/>
          <w:b/>
          <w:b/>
          <w:lang w:eastAsia="en-US"/>
        </w:rPr>
      </w:pPr>
      <w:r>
        <w:rPr>
          <w:rFonts w:eastAsia="Calibri" w:cs="Calibri"/>
          <w:szCs w:val="22"/>
          <w:lang w:eastAsia="en-US"/>
        </w:rPr>
        <w:t xml:space="preserve">4) на сырье и материалы; </w:t>
      </w:r>
    </w:p>
    <w:p>
      <w:pPr>
        <w:pStyle w:val="Normal"/>
        <w:keepNext w:val="true"/>
        <w:keepLines/>
        <w:ind w:firstLine="709"/>
        <w:jc w:val="both"/>
        <w:rPr>
          <w:rFonts w:eastAsia="Calibri Light" w:cs="Calibri Light"/>
          <w:b/>
          <w:b/>
          <w:lang w:eastAsia="en-US"/>
        </w:rPr>
      </w:pPr>
      <w:r>
        <w:rPr>
          <w:rFonts w:eastAsia="Calibri" w:cs="Calibri"/>
          <w:szCs w:val="22"/>
          <w:lang w:eastAsia="en-US"/>
        </w:rPr>
        <w:t xml:space="preserve">5) на ремонт основных средств; </w:t>
      </w:r>
    </w:p>
    <w:p>
      <w:pPr>
        <w:pStyle w:val="Normal"/>
        <w:keepNext w:val="true"/>
        <w:keepLines/>
        <w:ind w:firstLine="709"/>
        <w:jc w:val="both"/>
        <w:rPr>
          <w:rFonts w:eastAsia="Calibri Light" w:cs="Calibri Light"/>
          <w:b/>
          <w:b/>
          <w:lang w:eastAsia="en-US"/>
        </w:rPr>
      </w:pPr>
      <w:r>
        <w:rPr>
          <w:rFonts w:eastAsia="Calibri" w:cs="Calibri"/>
          <w:szCs w:val="22"/>
          <w:lang w:eastAsia="en-US"/>
        </w:rPr>
        <w:t xml:space="preserve">6) на оплату труда и отчисления на социальные нужды; </w:t>
      </w:r>
    </w:p>
    <w:p>
      <w:pPr>
        <w:pStyle w:val="Normal"/>
        <w:keepNext w:val="true"/>
        <w:keepLines/>
        <w:numPr>
          <w:ilvl w:val="0"/>
          <w:numId w:val="0"/>
        </w:numPr>
        <w:ind w:left="0" w:firstLine="709"/>
        <w:jc w:val="both"/>
        <w:outlineLvl w:val="2"/>
        <w:rPr>
          <w:rFonts w:eastAsia="Calibri Light" w:cs="Calibri Light"/>
          <w:b/>
          <w:b/>
          <w:lang w:eastAsia="en-US"/>
        </w:rPr>
      </w:pPr>
      <w:r>
        <w:rPr>
          <w:rFonts w:eastAsia="Calibri" w:cs="Calibri"/>
          <w:szCs w:val="22"/>
          <w:lang w:eastAsia="en-US"/>
        </w:rPr>
        <w:t xml:space="preserve">7) на амортизацию основных средств и нематериальных активов; </w:t>
      </w:r>
    </w:p>
    <w:p>
      <w:pPr>
        <w:pStyle w:val="Normal"/>
        <w:keepNext w:val="true"/>
        <w:keepLines/>
        <w:numPr>
          <w:ilvl w:val="0"/>
          <w:numId w:val="0"/>
        </w:numPr>
        <w:ind w:left="0" w:firstLine="709"/>
        <w:jc w:val="both"/>
        <w:outlineLvl w:val="2"/>
        <w:rPr>
          <w:rFonts w:eastAsia="Calibri Light" w:cs="Calibri Light"/>
          <w:b/>
          <w:b/>
          <w:lang w:eastAsia="en-US"/>
        </w:rPr>
      </w:pPr>
      <w:r>
        <w:rPr>
          <w:rFonts w:eastAsia="Calibri" w:cs="Calibri"/>
          <w:szCs w:val="22"/>
          <w:lang w:eastAsia="en-US"/>
        </w:rPr>
        <w:t>8) прочие расходы.</w:t>
      </w:r>
      <w:bookmarkStart w:id="855" w:name="_Toc535409546"/>
      <w:bookmarkStart w:id="856" w:name="_Toc181340426"/>
      <w:bookmarkStart w:id="857" w:name="_Toc160529960"/>
    </w:p>
    <w:p>
      <w:pPr>
        <w:pStyle w:val="Normal"/>
        <w:keepNext w:val="true"/>
        <w:keepLines/>
        <w:numPr>
          <w:ilvl w:val="0"/>
          <w:numId w:val="0"/>
        </w:numPr>
        <w:ind w:left="0" w:firstLine="709"/>
        <w:jc w:val="both"/>
        <w:outlineLvl w:val="2"/>
        <w:rPr>
          <w:rFonts w:eastAsia="Calibri Light" w:cs="Calibri Light"/>
          <w:b/>
          <w:b/>
          <w:lang w:eastAsia="en-US"/>
        </w:rPr>
      </w:pPr>
      <w:r>
        <w:rPr>
          <w:rFonts w:eastAsia="Calibri Light" w:cs="Calibri Light"/>
          <w:b/>
          <w:lang w:eastAsia="en-US"/>
        </w:rPr>
      </w:r>
    </w:p>
    <w:p>
      <w:pPr>
        <w:pStyle w:val="Normal"/>
        <w:keepNext w:val="true"/>
        <w:keepLines/>
        <w:numPr>
          <w:ilvl w:val="0"/>
          <w:numId w:val="0"/>
        </w:numPr>
        <w:ind w:left="0" w:firstLine="709"/>
        <w:jc w:val="both"/>
        <w:outlineLvl w:val="2"/>
        <w:rPr>
          <w:rFonts w:eastAsia="Calibri Light" w:cs="Calibri Light"/>
          <w:b/>
          <w:b/>
          <w:lang w:eastAsia="en-US"/>
        </w:rPr>
      </w:pPr>
      <w:r>
        <w:rPr>
          <w:rFonts w:eastAsia="Calibri Light" w:cs="Calibri Light"/>
          <w:b/>
          <w:lang w:eastAsia="en-US"/>
        </w:rPr>
        <w:t>1.11.3. Описание платы за подключение к системе теплоснабжения</w:t>
      </w:r>
      <w:bookmarkEnd w:id="855"/>
      <w:bookmarkEnd w:id="856"/>
      <w:bookmarkEnd w:id="857"/>
    </w:p>
    <w:p>
      <w:pPr>
        <w:pStyle w:val="Normal"/>
        <w:keepNext w:val="true"/>
        <w:keepLines/>
        <w:numPr>
          <w:ilvl w:val="0"/>
          <w:numId w:val="0"/>
        </w:numPr>
        <w:ind w:left="0" w:firstLine="709"/>
        <w:jc w:val="both"/>
        <w:outlineLvl w:val="2"/>
        <w:rPr>
          <w:rFonts w:eastAsia="Calibri"/>
          <w:b/>
          <w:b/>
          <w:lang w:eastAsia="en-US"/>
        </w:rPr>
      </w:pPr>
      <w:r>
        <w:rPr/>
        <w:t>В соответствии с требованиями Федерального закона от 27.07.2010 № 190-ФЗ                      «О теплоснабжении» потребители тепловой энергии, в том числе застройщики, планирующие подключение к системе теплоснабжения, заключают договоры о подключении к системе теплоснабжения и вносят плату за подключение к системе теплоснабжения.</w:t>
      </w:r>
    </w:p>
    <w:p>
      <w:pPr>
        <w:pStyle w:val="Normal"/>
        <w:keepNext w:val="true"/>
        <w:keepLines/>
        <w:numPr>
          <w:ilvl w:val="0"/>
          <w:numId w:val="0"/>
        </w:numPr>
        <w:ind w:left="0" w:firstLine="709"/>
        <w:jc w:val="both"/>
        <w:outlineLvl w:val="2"/>
        <w:rPr>
          <w:rFonts w:eastAsia="Calibri"/>
          <w:b/>
          <w:b/>
          <w:lang w:eastAsia="en-US"/>
        </w:rPr>
      </w:pPr>
      <w:r>
        <w:rPr/>
        <w:t xml:space="preserve">На момент актуализации Схемы приказом Региональной службы по тарифам Ханты-Мансийского автономного округа – Югры от </w:t>
      </w:r>
      <w:r>
        <w:rPr>
          <w:rFonts w:eastAsia="Tahoma"/>
        </w:rPr>
        <w:t>04.12.2018 № 75-нп</w:t>
      </w:r>
      <w:r>
        <w:rPr/>
        <w:t xml:space="preserve"> «</w:t>
      </w:r>
      <w:r>
        <w:rPr>
          <w:rFonts w:eastAsia="Tahoma"/>
        </w:rPr>
        <w:t>Об установлении платы за подключение к системам теплоснабжения на территории Ханты-Мансийского автономного округа – Югры»</w:t>
      </w:r>
      <w:r>
        <w:rPr/>
        <w:t xml:space="preserve"> для всех теплоснабжающих организаций на территории Ханты-Мансийского автономного округа – Югры установлена плата за подключение к системе теплоснабжения объектов капитального строительства заявителей, в том числе застройщиков, подключаемая тепловая нагрузка которых не превышает 0,1 Гкал/ч, в размере 550 рублей с учетом НДС.</w:t>
      </w:r>
      <w:bookmarkStart w:id="858" w:name="_Hlk161220935"/>
      <w:r>
        <w:rPr/>
        <w:t xml:space="preserve"> Плата за подключение к системе теплоснабжения в случае отсутствия технической возможности подключения для каждого потребителя, в том числе застройщика, устанавливается в индивидуальном порядке.</w:t>
      </w:r>
      <w:bookmarkStart w:id="859" w:name="_Toc160529961"/>
      <w:bookmarkStart w:id="860" w:name="_Toc181340427"/>
      <w:bookmarkEnd w:id="858"/>
    </w:p>
    <w:p>
      <w:pPr>
        <w:pStyle w:val="Normal"/>
        <w:keepNext w:val="true"/>
        <w:keepLines/>
        <w:numPr>
          <w:ilvl w:val="0"/>
          <w:numId w:val="0"/>
        </w:numPr>
        <w:ind w:left="0" w:firstLine="709"/>
        <w:jc w:val="both"/>
        <w:outlineLvl w:val="2"/>
        <w:rPr>
          <w:rFonts w:eastAsia="Calibri"/>
          <w:b/>
          <w:b/>
          <w:lang w:eastAsia="en-US"/>
        </w:rPr>
      </w:pPr>
      <w:r>
        <w:rPr>
          <w:rFonts w:eastAsia="Calibri"/>
          <w:b/>
          <w:lang w:eastAsia="en-US"/>
        </w:rPr>
      </w:r>
    </w:p>
    <w:p>
      <w:pPr>
        <w:pStyle w:val="Normal"/>
        <w:keepNext w:val="true"/>
        <w:keepLines/>
        <w:numPr>
          <w:ilvl w:val="0"/>
          <w:numId w:val="0"/>
        </w:numPr>
        <w:ind w:left="0" w:firstLine="709"/>
        <w:jc w:val="both"/>
        <w:outlineLvl w:val="2"/>
        <w:rPr>
          <w:rFonts w:eastAsia="Calibri"/>
          <w:b/>
          <w:b/>
          <w:lang w:eastAsia="en-US"/>
        </w:rPr>
      </w:pPr>
      <w:r>
        <w:rPr>
          <w:rFonts w:eastAsia="Calibri Light" w:cs="Calibri Light"/>
          <w:b/>
          <w:lang w:eastAsia="en-US"/>
        </w:rPr>
        <w:t>1.11.4. Описание платы за услуги по поддержанию резервной тепловой мощности, в том числе для социально значимых категорий потребителей</w:t>
      </w:r>
      <w:bookmarkEnd w:id="859"/>
      <w:bookmarkEnd w:id="860"/>
    </w:p>
    <w:p>
      <w:pPr>
        <w:pStyle w:val="Normal"/>
        <w:keepNext w:val="true"/>
        <w:keepLines/>
        <w:numPr>
          <w:ilvl w:val="0"/>
          <w:numId w:val="0"/>
        </w:numPr>
        <w:ind w:left="0" w:firstLine="709"/>
        <w:jc w:val="both"/>
        <w:outlineLvl w:val="2"/>
        <w:rPr>
          <w:rFonts w:eastAsia="Calibri"/>
          <w:b/>
          <w:b/>
          <w:lang w:eastAsia="en-US"/>
        </w:rPr>
      </w:pPr>
      <w:r>
        <w:rPr/>
        <w:t>Согласно постановлению Правительства Российской Федерации от 22.10.2012 № 1075 «О ценообразовании в сфере теплоснабжения», плата за услуги по поддержанию резервной тепловой мощности устанавливается органами регулирования для категорий (групп) социально значимых потребителей, если указанные потребители не потребляют тепловую энергию, но не осуществили отсоединение принадлежащих им теплопотребляющих установок от тепловой сети в целях сохранения возможности возобновить потребление тепловой энергии при возникновении такой необходимости.</w:t>
      </w:r>
    </w:p>
    <w:p>
      <w:pPr>
        <w:pStyle w:val="Normal"/>
        <w:keepNext w:val="true"/>
        <w:keepLines/>
        <w:numPr>
          <w:ilvl w:val="0"/>
          <w:numId w:val="0"/>
        </w:numPr>
        <w:ind w:left="0" w:firstLine="709"/>
        <w:jc w:val="both"/>
        <w:outlineLvl w:val="2"/>
        <w:rPr>
          <w:rFonts w:eastAsia="Calibri"/>
          <w:b/>
          <w:b/>
          <w:lang w:eastAsia="en-US"/>
        </w:rPr>
      </w:pPr>
      <w:r>
        <w:rPr/>
        <w:t xml:space="preserve">Плата за услуги по поддержанию резервной тепловой мощности единой теплоснабжающей организации устанавливается равной ставке за мощность единого тарифа на тепловую энергию (мощность) в зоне ее деятельности или, если в зоне ее деятельности установлен одноставочный единый тариф на тепловую энергию (мощность), равной ставке за мощность двухставочного единого тарифа на тепловую энергию (мощность). </w:t>
      </w:r>
    </w:p>
    <w:p>
      <w:pPr>
        <w:pStyle w:val="Normal"/>
        <w:keepNext w:val="true"/>
        <w:keepLines/>
        <w:numPr>
          <w:ilvl w:val="0"/>
          <w:numId w:val="0"/>
        </w:numPr>
        <w:ind w:left="0" w:firstLine="709"/>
        <w:jc w:val="both"/>
        <w:outlineLvl w:val="2"/>
        <w:rPr>
          <w:rFonts w:eastAsia="Calibri"/>
          <w:b/>
          <w:b/>
          <w:lang w:eastAsia="en-US"/>
        </w:rPr>
      </w:pPr>
      <w:r>
        <w:rPr/>
        <w:t>К социально значимым потребителям, для которых устанавливается плата за услуги по поддержанию резервной тепловой мощности, относятся категории (группы) потребителей, определенные пунктом 115 Основ ценообразования в сфере теплоснабжения, утвержденных постановлением Правительства Российской Федерации от 22.10.2012 № 1075.</w:t>
      </w:r>
    </w:p>
    <w:p>
      <w:pPr>
        <w:pStyle w:val="Normal"/>
        <w:keepNext w:val="true"/>
        <w:keepLines/>
        <w:numPr>
          <w:ilvl w:val="0"/>
          <w:numId w:val="0"/>
        </w:numPr>
        <w:ind w:left="0" w:firstLine="709"/>
        <w:jc w:val="both"/>
        <w:outlineLvl w:val="2"/>
        <w:rPr>
          <w:rFonts w:eastAsia="Calibri"/>
          <w:b/>
          <w:b/>
          <w:lang w:eastAsia="en-US"/>
        </w:rPr>
      </w:pPr>
      <w:r>
        <w:rPr/>
        <w:t>Плата за услуги по поддержанию резервной тепловой мощности на территории поселения регулирующими органами не устанавливалась.</w:t>
      </w:r>
      <w:bookmarkStart w:id="861" w:name="_Toc181340428"/>
      <w:bookmarkStart w:id="862" w:name="_Toc160529962"/>
    </w:p>
    <w:p>
      <w:pPr>
        <w:pStyle w:val="Normal"/>
        <w:keepNext w:val="true"/>
        <w:keepLines/>
        <w:numPr>
          <w:ilvl w:val="0"/>
          <w:numId w:val="0"/>
        </w:numPr>
        <w:ind w:left="0" w:firstLine="709"/>
        <w:jc w:val="both"/>
        <w:outlineLvl w:val="2"/>
        <w:rPr>
          <w:rFonts w:eastAsia="Calibri"/>
          <w:b/>
          <w:b/>
          <w:lang w:eastAsia="en-US"/>
        </w:rPr>
      </w:pPr>
      <w:r>
        <w:rPr>
          <w:rFonts w:eastAsia="Calibri"/>
          <w:b/>
          <w:lang w:eastAsia="en-US"/>
        </w:rPr>
      </w:r>
    </w:p>
    <w:p>
      <w:pPr>
        <w:pStyle w:val="Normal"/>
        <w:keepNext w:val="true"/>
        <w:keepLines/>
        <w:numPr>
          <w:ilvl w:val="0"/>
          <w:numId w:val="0"/>
        </w:numPr>
        <w:ind w:left="0" w:firstLine="709"/>
        <w:jc w:val="both"/>
        <w:outlineLvl w:val="2"/>
        <w:rPr>
          <w:rFonts w:eastAsia="Calibri"/>
          <w:b/>
          <w:b/>
          <w:lang w:eastAsia="en-US"/>
        </w:rPr>
      </w:pPr>
      <w:r>
        <w:rPr>
          <w:rFonts w:eastAsia="Calibri Light" w:cs="Calibri Light"/>
          <w:b/>
          <w:lang w:eastAsia="en-US"/>
        </w:rPr>
        <w:t>1.11.5. Описание динамики предельных уровней цен на тепловую энергию (мощность), поставляемую потребителям, утверждаемых в ценовых зонах теплоснабжения с учетом последних 3 лет</w:t>
      </w:r>
      <w:bookmarkEnd w:id="861"/>
      <w:bookmarkEnd w:id="862"/>
    </w:p>
    <w:p>
      <w:pPr>
        <w:pStyle w:val="Normal"/>
        <w:keepNext w:val="true"/>
        <w:keepLines/>
        <w:numPr>
          <w:ilvl w:val="0"/>
          <w:numId w:val="0"/>
        </w:numPr>
        <w:ind w:left="0" w:firstLine="709"/>
        <w:jc w:val="both"/>
        <w:outlineLvl w:val="2"/>
        <w:rPr>
          <w:rFonts w:eastAsia="Calibri"/>
          <w:b/>
          <w:b/>
          <w:lang w:eastAsia="en-US"/>
        </w:rPr>
      </w:pPr>
      <w:r>
        <w:rPr/>
        <w:t xml:space="preserve">Территория поселения не относится к ценовой зоне теплоснабжения. </w:t>
      </w:r>
      <w:bookmarkStart w:id="863" w:name="_Toc181340429"/>
      <w:bookmarkStart w:id="864" w:name="_Toc160529963"/>
    </w:p>
    <w:p>
      <w:pPr>
        <w:pStyle w:val="Normal"/>
        <w:keepNext w:val="true"/>
        <w:keepLines/>
        <w:numPr>
          <w:ilvl w:val="0"/>
          <w:numId w:val="0"/>
        </w:numPr>
        <w:ind w:left="0" w:firstLine="709"/>
        <w:jc w:val="both"/>
        <w:outlineLvl w:val="2"/>
        <w:rPr>
          <w:rFonts w:eastAsia="Calibri"/>
          <w:b/>
          <w:b/>
          <w:lang w:eastAsia="en-US"/>
        </w:rPr>
      </w:pPr>
      <w:r>
        <w:rPr>
          <w:rFonts w:eastAsia="Calibri"/>
          <w:b/>
          <w:lang w:eastAsia="en-US"/>
        </w:rPr>
      </w:r>
    </w:p>
    <w:p>
      <w:pPr>
        <w:pStyle w:val="Normal"/>
        <w:keepNext w:val="true"/>
        <w:keepLines/>
        <w:numPr>
          <w:ilvl w:val="0"/>
          <w:numId w:val="0"/>
        </w:numPr>
        <w:ind w:left="0" w:firstLine="709"/>
        <w:jc w:val="both"/>
        <w:outlineLvl w:val="2"/>
        <w:rPr>
          <w:rFonts w:eastAsia="Calibri"/>
          <w:b/>
          <w:b/>
          <w:lang w:eastAsia="en-US"/>
        </w:rPr>
      </w:pPr>
      <w:r>
        <w:rPr>
          <w:rFonts w:eastAsia="Calibri Light" w:cs="Calibri Light"/>
          <w:b/>
          <w:lang w:eastAsia="en-US"/>
        </w:rPr>
        <w:t>1.11.6. Описание средневзвешенного уровня сложившихся за последние 3 года цен на тепловую энергию (мощность), поставляемую единой теплоснабжающей организацией потребителям в ценовых зонах теплоснабжения</w:t>
      </w:r>
      <w:bookmarkEnd w:id="863"/>
      <w:bookmarkEnd w:id="864"/>
    </w:p>
    <w:p>
      <w:pPr>
        <w:pStyle w:val="Normal"/>
        <w:keepNext w:val="true"/>
        <w:keepLines/>
        <w:numPr>
          <w:ilvl w:val="0"/>
          <w:numId w:val="0"/>
        </w:numPr>
        <w:ind w:left="0" w:firstLine="709"/>
        <w:jc w:val="both"/>
        <w:outlineLvl w:val="2"/>
        <w:rPr>
          <w:rFonts w:eastAsia="Calibri"/>
          <w:b/>
          <w:b/>
          <w:lang w:eastAsia="en-US"/>
        </w:rPr>
      </w:pPr>
      <w:r>
        <w:rPr>
          <w:rFonts w:eastAsia="Calibri" w:cs="Calibri"/>
          <w:szCs w:val="22"/>
          <w:lang w:eastAsia="en-US"/>
        </w:rPr>
        <w:t xml:space="preserve">Изменение величины средневзвешенного тарифа на тепловую энергию приведено в таблице 21. </w:t>
      </w:r>
    </w:p>
    <w:p>
      <w:pPr>
        <w:pStyle w:val="Normal"/>
        <w:jc w:val="right"/>
        <w:rPr>
          <w:rFonts w:eastAsia="Calibri"/>
          <w:iCs/>
          <w:szCs w:val="18"/>
          <w:lang w:eastAsia="en-US"/>
        </w:rPr>
      </w:pPr>
      <w:r>
        <w:rPr>
          <w:rFonts w:eastAsia="Calibri" w:cs="Calibri"/>
          <w:iCs/>
          <w:szCs w:val="18"/>
          <w:lang w:eastAsia="en-US"/>
        </w:rPr>
        <w:t xml:space="preserve">Таблица 21 – Динамика средневзвешенного тарифа на отпущенную тепловую энергию за период с 2022 по 2024 гг </w:t>
      </w:r>
    </w:p>
    <w:tbl>
      <w:tblPr>
        <w:tblW w:w="4900" w:type="pct"/>
        <w:jc w:val="left"/>
        <w:tblInd w:w="108" w:type="dxa"/>
        <w:tblCellMar>
          <w:top w:w="0" w:type="dxa"/>
          <w:left w:w="108" w:type="dxa"/>
          <w:bottom w:w="0" w:type="dxa"/>
          <w:right w:w="108" w:type="dxa"/>
        </w:tblCellMar>
        <w:tblLook w:val="04a0" w:noVBand="1" w:noHBand="0" w:lastColumn="0" w:firstColumn="1" w:lastRow="0" w:firstRow="1"/>
      </w:tblPr>
      <w:tblGrid>
        <w:gridCol w:w="816"/>
        <w:gridCol w:w="3114"/>
        <w:gridCol w:w="1481"/>
        <w:gridCol w:w="1352"/>
        <w:gridCol w:w="1341"/>
        <w:gridCol w:w="1340"/>
      </w:tblGrid>
      <w:tr>
        <w:trPr/>
        <w:tc>
          <w:tcPr>
            <w:tcW w:w="816"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rPr>
            </w:pPr>
            <w:r>
              <w:rPr>
                <w:sz w:val="20"/>
                <w:szCs w:val="20"/>
              </w:rPr>
              <w:t xml:space="preserve">№ </w:t>
            </w:r>
            <w:r>
              <w:rPr>
                <w:sz w:val="20"/>
                <w:szCs w:val="20"/>
              </w:rPr>
              <w:t>п/п</w:t>
            </w:r>
          </w:p>
        </w:tc>
        <w:tc>
          <w:tcPr>
            <w:tcW w:w="31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rPr>
              <w:t>Наименование муниципального образования</w:t>
            </w:r>
          </w:p>
        </w:tc>
        <w:tc>
          <w:tcPr>
            <w:tcW w:w="14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rPr>
              <w:t>Ед. изм.</w:t>
            </w:r>
          </w:p>
        </w:tc>
        <w:tc>
          <w:tcPr>
            <w:tcW w:w="13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rPr>
              <w:t>2022 год</w:t>
            </w:r>
          </w:p>
        </w:tc>
        <w:tc>
          <w:tcPr>
            <w:tcW w:w="134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2023 год</w:t>
            </w:r>
          </w:p>
        </w:tc>
        <w:tc>
          <w:tcPr>
            <w:tcW w:w="134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2024 год</w:t>
            </w:r>
          </w:p>
        </w:tc>
      </w:tr>
      <w:tr>
        <w:trPr>
          <w:trHeight w:val="359" w:hRule="atLeast"/>
        </w:trPr>
        <w:tc>
          <w:tcPr>
            <w:tcW w:w="816"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rPr>
            </w:pPr>
            <w:r>
              <w:rPr>
                <w:sz w:val="20"/>
                <w:szCs w:val="20"/>
              </w:rPr>
              <w:t>1</w:t>
            </w:r>
          </w:p>
        </w:tc>
        <w:tc>
          <w:tcPr>
            <w:tcW w:w="31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rPr>
              <w:t>Тариф на тепло (без НДС)</w:t>
            </w:r>
          </w:p>
        </w:tc>
        <w:tc>
          <w:tcPr>
            <w:tcW w:w="14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rPr>
              <w:t>руб/Гкал</w:t>
            </w:r>
          </w:p>
        </w:tc>
        <w:tc>
          <w:tcPr>
            <w:tcW w:w="1352" w:type="dxa"/>
            <w:tcBorders>
              <w:left w:val="single" w:sz="8" w:space="0" w:color="000000"/>
              <w:bottom w:val="single" w:sz="8" w:space="0" w:color="000000"/>
              <w:right w:val="single" w:sz="8" w:space="0" w:color="000000"/>
            </w:tcBorders>
            <w:shd w:color="auto" w:fill="auto" w:val="clear"/>
            <w:vAlign w:val="center"/>
          </w:tcPr>
          <w:p>
            <w:pPr>
              <w:pStyle w:val="Normal"/>
              <w:jc w:val="center"/>
              <w:rPr>
                <w:sz w:val="20"/>
                <w:szCs w:val="20"/>
              </w:rPr>
            </w:pPr>
            <w:r>
              <w:rPr>
                <w:sz w:val="20"/>
                <w:szCs w:val="20"/>
              </w:rPr>
              <w:t>3044,72</w:t>
            </w:r>
          </w:p>
        </w:tc>
        <w:tc>
          <w:tcPr>
            <w:tcW w:w="1341" w:type="dxa"/>
            <w:tcBorders>
              <w:bottom w:val="single" w:sz="8" w:space="0" w:color="000000"/>
              <w:right w:val="single" w:sz="8" w:space="0" w:color="000000"/>
            </w:tcBorders>
            <w:shd w:color="auto" w:fill="auto" w:val="clear"/>
            <w:vAlign w:val="center"/>
          </w:tcPr>
          <w:p>
            <w:pPr>
              <w:pStyle w:val="Normal"/>
              <w:jc w:val="center"/>
              <w:rPr>
                <w:sz w:val="20"/>
                <w:szCs w:val="20"/>
              </w:rPr>
            </w:pPr>
            <w:r>
              <w:rPr>
                <w:sz w:val="20"/>
                <w:szCs w:val="20"/>
              </w:rPr>
              <w:t>3154,32</w:t>
            </w:r>
          </w:p>
        </w:tc>
        <w:tc>
          <w:tcPr>
            <w:tcW w:w="1340" w:type="dxa"/>
            <w:tcBorders>
              <w:bottom w:val="single" w:sz="8" w:space="0" w:color="000000"/>
              <w:right w:val="single" w:sz="8" w:space="0" w:color="000000"/>
            </w:tcBorders>
            <w:shd w:color="auto" w:fill="auto" w:val="clear"/>
            <w:vAlign w:val="center"/>
          </w:tcPr>
          <w:p>
            <w:pPr>
              <w:pStyle w:val="Normal"/>
              <w:jc w:val="center"/>
              <w:rPr>
                <w:sz w:val="20"/>
                <w:szCs w:val="20"/>
              </w:rPr>
            </w:pPr>
            <w:r>
              <w:rPr>
                <w:sz w:val="20"/>
                <w:szCs w:val="20"/>
              </w:rPr>
              <w:t>2476,1</w:t>
            </w:r>
          </w:p>
        </w:tc>
      </w:tr>
      <w:tr>
        <w:trPr/>
        <w:tc>
          <w:tcPr>
            <w:tcW w:w="816"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rPr>
            </w:pPr>
            <w:r>
              <w:rPr>
                <w:sz w:val="20"/>
                <w:szCs w:val="20"/>
              </w:rPr>
              <w:t>2</w:t>
            </w:r>
          </w:p>
        </w:tc>
        <w:tc>
          <w:tcPr>
            <w:tcW w:w="31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rPr>
              <w:t>Изменение</w:t>
            </w:r>
          </w:p>
        </w:tc>
        <w:tc>
          <w:tcPr>
            <w:tcW w:w="14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rPr>
              <w:t>%</w:t>
            </w:r>
          </w:p>
        </w:tc>
        <w:tc>
          <w:tcPr>
            <w:tcW w:w="1352" w:type="dxa"/>
            <w:tcBorders>
              <w:left w:val="single" w:sz="8" w:space="0" w:color="000000"/>
              <w:bottom w:val="single" w:sz="8" w:space="0" w:color="000000"/>
              <w:right w:val="single" w:sz="8" w:space="0" w:color="000000"/>
            </w:tcBorders>
            <w:shd w:color="auto" w:fill="auto" w:val="clear"/>
            <w:vAlign w:val="center"/>
          </w:tcPr>
          <w:p>
            <w:pPr>
              <w:pStyle w:val="Normal"/>
              <w:jc w:val="center"/>
              <w:rPr>
                <w:sz w:val="20"/>
                <w:szCs w:val="20"/>
              </w:rPr>
            </w:pPr>
            <w:r>
              <w:rPr>
                <w:sz w:val="20"/>
                <w:szCs w:val="20"/>
              </w:rPr>
              <w:t> </w:t>
            </w:r>
          </w:p>
        </w:tc>
        <w:tc>
          <w:tcPr>
            <w:tcW w:w="1341" w:type="dxa"/>
            <w:tcBorders>
              <w:bottom w:val="single" w:sz="8" w:space="0" w:color="000000"/>
              <w:right w:val="single" w:sz="8" w:space="0" w:color="000000"/>
            </w:tcBorders>
            <w:shd w:color="auto" w:fill="auto" w:val="clear"/>
            <w:vAlign w:val="center"/>
          </w:tcPr>
          <w:p>
            <w:pPr>
              <w:pStyle w:val="Normal"/>
              <w:jc w:val="center"/>
              <w:rPr>
                <w:sz w:val="20"/>
                <w:szCs w:val="20"/>
              </w:rPr>
            </w:pPr>
            <w:r>
              <w:rPr>
                <w:sz w:val="20"/>
                <w:szCs w:val="20"/>
              </w:rPr>
              <w:t>3,60</w:t>
            </w:r>
          </w:p>
        </w:tc>
        <w:tc>
          <w:tcPr>
            <w:tcW w:w="1340" w:type="dxa"/>
            <w:tcBorders>
              <w:bottom w:val="single" w:sz="8" w:space="0" w:color="000000"/>
              <w:right w:val="single" w:sz="8" w:space="0" w:color="000000"/>
            </w:tcBorders>
            <w:shd w:color="auto" w:fill="auto" w:val="clear"/>
            <w:vAlign w:val="center"/>
          </w:tcPr>
          <w:p>
            <w:pPr>
              <w:pStyle w:val="Normal"/>
              <w:jc w:val="center"/>
              <w:rPr>
                <w:sz w:val="20"/>
                <w:szCs w:val="20"/>
              </w:rPr>
            </w:pPr>
            <w:r>
              <w:rPr>
                <w:sz w:val="20"/>
                <w:szCs w:val="20"/>
              </w:rPr>
              <w:t>-21,50</w:t>
            </w:r>
            <w:bookmarkStart w:id="865" w:name="_Hlk160526405"/>
            <w:bookmarkEnd w:id="865"/>
          </w:p>
        </w:tc>
      </w:tr>
    </w:tbl>
    <w:p>
      <w:pPr>
        <w:pStyle w:val="Normal"/>
        <w:ind w:left="709" w:hanging="0"/>
        <w:jc w:val="both"/>
        <w:rPr>
          <w:rFonts w:eastAsia="Calibri"/>
          <w:szCs w:val="22"/>
          <w:lang w:eastAsia="en-US"/>
        </w:rPr>
      </w:pPr>
      <w:r>
        <w:rPr>
          <w:rFonts w:eastAsia="Calibri"/>
          <w:szCs w:val="22"/>
          <w:lang w:eastAsia="en-US"/>
        </w:rPr>
      </w:r>
    </w:p>
    <w:p>
      <w:pPr>
        <w:pStyle w:val="Normal"/>
        <w:keepNext w:val="true"/>
        <w:keepLines/>
        <w:numPr>
          <w:ilvl w:val="0"/>
          <w:numId w:val="0"/>
        </w:numPr>
        <w:ind w:left="0" w:firstLine="709"/>
        <w:jc w:val="both"/>
        <w:outlineLvl w:val="2"/>
        <w:rPr>
          <w:rFonts w:eastAsia="Calibri Light" w:cs="Calibri Light"/>
          <w:b/>
          <w:b/>
          <w:lang w:eastAsia="en-US"/>
        </w:rPr>
      </w:pPr>
      <w:bookmarkStart w:id="866" w:name="_Toc160529964"/>
      <w:bookmarkStart w:id="867" w:name="_Toc181340430"/>
      <w:r>
        <w:rPr>
          <w:rFonts w:eastAsia="Calibri Light" w:cs="Calibri Light"/>
          <w:b/>
          <w:lang w:eastAsia="en-US"/>
        </w:rPr>
        <w:t>1.11.7. Описание изменений в утвержденных ценах (тарифах), устанавливаемых исполнительными органами субъекта Российской Федерации, зафиксированных за период, предшествующий актуализации схемы теплоснабжения</w:t>
      </w:r>
      <w:bookmarkEnd w:id="866"/>
      <w:bookmarkEnd w:id="867"/>
    </w:p>
    <w:p>
      <w:pPr>
        <w:pStyle w:val="Normal"/>
        <w:keepNext w:val="true"/>
        <w:keepLines/>
        <w:numPr>
          <w:ilvl w:val="0"/>
          <w:numId w:val="0"/>
        </w:numPr>
        <w:ind w:left="0" w:firstLine="709"/>
        <w:jc w:val="both"/>
        <w:outlineLvl w:val="2"/>
        <w:rPr>
          <w:rFonts w:eastAsia="Calibri" w:cs="Calibri"/>
          <w:szCs w:val="22"/>
          <w:lang w:eastAsia="en-US"/>
        </w:rPr>
      </w:pPr>
      <w:r>
        <w:rPr>
          <w:rFonts w:eastAsia="Calibri" w:cs="Calibri"/>
          <w:szCs w:val="22"/>
          <w:lang w:eastAsia="en-US"/>
        </w:rPr>
        <w:t>Динамика изменения средневзвешенного тарифа на отпущенную тепловую энергию в 2022 – 2024 годах приведена в таблице 2</w:t>
      </w:r>
      <w:bookmarkStart w:id="868" w:name="_Hlk160646876"/>
      <w:bookmarkStart w:id="869" w:name="_Hlk160709922"/>
      <w:bookmarkEnd w:id="868"/>
      <w:bookmarkEnd w:id="869"/>
      <w:r>
        <w:rPr>
          <w:rFonts w:eastAsia="Calibri" w:cs="Calibri"/>
          <w:szCs w:val="22"/>
          <w:lang w:eastAsia="en-US"/>
        </w:rPr>
        <w:t>1.</w:t>
      </w:r>
    </w:p>
    <w:p>
      <w:pPr>
        <w:sectPr>
          <w:headerReference w:type="default" r:id="rId51"/>
          <w:footerReference w:type="default" r:id="rId52"/>
          <w:type w:val="nextPage"/>
          <w:pgSz w:w="11906" w:h="16838"/>
          <w:pgMar w:left="1701" w:right="567" w:header="709" w:top="1134" w:footer="709" w:bottom="1134" w:gutter="0"/>
          <w:pgNumType w:fmt="decimal"/>
          <w:formProt w:val="false"/>
          <w:textDirection w:val="lrTb"/>
          <w:docGrid w:type="default" w:linePitch="360" w:charSpace="0"/>
        </w:sectPr>
        <w:pStyle w:val="Normal"/>
        <w:keepNext w:val="true"/>
        <w:keepLines/>
        <w:numPr>
          <w:ilvl w:val="0"/>
          <w:numId w:val="0"/>
        </w:numPr>
        <w:ind w:left="0" w:firstLine="709"/>
        <w:jc w:val="both"/>
        <w:outlineLvl w:val="2"/>
        <w:rPr>
          <w:rFonts w:eastAsia="Calibri Light" w:cs="Calibri Light"/>
          <w:b/>
          <w:b/>
          <w:lang w:eastAsia="en-US"/>
        </w:rPr>
      </w:pPr>
      <w:r>
        <w:rPr>
          <w:rFonts w:eastAsia="Calibri Light" w:cs="Calibri Light"/>
          <w:b/>
          <w:lang w:eastAsia="en-US"/>
        </w:rPr>
        <w:t xml:space="preserve"> </w:t>
      </w:r>
    </w:p>
    <w:p>
      <w:pPr>
        <w:pStyle w:val="Normal"/>
        <w:keepNext w:val="true"/>
        <w:keepLines/>
        <w:numPr>
          <w:ilvl w:val="0"/>
          <w:numId w:val="0"/>
        </w:numPr>
        <w:ind w:left="0" w:firstLine="709"/>
        <w:jc w:val="both"/>
        <w:outlineLvl w:val="1"/>
        <w:rPr>
          <w:rFonts w:eastAsia="Calibri Light" w:cs="Calibri Light"/>
          <w:b/>
          <w:b/>
          <w:szCs w:val="26"/>
          <w:lang w:eastAsia="en-US"/>
        </w:rPr>
      </w:pPr>
      <w:bookmarkStart w:id="870" w:name="_Toc181340431"/>
      <w:bookmarkStart w:id="871" w:name="_Toc160529965"/>
      <w:r>
        <w:rPr>
          <w:rFonts w:eastAsia="Calibri Light" w:cs="Calibri Light"/>
          <w:b/>
          <w:szCs w:val="26"/>
          <w:lang w:eastAsia="en-US"/>
        </w:rPr>
        <w:t>Часть 12 «Описание существующих технических и технологических проблем в системах теплоснабжения поселения»</w:t>
      </w:r>
      <w:bookmarkStart w:id="872" w:name="_Toc181340432"/>
      <w:bookmarkStart w:id="873" w:name="_Toc160529966"/>
      <w:bookmarkStart w:id="874" w:name="_Toc535409549"/>
      <w:bookmarkEnd w:id="870"/>
      <w:bookmarkEnd w:id="871"/>
    </w:p>
    <w:p>
      <w:pPr>
        <w:pStyle w:val="Normal"/>
        <w:keepNext w:val="true"/>
        <w:keepLines/>
        <w:numPr>
          <w:ilvl w:val="0"/>
          <w:numId w:val="0"/>
        </w:numPr>
        <w:ind w:left="0" w:firstLine="709"/>
        <w:jc w:val="both"/>
        <w:outlineLvl w:val="1"/>
        <w:rPr>
          <w:rFonts w:eastAsia="Calibri Light" w:cs="Calibri Light"/>
          <w:b/>
          <w:b/>
          <w:szCs w:val="26"/>
          <w:lang w:eastAsia="en-US"/>
        </w:rPr>
      </w:pPr>
      <w:r>
        <w:rPr>
          <w:rFonts w:eastAsia="Calibri Light" w:cs="Calibri Light"/>
          <w:b/>
          <w:lang w:eastAsia="en-US"/>
        </w:rPr>
        <w:t>1.12.1. Описание существующих проблем организации качественного теплоснабжения (перечень причин, приводящих к снижению качества теплоснабжения, включая проблемы в работе теплопотребляющих установок потребителей)</w:t>
      </w:r>
      <w:bookmarkStart w:id="875" w:name="_Hlk160646888"/>
      <w:bookmarkEnd w:id="872"/>
      <w:bookmarkEnd w:id="873"/>
      <w:bookmarkEnd w:id="874"/>
      <w:bookmarkEnd w:id="875"/>
    </w:p>
    <w:p>
      <w:pPr>
        <w:pStyle w:val="Normal"/>
        <w:keepNext w:val="true"/>
        <w:keepLines/>
        <w:numPr>
          <w:ilvl w:val="0"/>
          <w:numId w:val="0"/>
        </w:numPr>
        <w:ind w:left="0" w:firstLine="709"/>
        <w:jc w:val="both"/>
        <w:outlineLvl w:val="2"/>
        <w:rPr>
          <w:rFonts w:eastAsia="Calibri Light" w:cs="Calibri Light"/>
          <w:b/>
          <w:b/>
          <w:lang w:eastAsia="en-US"/>
        </w:rPr>
      </w:pPr>
      <w:r>
        <w:rPr>
          <w:rFonts w:eastAsia="Calibri" w:cs="Calibri"/>
          <w:szCs w:val="22"/>
          <w:lang w:eastAsia="ru-RU"/>
        </w:rPr>
        <w:t>Из комплекса существующих проблем организации качественного теплоснабжения на территории поселения, можно выделить следующие составляющие:</w:t>
      </w:r>
    </w:p>
    <w:p>
      <w:pPr>
        <w:pStyle w:val="Normal"/>
        <w:keepNext w:val="true"/>
        <w:keepLines/>
        <w:numPr>
          <w:ilvl w:val="0"/>
          <w:numId w:val="0"/>
        </w:numPr>
        <w:ind w:left="0" w:firstLine="709"/>
        <w:jc w:val="both"/>
        <w:outlineLvl w:val="2"/>
        <w:rPr>
          <w:rFonts w:eastAsia="Calibri Light" w:cs="Calibri Light"/>
          <w:b/>
          <w:b/>
          <w:lang w:eastAsia="en-US"/>
        </w:rPr>
      </w:pPr>
      <w:r>
        <w:rPr>
          <w:rFonts w:eastAsia="Calibri Light" w:cs="Calibri Light"/>
          <w:b/>
          <w:lang w:eastAsia="en-US"/>
        </w:rPr>
        <w:t xml:space="preserve">- </w:t>
      </w:r>
      <w:r>
        <w:rPr>
          <w:rFonts w:eastAsia="Calibri" w:cs="Calibri"/>
          <w:szCs w:val="22"/>
          <w:lang w:eastAsia="ru-RU"/>
        </w:rPr>
        <w:t xml:space="preserve">износ сетей; </w:t>
      </w:r>
    </w:p>
    <w:p>
      <w:pPr>
        <w:pStyle w:val="Normal"/>
        <w:keepNext w:val="true"/>
        <w:keepLines/>
        <w:numPr>
          <w:ilvl w:val="0"/>
          <w:numId w:val="0"/>
        </w:numPr>
        <w:ind w:left="0" w:firstLine="709"/>
        <w:jc w:val="both"/>
        <w:outlineLvl w:val="2"/>
        <w:rPr>
          <w:rFonts w:eastAsia="Calibri" w:cs="Calibri"/>
          <w:szCs w:val="22"/>
          <w:lang w:eastAsia="ru-RU"/>
        </w:rPr>
      </w:pPr>
      <w:r>
        <w:rPr>
          <w:rFonts w:eastAsia="Calibri Light" w:cs="Calibri Light"/>
          <w:b/>
          <w:lang w:eastAsia="en-US"/>
        </w:rPr>
        <w:t xml:space="preserve">- </w:t>
      </w:r>
      <w:r>
        <w:rPr>
          <w:rFonts w:eastAsia="Calibri" w:cs="Calibri"/>
          <w:szCs w:val="22"/>
          <w:lang w:eastAsia="ru-RU"/>
        </w:rPr>
        <w:t>износ котельного оборудования;</w:t>
      </w:r>
    </w:p>
    <w:p>
      <w:pPr>
        <w:pStyle w:val="Normal"/>
        <w:keepNext w:val="true"/>
        <w:keepLines/>
        <w:numPr>
          <w:ilvl w:val="0"/>
          <w:numId w:val="0"/>
        </w:numPr>
        <w:ind w:left="0" w:firstLine="709"/>
        <w:jc w:val="both"/>
        <w:outlineLvl w:val="2"/>
        <w:rPr>
          <w:rFonts w:eastAsia="Calibri Light" w:cs="Calibri Light"/>
          <w:b/>
          <w:b/>
          <w:lang w:eastAsia="en-US"/>
        </w:rPr>
      </w:pPr>
      <w:r>
        <w:rPr>
          <w:rFonts w:eastAsia="Calibri" w:cs="Calibri"/>
          <w:szCs w:val="22"/>
          <w:lang w:eastAsia="ru-RU"/>
        </w:rPr>
        <w:t>- отсутствие приборов учета у части потребителей;</w:t>
      </w:r>
    </w:p>
    <w:p>
      <w:pPr>
        <w:pStyle w:val="Normal"/>
        <w:keepNext w:val="true"/>
        <w:keepLines/>
        <w:numPr>
          <w:ilvl w:val="0"/>
          <w:numId w:val="0"/>
        </w:numPr>
        <w:ind w:left="0" w:firstLine="709"/>
        <w:jc w:val="both"/>
        <w:outlineLvl w:val="2"/>
        <w:rPr>
          <w:rFonts w:eastAsia="Calibri Light" w:cs="Calibri Light"/>
          <w:b/>
          <w:b/>
          <w:lang w:eastAsia="en-US"/>
        </w:rPr>
      </w:pPr>
      <w:r>
        <w:rPr>
          <w:rFonts w:eastAsia="Calibri Light" w:cs="Calibri Light"/>
          <w:b/>
          <w:lang w:eastAsia="en-US"/>
        </w:rPr>
        <w:t xml:space="preserve">- </w:t>
      </w:r>
      <w:r>
        <w:rPr>
          <w:rFonts w:eastAsia="Calibri" w:cs="Calibri"/>
          <w:szCs w:val="22"/>
          <w:lang w:eastAsia="ru-RU"/>
        </w:rPr>
        <w:t>отсутствие приборов учета тепла на котельных, тепловых сетях.</w:t>
      </w:r>
    </w:p>
    <w:p>
      <w:pPr>
        <w:pStyle w:val="Normal"/>
        <w:keepNext w:val="true"/>
        <w:keepLines/>
        <w:numPr>
          <w:ilvl w:val="0"/>
          <w:numId w:val="0"/>
        </w:numPr>
        <w:ind w:left="0" w:firstLine="709"/>
        <w:jc w:val="both"/>
        <w:outlineLvl w:val="2"/>
        <w:rPr>
          <w:rFonts w:eastAsia="Calibri Light" w:cs="Calibri Light"/>
          <w:b/>
          <w:b/>
          <w:lang w:eastAsia="en-US"/>
        </w:rPr>
      </w:pPr>
      <w:r>
        <w:rPr>
          <w:rFonts w:eastAsia="Calibri" w:cs="Calibri"/>
          <w:bCs/>
          <w:szCs w:val="22"/>
          <w:lang w:eastAsia="ru-RU"/>
        </w:rPr>
        <w:t>Основными проблемами организации надежного теплоснабжения является устаревшее оборудование котельных, а также высокий износ тепловых сетей, что влечет за собой перерасход топлива, большие потери воды и тепловой энергии, увеличение тарифов на коммунальные услуги и рост аварийности.</w:t>
      </w:r>
    </w:p>
    <w:p>
      <w:pPr>
        <w:pStyle w:val="Normal"/>
        <w:keepNext w:val="true"/>
        <w:keepLines/>
        <w:numPr>
          <w:ilvl w:val="0"/>
          <w:numId w:val="0"/>
        </w:numPr>
        <w:ind w:left="0" w:firstLine="709"/>
        <w:jc w:val="both"/>
        <w:outlineLvl w:val="2"/>
        <w:rPr>
          <w:rFonts w:eastAsia="Calibri Light" w:cs="Calibri Light"/>
          <w:b/>
          <w:b/>
          <w:lang w:eastAsia="en-US"/>
        </w:rPr>
      </w:pPr>
      <w:r>
        <w:rPr>
          <w:rFonts w:eastAsia="Calibri" w:cs="Calibri"/>
          <w:bCs/>
          <w:szCs w:val="22"/>
          <w:lang w:eastAsia="ru-RU"/>
        </w:rPr>
        <w:t xml:space="preserve">Износ сетей </w:t>
      </w:r>
      <w:r>
        <w:rPr>
          <w:rFonts w:eastAsia="Calibri" w:cs="Calibri"/>
          <w:szCs w:val="22"/>
          <w:lang w:eastAsia="ru-RU"/>
        </w:rPr>
        <w:t xml:space="preserve">– наиболее существенная проблема организации качественного теплоснабжения. </w:t>
      </w:r>
    </w:p>
    <w:p>
      <w:pPr>
        <w:pStyle w:val="Normal"/>
        <w:keepNext w:val="true"/>
        <w:keepLines/>
        <w:numPr>
          <w:ilvl w:val="0"/>
          <w:numId w:val="0"/>
        </w:numPr>
        <w:ind w:left="0" w:firstLine="709"/>
        <w:jc w:val="both"/>
        <w:outlineLvl w:val="2"/>
        <w:rPr>
          <w:rFonts w:eastAsia="Calibri Light" w:cs="Calibri Light"/>
          <w:b/>
          <w:b/>
          <w:lang w:eastAsia="en-US"/>
        </w:rPr>
      </w:pPr>
      <w:r>
        <w:rPr>
          <w:rFonts w:eastAsia="Calibri" w:cs="Calibri"/>
          <w:szCs w:val="22"/>
          <w:lang w:eastAsia="ru-RU"/>
        </w:rPr>
        <w:t>Отсутствие системы химводоподготовки существенно влияет на срок службы тепловых сетей, а также на гидравлические режимы их работы.</w:t>
      </w:r>
    </w:p>
    <w:p>
      <w:pPr>
        <w:pStyle w:val="Normal"/>
        <w:keepNext w:val="true"/>
        <w:keepLines/>
        <w:numPr>
          <w:ilvl w:val="0"/>
          <w:numId w:val="0"/>
        </w:numPr>
        <w:ind w:left="0" w:firstLine="709"/>
        <w:jc w:val="both"/>
        <w:outlineLvl w:val="2"/>
        <w:rPr>
          <w:rFonts w:eastAsia="Calibri Light" w:cs="Calibri Light"/>
          <w:b/>
          <w:b/>
          <w:lang w:eastAsia="en-US"/>
        </w:rPr>
      </w:pPr>
      <w:r>
        <w:rPr>
          <w:rFonts w:eastAsia="Calibri" w:cs="Calibri"/>
          <w:szCs w:val="22"/>
          <w:lang w:eastAsia="ru-RU"/>
        </w:rPr>
        <w:t>Износ тепловых сетей приводит как к снижению надежности вызванной коррозией и усталостью металла, так и разрушению изоляции. Разрушение изоляции в свою очередь приводит к тепловым потерям и значительному снижению температуры теплоносителя еще до ввода потребителя. Отложения, образовавшиеся в тепловых сетях за время эксплуатации в результате коррозии, отложений солей жесткости и прочих причин, снижают качество сетевой воды.</w:t>
      </w:r>
    </w:p>
    <w:p>
      <w:pPr>
        <w:pStyle w:val="Normal"/>
        <w:keepNext w:val="true"/>
        <w:keepLines/>
        <w:numPr>
          <w:ilvl w:val="0"/>
          <w:numId w:val="0"/>
        </w:numPr>
        <w:ind w:left="0" w:firstLine="709"/>
        <w:jc w:val="both"/>
        <w:outlineLvl w:val="2"/>
        <w:rPr>
          <w:rFonts w:eastAsia="Calibri Light" w:cs="Calibri Light"/>
          <w:b/>
          <w:b/>
          <w:lang w:eastAsia="en-US"/>
        </w:rPr>
      </w:pPr>
      <w:r>
        <w:rPr>
          <w:rFonts w:eastAsia="Calibri" w:cs="Calibri"/>
          <w:szCs w:val="22"/>
          <w:lang w:eastAsia="ru-RU"/>
        </w:rPr>
        <w:t>Повышение качества теплоснабжения может быть достигнуто путем реконструкции тепловых сетей.</w:t>
      </w:r>
    </w:p>
    <w:p>
      <w:pPr>
        <w:pStyle w:val="Normal"/>
        <w:keepNext w:val="true"/>
        <w:keepLines/>
        <w:numPr>
          <w:ilvl w:val="0"/>
          <w:numId w:val="0"/>
        </w:numPr>
        <w:ind w:left="0" w:firstLine="709"/>
        <w:jc w:val="both"/>
        <w:outlineLvl w:val="2"/>
        <w:rPr>
          <w:rFonts w:eastAsia="Calibri Light" w:cs="Calibri Light"/>
          <w:b/>
          <w:b/>
          <w:lang w:eastAsia="en-US"/>
        </w:rPr>
      </w:pPr>
      <w:r>
        <w:rPr>
          <w:rFonts w:eastAsia="Calibri" w:cs="Calibri"/>
          <w:szCs w:val="22"/>
          <w:lang w:eastAsia="ru-RU"/>
        </w:rPr>
        <w:t>Отсутствие приборов учета на тепловых сетях не позволяет оценить фактические тепловые потери в сетях.</w:t>
      </w:r>
    </w:p>
    <w:p>
      <w:pPr>
        <w:pStyle w:val="Normal"/>
        <w:keepNext w:val="true"/>
        <w:keepLines/>
        <w:numPr>
          <w:ilvl w:val="0"/>
          <w:numId w:val="0"/>
        </w:numPr>
        <w:ind w:left="0" w:firstLine="709"/>
        <w:jc w:val="both"/>
        <w:outlineLvl w:val="2"/>
        <w:rPr>
          <w:rFonts w:eastAsia="Calibri Light" w:cs="Calibri Light"/>
          <w:b/>
          <w:b/>
          <w:lang w:eastAsia="en-US"/>
        </w:rPr>
      </w:pPr>
      <w:r>
        <w:rPr>
          <w:rFonts w:eastAsia="Calibri" w:cs="Calibri"/>
          <w:bCs/>
          <w:szCs w:val="22"/>
          <w:lang w:eastAsia="ru-RU"/>
        </w:rPr>
        <w:t xml:space="preserve">Отсутствие приборов учета у части потребителей </w:t>
      </w:r>
      <w:r>
        <w:rPr>
          <w:rFonts w:eastAsia="Calibri" w:cs="Calibri"/>
          <w:szCs w:val="22"/>
          <w:lang w:eastAsia="ru-RU"/>
        </w:rPr>
        <w:t>не позволяет оценить фактическое потребление тепловой энергии каждым жилым домом. Установка приборов учета, позволит производить оплату за фактически потребленное тепло и правильно оценить тепловые характеристики ограждающих конструкций.</w:t>
      </w:r>
      <w:bookmarkStart w:id="876" w:name="_Toc535409550"/>
      <w:bookmarkStart w:id="877" w:name="_Toc181340433"/>
      <w:bookmarkStart w:id="878" w:name="_Toc160529967"/>
      <w:bookmarkStart w:id="879" w:name="sub_1511"/>
      <w:bookmarkEnd w:id="879"/>
    </w:p>
    <w:p>
      <w:pPr>
        <w:pStyle w:val="Normal"/>
        <w:keepNext w:val="true"/>
        <w:keepLines/>
        <w:numPr>
          <w:ilvl w:val="0"/>
          <w:numId w:val="0"/>
        </w:numPr>
        <w:ind w:left="0" w:firstLine="709"/>
        <w:jc w:val="both"/>
        <w:outlineLvl w:val="2"/>
        <w:rPr>
          <w:rFonts w:eastAsia="Calibri Light" w:cs="Calibri Light"/>
          <w:b/>
          <w:b/>
          <w:lang w:eastAsia="en-US"/>
        </w:rPr>
      </w:pPr>
      <w:r>
        <w:rPr>
          <w:rFonts w:eastAsia="Calibri Light" w:cs="Calibri Light"/>
          <w:b/>
          <w:lang w:eastAsia="en-US"/>
        </w:rPr>
      </w:r>
    </w:p>
    <w:p>
      <w:pPr>
        <w:pStyle w:val="Normal"/>
        <w:keepNext w:val="true"/>
        <w:keepLines/>
        <w:numPr>
          <w:ilvl w:val="0"/>
          <w:numId w:val="0"/>
        </w:numPr>
        <w:ind w:left="0" w:firstLine="709"/>
        <w:jc w:val="both"/>
        <w:outlineLvl w:val="2"/>
        <w:rPr>
          <w:rFonts w:eastAsia="Calibri Light" w:cs="Calibri Light"/>
          <w:b/>
          <w:b/>
          <w:lang w:eastAsia="en-US"/>
        </w:rPr>
      </w:pPr>
      <w:r>
        <w:rPr>
          <w:rFonts w:eastAsia="Calibri Light" w:cs="Calibri Light"/>
          <w:b/>
          <w:lang w:eastAsia="en-US"/>
        </w:rPr>
        <w:t>1.12.2. Описание существующих проблем организации надежного теплоснабжения поселения (перечень причин, приводящих к снижению надежности теплоснабжения, включая проблемы в работе теплопотребляющих установок потребителей)</w:t>
      </w:r>
      <w:bookmarkStart w:id="880" w:name="_Hlk160709945"/>
      <w:bookmarkEnd w:id="876"/>
      <w:bookmarkEnd w:id="877"/>
      <w:bookmarkEnd w:id="878"/>
      <w:bookmarkEnd w:id="880"/>
    </w:p>
    <w:p>
      <w:pPr>
        <w:pStyle w:val="Normal"/>
        <w:keepNext w:val="true"/>
        <w:keepLines/>
        <w:numPr>
          <w:ilvl w:val="0"/>
          <w:numId w:val="0"/>
        </w:numPr>
        <w:ind w:left="0" w:firstLine="709"/>
        <w:jc w:val="both"/>
        <w:outlineLvl w:val="2"/>
        <w:rPr>
          <w:rFonts w:eastAsia="Calibri Light" w:cs="Calibri Light"/>
          <w:b/>
          <w:b/>
          <w:lang w:eastAsia="en-US"/>
        </w:rPr>
      </w:pPr>
      <w:r>
        <w:rPr>
          <w:rFonts w:eastAsia="Calibri" w:cs="Calibri"/>
          <w:szCs w:val="22"/>
          <w:lang w:eastAsia="ru-RU"/>
        </w:rPr>
        <w:t>К основным проблемам организации качественного теплоснабжения следует отнести:</w:t>
      </w:r>
    </w:p>
    <w:p>
      <w:pPr>
        <w:pStyle w:val="Normal"/>
        <w:keepNext w:val="true"/>
        <w:keepLines/>
        <w:numPr>
          <w:ilvl w:val="0"/>
          <w:numId w:val="0"/>
        </w:numPr>
        <w:ind w:left="0" w:firstLine="709"/>
        <w:jc w:val="both"/>
        <w:outlineLvl w:val="2"/>
        <w:rPr>
          <w:rFonts w:eastAsia="Calibri Light" w:cs="Calibri Light"/>
          <w:b/>
          <w:b/>
          <w:lang w:eastAsia="en-US"/>
        </w:rPr>
      </w:pPr>
      <w:r>
        <w:rPr>
          <w:rFonts w:eastAsia="Calibri" w:cs="Calibri"/>
          <w:szCs w:val="22"/>
          <w:lang w:eastAsia="ru-RU"/>
        </w:rPr>
        <w:t xml:space="preserve">- высокий процент износа тепловых сетей, в том числе изоляционных материалов, что одновременно с понижением качества теплоснабжения приводит к завышенным потерям тепловой энергии при передаче теплоносителя; </w:t>
      </w:r>
    </w:p>
    <w:p>
      <w:pPr>
        <w:pStyle w:val="Normal"/>
        <w:keepNext w:val="true"/>
        <w:keepLines/>
        <w:numPr>
          <w:ilvl w:val="0"/>
          <w:numId w:val="0"/>
        </w:numPr>
        <w:ind w:left="0" w:firstLine="709"/>
        <w:jc w:val="both"/>
        <w:outlineLvl w:val="2"/>
        <w:rPr>
          <w:rFonts w:eastAsia="Calibri Light" w:cs="Calibri Light"/>
          <w:b/>
          <w:b/>
          <w:lang w:eastAsia="en-US"/>
        </w:rPr>
      </w:pPr>
      <w:r>
        <w:rPr>
          <w:rFonts w:eastAsia="Calibri" w:cs="Calibri"/>
          <w:szCs w:val="22"/>
          <w:lang w:eastAsia="ru-RU"/>
        </w:rPr>
        <w:t xml:space="preserve">- высокий процент износа основного теплогенерирующего оборудования, что приводит к повышению затрат на содержание этого оборудования в работоспособном состоянии; </w:t>
      </w:r>
    </w:p>
    <w:p>
      <w:pPr>
        <w:pStyle w:val="Normal"/>
        <w:keepNext w:val="true"/>
        <w:keepLines/>
        <w:numPr>
          <w:ilvl w:val="0"/>
          <w:numId w:val="0"/>
        </w:numPr>
        <w:ind w:left="0" w:firstLine="709"/>
        <w:jc w:val="both"/>
        <w:outlineLvl w:val="2"/>
        <w:rPr>
          <w:rFonts w:eastAsia="Calibri Light" w:cs="Calibri Light"/>
          <w:b/>
          <w:b/>
          <w:lang w:eastAsia="en-US"/>
        </w:rPr>
      </w:pPr>
      <w:r>
        <w:rPr>
          <w:rFonts w:eastAsia="Calibri" w:cs="Calibri"/>
          <w:szCs w:val="22"/>
          <w:lang w:eastAsia="ru-RU"/>
        </w:rPr>
        <w:t>- отсутствие гидравлических расчетов и соответственно наладки тепловых сетей при сложившейся, после значительных изменений с момента ввода в эксплуатацию, конфигурации тепловых сетей.</w:t>
      </w:r>
      <w:bookmarkStart w:id="881" w:name="_Toc181340434"/>
      <w:bookmarkStart w:id="882" w:name="_Toc160529968"/>
      <w:bookmarkStart w:id="883" w:name="_Toc535409551"/>
      <w:bookmarkStart w:id="884" w:name="sub_1513"/>
      <w:bookmarkEnd w:id="883"/>
      <w:bookmarkEnd w:id="884"/>
    </w:p>
    <w:p>
      <w:pPr>
        <w:pStyle w:val="Normal"/>
        <w:keepNext w:val="true"/>
        <w:keepLines/>
        <w:numPr>
          <w:ilvl w:val="0"/>
          <w:numId w:val="0"/>
        </w:numPr>
        <w:ind w:left="0" w:firstLine="709"/>
        <w:jc w:val="both"/>
        <w:outlineLvl w:val="2"/>
        <w:rPr>
          <w:rFonts w:eastAsia="Calibri Light" w:cs="Calibri Light"/>
          <w:b/>
          <w:b/>
          <w:lang w:eastAsia="en-US"/>
        </w:rPr>
      </w:pPr>
      <w:r>
        <w:rPr>
          <w:rFonts w:eastAsia="Calibri Light" w:cs="Calibri Light"/>
          <w:b/>
          <w:lang w:eastAsia="en-US"/>
        </w:rPr>
      </w:r>
    </w:p>
    <w:p>
      <w:pPr>
        <w:pStyle w:val="Normal"/>
        <w:keepNext w:val="true"/>
        <w:keepLines/>
        <w:numPr>
          <w:ilvl w:val="0"/>
          <w:numId w:val="0"/>
        </w:numPr>
        <w:ind w:left="0" w:firstLine="709"/>
        <w:jc w:val="both"/>
        <w:outlineLvl w:val="2"/>
        <w:rPr>
          <w:rFonts w:eastAsia="Calibri Light" w:cs="Calibri Light"/>
          <w:b/>
          <w:b/>
          <w:lang w:eastAsia="en-US"/>
        </w:rPr>
      </w:pPr>
      <w:r>
        <w:rPr>
          <w:rFonts w:eastAsia="Calibri Light" w:cs="Calibri Light"/>
          <w:b/>
          <w:lang w:eastAsia="en-US"/>
        </w:rPr>
        <w:t>1.12.3. Описание существующих проблем развития систем теплоснабжения</w:t>
      </w:r>
      <w:bookmarkEnd w:id="881"/>
      <w:bookmarkEnd w:id="882"/>
    </w:p>
    <w:p>
      <w:pPr>
        <w:pStyle w:val="Normal"/>
        <w:keepNext w:val="true"/>
        <w:keepLines/>
        <w:numPr>
          <w:ilvl w:val="0"/>
          <w:numId w:val="0"/>
        </w:numPr>
        <w:ind w:left="0" w:firstLine="709"/>
        <w:jc w:val="both"/>
        <w:outlineLvl w:val="2"/>
        <w:rPr>
          <w:rFonts w:eastAsia="Calibri Light" w:cs="Calibri Light"/>
          <w:b/>
          <w:b/>
          <w:lang w:eastAsia="en-US"/>
        </w:rPr>
      </w:pPr>
      <w:r>
        <w:rPr>
          <w:rFonts w:eastAsia="Calibri" w:cs="Calibri"/>
          <w:szCs w:val="22"/>
          <w:lang w:eastAsia="en-US"/>
        </w:rPr>
        <w:t xml:space="preserve">Основной проблемой развития системы теплоснабжения является низкий темп газификации источников теплоснабжения, что в свою очередь влечет значительные издержки теплоснабжающей организации в части затрат на приобретение топлива. </w:t>
      </w:r>
    </w:p>
    <w:p>
      <w:pPr>
        <w:pStyle w:val="Normal"/>
        <w:ind w:firstLine="709"/>
        <w:jc w:val="both"/>
        <w:rPr>
          <w:rFonts w:eastAsia="Calibri"/>
          <w:szCs w:val="22"/>
          <w:lang w:eastAsia="en-US"/>
        </w:rPr>
      </w:pPr>
      <w:r>
        <w:rPr>
          <w:rFonts w:eastAsia="Calibri"/>
          <w:szCs w:val="22"/>
          <w:lang w:eastAsia="en-US"/>
        </w:rPr>
      </w:r>
    </w:p>
    <w:p>
      <w:pPr>
        <w:pStyle w:val="Normal"/>
        <w:keepNext w:val="true"/>
        <w:keepLines/>
        <w:numPr>
          <w:ilvl w:val="0"/>
          <w:numId w:val="0"/>
        </w:numPr>
        <w:ind w:left="0" w:firstLine="709"/>
        <w:jc w:val="both"/>
        <w:outlineLvl w:val="2"/>
        <w:rPr>
          <w:rFonts w:eastAsia="Calibri Light" w:cs="Calibri Light"/>
          <w:b/>
          <w:b/>
          <w:lang w:eastAsia="en-US"/>
        </w:rPr>
      </w:pPr>
      <w:bookmarkStart w:id="885" w:name="_Toc535409552"/>
      <w:bookmarkStart w:id="886" w:name="_Toc181340435"/>
      <w:bookmarkStart w:id="887" w:name="_Toc160529969"/>
      <w:r>
        <w:rPr>
          <w:rFonts w:eastAsia="Calibri Light" w:cs="Calibri Light"/>
          <w:b/>
          <w:lang w:eastAsia="en-US"/>
        </w:rPr>
        <w:t>1.12.4. Описание существующих проблем надежного и эффективного снабжения топливом действующих систем теплоснабжения</w:t>
      </w:r>
      <w:bookmarkEnd w:id="885"/>
      <w:bookmarkEnd w:id="886"/>
      <w:bookmarkEnd w:id="887"/>
    </w:p>
    <w:p>
      <w:pPr>
        <w:pStyle w:val="Normal"/>
        <w:tabs>
          <w:tab w:val="clear" w:pos="408"/>
          <w:tab w:val="left" w:pos="0" w:leader="none"/>
        </w:tabs>
        <w:ind w:firstLine="709"/>
        <w:jc w:val="both"/>
        <w:rPr>
          <w:rFonts w:eastAsia="Calibri"/>
          <w:szCs w:val="22"/>
          <w:lang w:eastAsia="en-US"/>
        </w:rPr>
      </w:pPr>
      <w:bookmarkStart w:id="888" w:name="sub_1514"/>
      <w:bookmarkEnd w:id="888"/>
      <w:r>
        <w:rPr>
          <w:rFonts w:eastAsia="Calibri" w:cs="Calibri"/>
          <w:szCs w:val="22"/>
          <w:lang w:eastAsia="en-US"/>
        </w:rPr>
        <w:t>Сложности с обеспечением теплоисточников топливом в периоды расчетных температур наружного воздуха на территории поселения отсутствуют.</w:t>
      </w:r>
      <w:bookmarkStart w:id="889" w:name="_Toc181340436"/>
      <w:bookmarkStart w:id="890" w:name="_Toc160529970"/>
      <w:bookmarkStart w:id="891" w:name="_Toc160455088"/>
      <w:bookmarkStart w:id="892" w:name="sub_1515"/>
      <w:bookmarkStart w:id="893" w:name="_Toc535409553"/>
      <w:bookmarkEnd w:id="892"/>
      <w:bookmarkEnd w:id="893"/>
    </w:p>
    <w:p>
      <w:pPr>
        <w:pStyle w:val="Normal"/>
        <w:tabs>
          <w:tab w:val="clear" w:pos="408"/>
          <w:tab w:val="left" w:pos="0" w:leader="none"/>
        </w:tabs>
        <w:ind w:firstLine="709"/>
        <w:jc w:val="both"/>
        <w:rPr>
          <w:rFonts w:eastAsia="Calibri"/>
          <w:szCs w:val="22"/>
          <w:lang w:eastAsia="en-US"/>
        </w:rPr>
      </w:pPr>
      <w:r>
        <w:rPr>
          <w:rFonts w:eastAsia="Calibri"/>
          <w:szCs w:val="22"/>
          <w:lang w:eastAsia="en-US"/>
        </w:rPr>
      </w:r>
    </w:p>
    <w:p>
      <w:pPr>
        <w:pStyle w:val="Normal"/>
        <w:tabs>
          <w:tab w:val="clear" w:pos="408"/>
          <w:tab w:val="left" w:pos="0" w:leader="none"/>
        </w:tabs>
        <w:ind w:firstLine="709"/>
        <w:jc w:val="both"/>
        <w:rPr>
          <w:rFonts w:eastAsia="Calibri"/>
          <w:szCs w:val="22"/>
          <w:lang w:eastAsia="en-US"/>
        </w:rPr>
      </w:pPr>
      <w:r>
        <w:rPr>
          <w:rFonts w:eastAsia="Calibri Light" w:cs="Calibri Light"/>
          <w:b/>
          <w:lang w:eastAsia="en-US"/>
        </w:rPr>
        <w:t>1.12.5. Анализ предписаний надзорных органов об устранении нарушений, влияющих на безопасность и надежность системы теплоснабжения</w:t>
      </w:r>
      <w:bookmarkEnd w:id="889"/>
      <w:bookmarkEnd w:id="890"/>
      <w:bookmarkEnd w:id="891"/>
    </w:p>
    <w:p>
      <w:pPr>
        <w:pStyle w:val="Normal"/>
        <w:ind w:firstLine="709"/>
        <w:jc w:val="both"/>
        <w:rPr>
          <w:rFonts w:eastAsia="Calibri"/>
          <w:szCs w:val="22"/>
          <w:lang w:eastAsia="en-US"/>
        </w:rPr>
      </w:pPr>
      <w:r>
        <w:rPr>
          <w:rFonts w:eastAsia="Calibri" w:cs="Calibri"/>
          <w:szCs w:val="22"/>
          <w:lang w:eastAsia="en-US"/>
        </w:rPr>
        <w:t>Предписания надзорных органов об устранении нарушений, влияющих на безопасность и надежность систем теплоснабжения, не предоставлены.</w:t>
      </w:r>
    </w:p>
    <w:p>
      <w:pPr>
        <w:pStyle w:val="Normal"/>
        <w:ind w:firstLine="709"/>
        <w:jc w:val="both"/>
        <w:rPr>
          <w:rFonts w:eastAsia="Calibri"/>
          <w:szCs w:val="22"/>
          <w:lang w:eastAsia="en-US"/>
        </w:rPr>
      </w:pPr>
      <w:r>
        <w:rPr>
          <w:rFonts w:eastAsia="Calibri"/>
          <w:szCs w:val="22"/>
          <w:lang w:eastAsia="en-US"/>
        </w:rPr>
      </w:r>
    </w:p>
    <w:p>
      <w:pPr>
        <w:pStyle w:val="Normal"/>
        <w:keepNext w:val="true"/>
        <w:keepLines/>
        <w:numPr>
          <w:ilvl w:val="0"/>
          <w:numId w:val="0"/>
        </w:numPr>
        <w:ind w:left="0" w:firstLine="709"/>
        <w:jc w:val="both"/>
        <w:outlineLvl w:val="2"/>
        <w:rPr>
          <w:rFonts w:eastAsia="Calibri Light" w:cs="Calibri Light"/>
          <w:b/>
          <w:b/>
          <w:lang w:eastAsia="en-US"/>
        </w:rPr>
      </w:pPr>
      <w:bookmarkStart w:id="894" w:name="_Toc160455089"/>
      <w:bookmarkStart w:id="895" w:name="_Toc160529971"/>
      <w:bookmarkStart w:id="896" w:name="_Toc181340437"/>
      <w:r>
        <w:rPr>
          <w:rFonts w:eastAsia="Calibri Light" w:cs="Calibri Light"/>
          <w:b/>
          <w:lang w:eastAsia="en-US"/>
        </w:rPr>
        <w:t>1.12.6. Описание изменений технических и технологических проблем в системах теплоснабжения поселения, произошедших в период, предшествующий актуализации схемы теплоснабжения</w:t>
      </w:r>
      <w:bookmarkEnd w:id="894"/>
      <w:bookmarkEnd w:id="895"/>
      <w:bookmarkEnd w:id="896"/>
    </w:p>
    <w:p>
      <w:pPr>
        <w:pStyle w:val="Normal"/>
        <w:ind w:firstLine="709"/>
        <w:jc w:val="both"/>
        <w:rPr>
          <w:rFonts w:eastAsia="Calibri" w:cs="Calibri"/>
          <w:szCs w:val="22"/>
          <w:lang w:eastAsia="ru-RU"/>
        </w:rPr>
      </w:pPr>
      <w:r>
        <w:rPr>
          <w:rFonts w:eastAsia="Calibri" w:cs="Calibri"/>
          <w:szCs w:val="22"/>
          <w:lang w:eastAsia="ru-RU"/>
        </w:rPr>
        <w:t xml:space="preserve">За период с момента утверждения ранее актуализированной Схемы теплоснабжения </w:t>
      </w:r>
      <w:r>
        <w:rPr>
          <w:rFonts w:eastAsia="Calibri" w:cs="Calibri"/>
          <w:szCs w:val="22"/>
          <w:lang w:eastAsia="en-US"/>
        </w:rPr>
        <w:t>изменений технических и технологических проблем в системах теплоснабжения поселения</w:t>
      </w:r>
      <w:r>
        <w:rPr>
          <w:rFonts w:eastAsia="Calibri" w:cs="Calibri"/>
          <w:szCs w:val="22"/>
          <w:lang w:eastAsia="ru-RU"/>
        </w:rPr>
        <w:t xml:space="preserve"> не зафиксировано.</w:t>
      </w:r>
    </w:p>
    <w:p>
      <w:pPr>
        <w:pStyle w:val="Normal"/>
        <w:rPr>
          <w:rFonts w:eastAsia="Calibri" w:cs="Calibri"/>
          <w:szCs w:val="22"/>
          <w:lang w:eastAsia="ru-RU"/>
        </w:rPr>
      </w:pPr>
      <w:r>
        <w:rPr>
          <w:rFonts w:eastAsia="Calibri" w:cs="Calibri"/>
          <w:szCs w:val="22"/>
          <w:lang w:eastAsia="ru-RU"/>
        </w:rPr>
      </w:r>
    </w:p>
    <w:p>
      <w:pPr>
        <w:pStyle w:val="Normal"/>
        <w:jc w:val="center"/>
        <w:rPr>
          <w:rFonts w:eastAsia="Calibri" w:cs="Calibri"/>
          <w:b/>
          <w:b/>
          <w:bCs/>
          <w:szCs w:val="22"/>
          <w:lang w:eastAsia="en-US"/>
        </w:rPr>
      </w:pPr>
      <w:r>
        <w:rPr>
          <w:rFonts w:eastAsia="Calibri" w:cs="Calibri"/>
          <w:b/>
          <w:bCs/>
          <w:szCs w:val="22"/>
          <w:lang w:eastAsia="en-US"/>
        </w:rPr>
        <w:t xml:space="preserve">Глава 2 «Существующее и перспективное потребление </w:t>
      </w:r>
    </w:p>
    <w:p>
      <w:pPr>
        <w:pStyle w:val="Normal"/>
        <w:jc w:val="center"/>
        <w:rPr>
          <w:rFonts w:eastAsia="Calibri" w:cs="Calibri"/>
          <w:b/>
          <w:b/>
          <w:bCs/>
          <w:szCs w:val="22"/>
          <w:lang w:eastAsia="en-US"/>
        </w:rPr>
      </w:pPr>
      <w:bookmarkStart w:id="897" w:name="_Toc181340438"/>
      <w:bookmarkStart w:id="898" w:name="_Toc160529972"/>
      <w:r>
        <w:rPr>
          <w:rFonts w:eastAsia="Calibri" w:cs="Calibri"/>
          <w:b/>
          <w:bCs/>
          <w:szCs w:val="22"/>
          <w:lang w:eastAsia="en-US"/>
        </w:rPr>
        <w:t>тепловой энергии на цели теплоснабжения»</w:t>
      </w:r>
      <w:bookmarkEnd w:id="897"/>
      <w:bookmarkEnd w:id="898"/>
    </w:p>
    <w:p>
      <w:pPr>
        <w:pStyle w:val="Normal"/>
        <w:ind w:firstLine="709"/>
        <w:jc w:val="center"/>
        <w:rPr>
          <w:rFonts w:eastAsia="Calibri" w:cs="Calibri"/>
          <w:szCs w:val="22"/>
          <w:lang w:eastAsia="en-US"/>
        </w:rPr>
      </w:pPr>
      <w:r>
        <w:rPr>
          <w:rFonts w:eastAsia="Calibri" w:cs="Calibri"/>
          <w:szCs w:val="22"/>
          <w:lang w:eastAsia="en-US"/>
        </w:rPr>
      </w:r>
    </w:p>
    <w:p>
      <w:pPr>
        <w:pStyle w:val="Normal"/>
        <w:keepNext w:val="true"/>
        <w:keepLines/>
        <w:numPr>
          <w:ilvl w:val="0"/>
          <w:numId w:val="0"/>
        </w:numPr>
        <w:ind w:left="0" w:firstLine="709"/>
        <w:jc w:val="both"/>
        <w:outlineLvl w:val="1"/>
        <w:rPr>
          <w:rFonts w:eastAsia="Calibri Light" w:cs="Calibri Light"/>
          <w:b/>
          <w:b/>
          <w:szCs w:val="26"/>
          <w:lang w:eastAsia="en-US"/>
        </w:rPr>
      </w:pPr>
      <w:bookmarkStart w:id="899" w:name="_Toc535409555"/>
      <w:bookmarkStart w:id="900" w:name="_Toc181340439"/>
      <w:bookmarkStart w:id="901" w:name="_Toc160529973"/>
      <w:r>
        <w:rPr>
          <w:rFonts w:eastAsia="Calibri Light" w:cs="Calibri Light"/>
          <w:b/>
          <w:szCs w:val="26"/>
          <w:lang w:eastAsia="en-US"/>
        </w:rPr>
        <w:t>2.1. Данные базового уровня потребления тепла на цели теплоснабжения</w:t>
      </w:r>
      <w:bookmarkStart w:id="902" w:name="_Hlk160709959"/>
      <w:bookmarkEnd w:id="899"/>
      <w:bookmarkEnd w:id="900"/>
      <w:bookmarkEnd w:id="901"/>
      <w:bookmarkEnd w:id="902"/>
    </w:p>
    <w:p>
      <w:pPr>
        <w:pStyle w:val="Normal"/>
        <w:keepNext w:val="true"/>
        <w:keepLines/>
        <w:numPr>
          <w:ilvl w:val="0"/>
          <w:numId w:val="0"/>
        </w:numPr>
        <w:ind w:left="0" w:firstLine="709"/>
        <w:jc w:val="both"/>
        <w:outlineLvl w:val="1"/>
        <w:rPr>
          <w:rFonts w:eastAsia="Calibri Light" w:cs="Calibri Light"/>
          <w:b/>
          <w:b/>
          <w:szCs w:val="26"/>
          <w:lang w:eastAsia="en-US"/>
        </w:rPr>
      </w:pPr>
      <w:r>
        <w:rPr>
          <w:rFonts w:eastAsia="Calibri" w:cs="Calibri"/>
          <w:szCs w:val="22"/>
          <w:lang w:eastAsia="ru-RU"/>
        </w:rPr>
        <w:t>Данные базового уровня потребления тепла на цели теплоснабжения представлены в таблице 22.</w:t>
      </w:r>
      <w:bookmarkStart w:id="903" w:name="_Ref19656704"/>
    </w:p>
    <w:p>
      <w:pPr>
        <w:pStyle w:val="Normal"/>
        <w:keepNext w:val="true"/>
        <w:keepLines/>
        <w:numPr>
          <w:ilvl w:val="0"/>
          <w:numId w:val="0"/>
        </w:numPr>
        <w:ind w:left="0" w:firstLine="709"/>
        <w:jc w:val="right"/>
        <w:outlineLvl w:val="1"/>
        <w:rPr>
          <w:rFonts w:eastAsia="Calibri Light" w:cs="Calibri Light"/>
          <w:b/>
          <w:b/>
          <w:szCs w:val="26"/>
          <w:lang w:eastAsia="en-US"/>
        </w:rPr>
      </w:pPr>
      <w:r>
        <w:rPr>
          <w:rFonts w:eastAsia="Calibri" w:cs="Calibri"/>
          <w:szCs w:val="22"/>
          <w:lang w:eastAsia="en-US"/>
        </w:rPr>
        <w:t xml:space="preserve">Таблица </w:t>
      </w:r>
      <w:bookmarkEnd w:id="903"/>
      <w:r>
        <w:rPr>
          <w:rFonts w:eastAsia="Calibri" w:cs="Calibri"/>
          <w:szCs w:val="22"/>
          <w:lang w:eastAsia="en-US"/>
        </w:rPr>
        <w:t xml:space="preserve">22 – Данные базового уровня потребления тепла на цели теплоснабжения </w:t>
      </w:r>
    </w:p>
    <w:tbl>
      <w:tblPr>
        <w:tblW w:w="5000" w:type="pct"/>
        <w:jc w:val="left"/>
        <w:tblInd w:w="0" w:type="dxa"/>
        <w:tblCellMar>
          <w:top w:w="0" w:type="dxa"/>
          <w:left w:w="108" w:type="dxa"/>
          <w:bottom w:w="0" w:type="dxa"/>
          <w:right w:w="108" w:type="dxa"/>
        </w:tblCellMar>
        <w:tblLook w:val="04a0" w:noVBand="1" w:noHBand="0" w:lastColumn="0" w:firstColumn="1" w:lastRow="0" w:firstRow="1"/>
      </w:tblPr>
      <w:tblGrid>
        <w:gridCol w:w="901"/>
        <w:gridCol w:w="3698"/>
        <w:gridCol w:w="2614"/>
        <w:gridCol w:w="2424"/>
      </w:tblGrid>
      <w:tr>
        <w:trPr>
          <w:tblHeader w:val="true"/>
        </w:trPr>
        <w:tc>
          <w:tcPr>
            <w:tcW w:w="9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xml:space="preserve">№ </w:t>
            </w:r>
          </w:p>
          <w:p>
            <w:pPr>
              <w:pStyle w:val="Normal"/>
              <w:jc w:val="center"/>
              <w:rPr>
                <w:sz w:val="20"/>
                <w:szCs w:val="20"/>
                <w:lang w:eastAsia="ru-RU"/>
              </w:rPr>
            </w:pPr>
            <w:r>
              <w:rPr>
                <w:sz w:val="20"/>
                <w:szCs w:val="20"/>
                <w:lang w:eastAsia="ru-RU"/>
              </w:rPr>
              <w:t xml:space="preserve">п/п </w:t>
            </w:r>
          </w:p>
        </w:tc>
        <w:tc>
          <w:tcPr>
            <w:tcW w:w="36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Наименование и адрес котельной</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Потребление тепловой энергии за отопительный период, Гкал/год</w:t>
            </w:r>
          </w:p>
        </w:tc>
        <w:tc>
          <w:tcPr>
            <w:tcW w:w="242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Потребление тепловой энергии за год, Гкал/год</w:t>
            </w:r>
          </w:p>
        </w:tc>
      </w:tr>
      <w:tr>
        <w:trPr/>
        <w:tc>
          <w:tcPr>
            <w:tcW w:w="9637"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городское поселение Октябрьское</w:t>
            </w:r>
          </w:p>
        </w:tc>
      </w:tr>
      <w:tr>
        <w:trPr/>
        <w:tc>
          <w:tcPr>
            <w:tcW w:w="9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w:t>
            </w:r>
          </w:p>
        </w:tc>
        <w:tc>
          <w:tcPr>
            <w:tcW w:w="36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котельная № 1, пгт.Октябрьское,</w:t>
            </w:r>
          </w:p>
          <w:p>
            <w:pPr>
              <w:pStyle w:val="Normal"/>
              <w:jc w:val="center"/>
              <w:rPr>
                <w:sz w:val="20"/>
                <w:szCs w:val="20"/>
                <w:lang w:eastAsia="ru-RU"/>
              </w:rPr>
            </w:pPr>
            <w:r>
              <w:rPr>
                <w:sz w:val="20"/>
                <w:szCs w:val="20"/>
                <w:lang w:eastAsia="ru-RU"/>
              </w:rPr>
              <w:t xml:space="preserve"> </w:t>
            </w:r>
            <w:r>
              <w:rPr>
                <w:sz w:val="20"/>
                <w:szCs w:val="20"/>
                <w:lang w:eastAsia="ru-RU"/>
              </w:rPr>
              <w:t>ул.Сенькина, 46б</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8,36</w:t>
            </w:r>
          </w:p>
        </w:tc>
        <w:tc>
          <w:tcPr>
            <w:tcW w:w="242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6994,3</w:t>
            </w:r>
          </w:p>
        </w:tc>
      </w:tr>
      <w:tr>
        <w:trPr/>
        <w:tc>
          <w:tcPr>
            <w:tcW w:w="9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2</w:t>
            </w:r>
          </w:p>
        </w:tc>
        <w:tc>
          <w:tcPr>
            <w:tcW w:w="36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xml:space="preserve">котельная № 2, пгт.Октябрьское, </w:t>
            </w:r>
          </w:p>
          <w:p>
            <w:pPr>
              <w:pStyle w:val="Normal"/>
              <w:jc w:val="center"/>
              <w:rPr>
                <w:sz w:val="20"/>
                <w:szCs w:val="20"/>
                <w:lang w:eastAsia="ru-RU"/>
              </w:rPr>
            </w:pPr>
            <w:r>
              <w:rPr>
                <w:sz w:val="20"/>
                <w:szCs w:val="20"/>
                <w:lang w:eastAsia="ru-RU"/>
              </w:rPr>
              <w:t>ул.Пионерская, 17б</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5,63</w:t>
            </w:r>
          </w:p>
        </w:tc>
        <w:tc>
          <w:tcPr>
            <w:tcW w:w="242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4710,3</w:t>
            </w:r>
          </w:p>
        </w:tc>
      </w:tr>
      <w:tr>
        <w:trPr/>
        <w:tc>
          <w:tcPr>
            <w:tcW w:w="9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3</w:t>
            </w:r>
          </w:p>
        </w:tc>
        <w:tc>
          <w:tcPr>
            <w:tcW w:w="36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xml:space="preserve">котельная № 3, пгт.Октябрьское, </w:t>
            </w:r>
          </w:p>
          <w:p>
            <w:pPr>
              <w:pStyle w:val="Normal"/>
              <w:jc w:val="center"/>
              <w:rPr>
                <w:sz w:val="20"/>
                <w:szCs w:val="20"/>
                <w:lang w:eastAsia="ru-RU"/>
              </w:rPr>
            </w:pPr>
            <w:r>
              <w:rPr>
                <w:sz w:val="20"/>
                <w:szCs w:val="20"/>
                <w:lang w:eastAsia="ru-RU"/>
              </w:rPr>
              <w:t>ул.Чапаева, 6б</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5,21</w:t>
            </w:r>
          </w:p>
        </w:tc>
        <w:tc>
          <w:tcPr>
            <w:tcW w:w="242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4358,9</w:t>
            </w:r>
          </w:p>
        </w:tc>
      </w:tr>
      <w:tr>
        <w:trPr/>
        <w:tc>
          <w:tcPr>
            <w:tcW w:w="9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4</w:t>
            </w:r>
          </w:p>
        </w:tc>
        <w:tc>
          <w:tcPr>
            <w:tcW w:w="36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xml:space="preserve">котельная № 6, пгт.Октябрьское, </w:t>
            </w:r>
          </w:p>
          <w:p>
            <w:pPr>
              <w:pStyle w:val="Normal"/>
              <w:jc w:val="center"/>
              <w:rPr>
                <w:sz w:val="20"/>
                <w:szCs w:val="20"/>
                <w:lang w:eastAsia="ru-RU"/>
              </w:rPr>
            </w:pPr>
            <w:r>
              <w:rPr>
                <w:sz w:val="20"/>
                <w:szCs w:val="20"/>
                <w:lang w:eastAsia="ru-RU"/>
              </w:rPr>
              <w:t>ул.Дзержинского, 2б</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3,26</w:t>
            </w:r>
          </w:p>
        </w:tc>
        <w:tc>
          <w:tcPr>
            <w:tcW w:w="242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2727,4</w:t>
            </w:r>
          </w:p>
        </w:tc>
      </w:tr>
      <w:tr>
        <w:trPr/>
        <w:tc>
          <w:tcPr>
            <w:tcW w:w="9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5</w:t>
            </w:r>
          </w:p>
        </w:tc>
        <w:tc>
          <w:tcPr>
            <w:tcW w:w="36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xml:space="preserve">котельная № 7,пгт.Октябрьское, </w:t>
            </w:r>
          </w:p>
          <w:p>
            <w:pPr>
              <w:pStyle w:val="Normal"/>
              <w:jc w:val="center"/>
              <w:rPr>
                <w:sz w:val="20"/>
                <w:szCs w:val="20"/>
                <w:lang w:eastAsia="ru-RU"/>
              </w:rPr>
            </w:pPr>
            <w:r>
              <w:rPr>
                <w:sz w:val="20"/>
                <w:szCs w:val="20"/>
                <w:lang w:eastAsia="ru-RU"/>
              </w:rPr>
              <w:t>ул.Медицинская, 3Б</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0,86</w:t>
            </w:r>
          </w:p>
        </w:tc>
        <w:tc>
          <w:tcPr>
            <w:tcW w:w="242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3320,2</w:t>
            </w:r>
          </w:p>
        </w:tc>
      </w:tr>
      <w:tr>
        <w:trPr/>
        <w:tc>
          <w:tcPr>
            <w:tcW w:w="9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6</w:t>
            </w:r>
          </w:p>
        </w:tc>
        <w:tc>
          <w:tcPr>
            <w:tcW w:w="36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xml:space="preserve">котельная № 12, пгт.Октябрьское, </w:t>
            </w:r>
          </w:p>
          <w:p>
            <w:pPr>
              <w:pStyle w:val="Normal"/>
              <w:jc w:val="center"/>
              <w:rPr>
                <w:sz w:val="20"/>
                <w:szCs w:val="20"/>
                <w:lang w:eastAsia="ru-RU"/>
              </w:rPr>
            </w:pPr>
            <w:r>
              <w:rPr>
                <w:sz w:val="20"/>
                <w:szCs w:val="20"/>
                <w:lang w:eastAsia="ru-RU"/>
              </w:rPr>
              <w:t>ул.Медицинская, 3к</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2,67</w:t>
            </w:r>
          </w:p>
        </w:tc>
        <w:tc>
          <w:tcPr>
            <w:tcW w:w="242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1363,8</w:t>
            </w:r>
          </w:p>
        </w:tc>
      </w:tr>
      <w:tr>
        <w:trPr/>
        <w:tc>
          <w:tcPr>
            <w:tcW w:w="9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7</w:t>
            </w:r>
          </w:p>
        </w:tc>
        <w:tc>
          <w:tcPr>
            <w:tcW w:w="36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xml:space="preserve">котельная № 8, пгт.Октябрьское, </w:t>
            </w:r>
          </w:p>
          <w:p>
            <w:pPr>
              <w:pStyle w:val="Normal"/>
              <w:jc w:val="center"/>
              <w:rPr>
                <w:sz w:val="20"/>
                <w:szCs w:val="20"/>
                <w:lang w:eastAsia="ru-RU"/>
              </w:rPr>
            </w:pPr>
            <w:r>
              <w:rPr>
                <w:sz w:val="20"/>
                <w:szCs w:val="20"/>
                <w:lang w:eastAsia="ru-RU"/>
              </w:rPr>
              <w:t>ул.50 лет Победы, 38А</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0,16</w:t>
            </w:r>
          </w:p>
        </w:tc>
        <w:tc>
          <w:tcPr>
            <w:tcW w:w="242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133,9</w:t>
            </w:r>
          </w:p>
        </w:tc>
      </w:tr>
    </w:tbl>
    <w:p>
      <w:pPr>
        <w:pStyle w:val="Normal"/>
        <w:keepNext w:val="true"/>
        <w:keepLines/>
        <w:numPr>
          <w:ilvl w:val="0"/>
          <w:numId w:val="0"/>
        </w:numPr>
        <w:ind w:left="0" w:firstLine="709"/>
        <w:jc w:val="both"/>
        <w:outlineLvl w:val="1"/>
        <w:rPr>
          <w:rFonts w:eastAsia="Calibri Light" w:cs="Calibri Light"/>
          <w:b/>
          <w:b/>
          <w:szCs w:val="26"/>
          <w:lang w:eastAsia="en-US"/>
        </w:rPr>
      </w:pPr>
      <w:bookmarkStart w:id="904" w:name="_Toc181340440"/>
      <w:bookmarkStart w:id="905" w:name="_Toc160529974"/>
      <w:r>
        <w:rPr>
          <w:rFonts w:eastAsia="Calibri Light" w:cs="Calibri Light"/>
          <w:b/>
          <w:szCs w:val="26"/>
          <w:lang w:eastAsia="en-US"/>
        </w:rPr>
        <w:t>2.2. Прогнозы приростов площади строительных фондов, сгруппированные по расчетным элементам территориального деления и по зонам действия источников тепловой энергии с разделением объектов строительства на многоквартирные дома, индивидуальные жилые дома, общественные здания, производственные здания промышленных предприятий, на каждом этапе</w:t>
      </w:r>
      <w:bookmarkEnd w:id="904"/>
      <w:bookmarkEnd w:id="905"/>
    </w:p>
    <w:p>
      <w:pPr>
        <w:pStyle w:val="Normal"/>
        <w:keepNext w:val="true"/>
        <w:keepLines/>
        <w:numPr>
          <w:ilvl w:val="0"/>
          <w:numId w:val="0"/>
        </w:numPr>
        <w:ind w:left="0" w:firstLine="709"/>
        <w:jc w:val="both"/>
        <w:outlineLvl w:val="1"/>
        <w:rPr>
          <w:rFonts w:eastAsia="Calibri Light" w:cs="Calibri Light"/>
          <w:b/>
          <w:b/>
          <w:szCs w:val="26"/>
          <w:lang w:eastAsia="en-US"/>
        </w:rPr>
      </w:pPr>
      <w:r>
        <w:rPr>
          <w:szCs w:val="28"/>
          <w:lang w:eastAsia="ru-RU"/>
        </w:rPr>
        <w:t xml:space="preserve">Планом развития поселения предусматривается новое жилищное строительство, размещаемое на территориях существующей застройки путем реконструкции и создания новой современной застройки, обеспечивающей комфортные условия проживания. В соответствии с планами развития на территории поселения планируется строительство жилых и общественных зданий, а также индивидуальных жилых домов. </w:t>
      </w:r>
    </w:p>
    <w:p>
      <w:pPr>
        <w:pStyle w:val="Normal"/>
        <w:keepNext w:val="true"/>
        <w:keepLines/>
        <w:numPr>
          <w:ilvl w:val="0"/>
          <w:numId w:val="0"/>
        </w:numPr>
        <w:ind w:left="0" w:firstLine="709"/>
        <w:jc w:val="both"/>
        <w:outlineLvl w:val="1"/>
        <w:rPr>
          <w:rFonts w:eastAsia="Calibri Light" w:cs="Calibri Light"/>
          <w:b/>
          <w:b/>
          <w:szCs w:val="26"/>
          <w:lang w:eastAsia="en-US"/>
        </w:rPr>
      </w:pPr>
      <w:r>
        <w:rPr>
          <w:szCs w:val="28"/>
          <w:lang w:eastAsia="ru-RU"/>
        </w:rPr>
        <w:t xml:space="preserve">В настоящее время строительство жилья на территории поселения представлено преимущественно индивидуальной жилой застройкой. </w:t>
      </w:r>
    </w:p>
    <w:p>
      <w:pPr>
        <w:pStyle w:val="Normal"/>
        <w:keepNext w:val="true"/>
        <w:keepLines/>
        <w:numPr>
          <w:ilvl w:val="0"/>
          <w:numId w:val="0"/>
        </w:numPr>
        <w:ind w:left="0" w:firstLine="709"/>
        <w:jc w:val="both"/>
        <w:outlineLvl w:val="1"/>
        <w:rPr>
          <w:rFonts w:eastAsia="Calibri Light" w:cs="Calibri Light"/>
          <w:b/>
          <w:b/>
          <w:szCs w:val="26"/>
          <w:lang w:eastAsia="en-US"/>
        </w:rPr>
      </w:pPr>
      <w:r>
        <w:rPr>
          <w:szCs w:val="28"/>
          <w:lang w:eastAsia="ru-RU"/>
        </w:rPr>
        <w:t>Для отопления и горячего водоснабжения индивидуальных домов рекомендуется применение индивидуальных двухконтурных котлов, работающих на природном газе и твердом топливе. Выбор индивидуальных источников тепла объясняется тем, что объекты имеют незначительную тепловую нагрузку и находятся на значительном расстоянии друг от друга, что влечет за собой большие потери в тепловых сетях и значительные капвложения по их прокладке.</w:t>
      </w:r>
    </w:p>
    <w:p>
      <w:pPr>
        <w:pStyle w:val="Normal"/>
        <w:spacing w:before="0" w:after="0"/>
        <w:ind w:firstLine="709"/>
        <w:contextualSpacing/>
        <w:jc w:val="both"/>
        <w:rPr>
          <w:szCs w:val="28"/>
          <w:lang w:eastAsia="ru-RU"/>
        </w:rPr>
      </w:pPr>
      <w:r>
        <w:rPr>
          <w:szCs w:val="28"/>
          <w:lang w:eastAsia="ru-RU"/>
        </w:rPr>
        <w:t xml:space="preserve">Для теплоснабжения вновь строящихся зданий (группы зданий) с небольшим теплопотреблением и промышленных объектов рекомендуется использовать автономные источники тепла: отдельностоящие и пристроенные блочно-модульные котельные малой мощности. </w:t>
      </w:r>
    </w:p>
    <w:p>
      <w:pPr>
        <w:pStyle w:val="Normal"/>
        <w:spacing w:before="0" w:after="0"/>
        <w:ind w:firstLine="709"/>
        <w:contextualSpacing/>
        <w:jc w:val="both"/>
        <w:rPr>
          <w:szCs w:val="28"/>
          <w:lang w:eastAsia="ru-RU"/>
        </w:rPr>
      </w:pPr>
      <w:r>
        <w:rPr>
          <w:szCs w:val="28"/>
          <w:lang w:eastAsia="ru-RU"/>
        </w:rPr>
        <w:t xml:space="preserve">На основании вышесказанного, можно сделать вывод, что увеличение отапливаемой площади в зонах действия источников централизованного </w:t>
      </w:r>
      <w:bookmarkStart w:id="906" w:name="_Toc160529975"/>
      <w:bookmarkStart w:id="907" w:name="_Toc181340441"/>
      <w:r>
        <w:rPr>
          <w:szCs w:val="28"/>
          <w:lang w:eastAsia="ru-RU"/>
        </w:rPr>
        <w:t>теплоснабжения, не планируется.</w:t>
      </w:r>
    </w:p>
    <w:p>
      <w:pPr>
        <w:pStyle w:val="Normal"/>
        <w:spacing w:before="0" w:after="0"/>
        <w:ind w:firstLine="709"/>
        <w:contextualSpacing/>
        <w:jc w:val="both"/>
        <w:rPr>
          <w:szCs w:val="28"/>
          <w:lang w:eastAsia="ru-RU"/>
        </w:rPr>
      </w:pPr>
      <w:r>
        <w:rPr>
          <w:szCs w:val="28"/>
          <w:lang w:eastAsia="ru-RU"/>
        </w:rPr>
      </w:r>
    </w:p>
    <w:p>
      <w:pPr>
        <w:pStyle w:val="Normal"/>
        <w:spacing w:before="0" w:after="0"/>
        <w:ind w:firstLine="709"/>
        <w:contextualSpacing/>
        <w:jc w:val="both"/>
        <w:rPr>
          <w:b/>
          <w:b/>
          <w:bCs/>
          <w:szCs w:val="28"/>
          <w:lang w:eastAsia="ru-RU"/>
        </w:rPr>
      </w:pPr>
      <w:r>
        <w:rPr>
          <w:b/>
          <w:bCs/>
          <w:szCs w:val="28"/>
          <w:lang w:eastAsia="ru-RU"/>
        </w:rPr>
        <w:t>2.3. Прогнозы перспективных удельных расходов тепловой энергии на отопление, вентиляцию и горячее водоснабжение, согласованных с требованиями                             к энергетической эффективности объектов теплопотребления, устанавливаемых                      в соответствии с законодательством Российской Федерации</w:t>
      </w:r>
      <w:bookmarkEnd w:id="906"/>
      <w:bookmarkEnd w:id="907"/>
    </w:p>
    <w:p>
      <w:pPr>
        <w:pStyle w:val="Normal"/>
        <w:spacing w:before="0" w:after="0"/>
        <w:ind w:firstLine="709"/>
        <w:contextualSpacing/>
        <w:jc w:val="both"/>
        <w:rPr>
          <w:rFonts w:eastAsia="Calibri"/>
          <w:b/>
          <w:b/>
          <w:lang w:eastAsia="en-US"/>
        </w:rPr>
      </w:pPr>
      <w:r>
        <w:rPr>
          <w:lang w:eastAsia="ru-RU"/>
        </w:rPr>
        <w:t xml:space="preserve">Требования к энергетической эффективности жилых и общественных зданий приведены в </w:t>
      </w:r>
      <w:r>
        <w:rPr/>
        <w:t>Федеральных законах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 от 27.07.2010 № 190-ФЗ                                           «О теплоснабжении».</w:t>
      </w:r>
    </w:p>
    <w:p>
      <w:pPr>
        <w:pStyle w:val="Normal"/>
        <w:spacing w:before="0" w:after="0"/>
        <w:ind w:firstLine="709"/>
        <w:contextualSpacing/>
        <w:jc w:val="both"/>
        <w:rPr>
          <w:rFonts w:eastAsia="Calibri"/>
          <w:b/>
          <w:b/>
          <w:lang w:eastAsia="en-US"/>
        </w:rPr>
      </w:pPr>
      <w:r>
        <w:rPr/>
        <w:t>Т</w:t>
      </w:r>
      <w:r>
        <w:rPr>
          <w:lang w:eastAsia="ru-RU"/>
        </w:rPr>
        <w:t>ребования к тепловой защите зданий в целях экономии энергии при обеспечении санитарно-гигиенических и оптимальных параметров микроклимата помещений и долговечности ограждающих конструкций зданий и сооружений установлены</w:t>
      </w:r>
      <w:r>
        <w:rPr/>
        <w:t xml:space="preserve"> СП 50.13330.2024 «СНиП 23-02-2003 Тепловая защита зданий».</w:t>
      </w:r>
    </w:p>
    <w:p>
      <w:pPr>
        <w:pStyle w:val="Normal"/>
        <w:spacing w:before="0" w:after="0"/>
        <w:ind w:firstLine="709"/>
        <w:contextualSpacing/>
        <w:jc w:val="both"/>
        <w:rPr>
          <w:szCs w:val="28"/>
          <w:lang w:eastAsia="ru-RU"/>
        </w:rPr>
      </w:pPr>
      <w:r>
        <w:rPr>
          <w:lang w:eastAsia="ru-RU"/>
        </w:rPr>
        <w:t>На основании данных по прогнозам убыли строительных фондов и населения увеличение удельных расходов тепловой энергии на отопление, вентиляцию и горячее водоснабжение не предусматривается.</w:t>
      </w:r>
      <w:bookmarkStart w:id="908" w:name="_Toc181340442"/>
      <w:bookmarkStart w:id="909" w:name="_Toc160529976"/>
      <w:bookmarkStart w:id="910" w:name="_Toc535409558"/>
      <w:bookmarkEnd w:id="910"/>
    </w:p>
    <w:p>
      <w:pPr>
        <w:pStyle w:val="Normal"/>
        <w:spacing w:before="0" w:after="0"/>
        <w:ind w:firstLine="709"/>
        <w:contextualSpacing/>
        <w:jc w:val="both"/>
        <w:rPr>
          <w:szCs w:val="28"/>
          <w:lang w:eastAsia="ru-RU"/>
        </w:rPr>
      </w:pPr>
      <w:r>
        <w:rPr>
          <w:szCs w:val="28"/>
          <w:lang w:eastAsia="ru-RU"/>
        </w:rPr>
      </w:r>
    </w:p>
    <w:p>
      <w:pPr>
        <w:pStyle w:val="Normal"/>
        <w:spacing w:before="0" w:after="0"/>
        <w:ind w:firstLine="709"/>
        <w:contextualSpacing/>
        <w:jc w:val="both"/>
        <w:rPr>
          <w:szCs w:val="28"/>
          <w:lang w:eastAsia="ru-RU"/>
        </w:rPr>
      </w:pPr>
      <w:r>
        <w:rPr>
          <w:rFonts w:eastAsia="Calibri Light" w:cs="Calibri Light"/>
          <w:b/>
          <w:szCs w:val="26"/>
          <w:lang w:eastAsia="en-US"/>
        </w:rPr>
        <w:t>2.4. Прогнозы приростов объемов потребления тепловой энергии (мощности) и теплоносителя с разделением по видам теплопотребления в каждом расчетном элементе территориального деления и в зоне действия каждого из существующих или предлагаемых для строительства источников тепловой энергии на каждом этапе</w:t>
      </w:r>
      <w:bookmarkEnd w:id="908"/>
      <w:bookmarkEnd w:id="909"/>
    </w:p>
    <w:p>
      <w:pPr>
        <w:pStyle w:val="Normal"/>
        <w:ind w:firstLine="709"/>
        <w:jc w:val="both"/>
        <w:rPr>
          <w:rFonts w:eastAsia="Calibri"/>
          <w:szCs w:val="22"/>
          <w:lang w:eastAsia="en-US"/>
        </w:rPr>
      </w:pPr>
      <w:r>
        <w:rPr>
          <w:rFonts w:eastAsia="Calibri" w:cs="Calibri"/>
          <w:szCs w:val="22"/>
          <w:lang w:eastAsia="en-US"/>
        </w:rPr>
        <w:t>Планом развития предусматривается новое жилищное строительство, размещаемое на территориях существующей застройки путем реконструкции и создания новой современной застройки, обеспечивающей комфортные условия проживания. В зоне действия существующего источника тепловой энергии прироста объемов потребления тепловой энергии не планируется. Проектов строительства новых источников тепловой энергии не выявлено.</w:t>
      </w:r>
      <w:bookmarkStart w:id="911" w:name="_Hlk160697382"/>
      <w:bookmarkEnd w:id="911"/>
    </w:p>
    <w:p>
      <w:pPr>
        <w:pStyle w:val="Normal"/>
        <w:ind w:firstLine="709"/>
        <w:jc w:val="both"/>
        <w:rPr>
          <w:rFonts w:eastAsia="Calibri"/>
          <w:szCs w:val="22"/>
          <w:lang w:eastAsia="en-US"/>
        </w:rPr>
      </w:pPr>
      <w:r>
        <w:rPr>
          <w:rFonts w:eastAsia="Calibri" w:cs="Calibri"/>
          <w:szCs w:val="22"/>
          <w:lang w:eastAsia="en-US"/>
        </w:rPr>
        <w:t>Существующая и перспективная тепловая нагрузка источников централизованного теплоснабжения приведена в таблице 23. Перспективная тепловая нагрузка источников теплоснабжения была рассчитана с учетом планов по реконструкции системы теплоснабжения, рассмотренных в Главах 5, 7 и 8 настоящих Обосновывающих материалов.</w:t>
      </w:r>
    </w:p>
    <w:p>
      <w:pPr>
        <w:pStyle w:val="Normal"/>
        <w:jc w:val="right"/>
        <w:rPr>
          <w:rFonts w:eastAsia="Calibri" w:cs="Calibri"/>
          <w:iCs/>
          <w:szCs w:val="18"/>
          <w:lang w:eastAsia="en-US"/>
        </w:rPr>
      </w:pPr>
      <w:r>
        <w:rPr>
          <w:rFonts w:eastAsia="Calibri" w:cs="Calibri"/>
          <w:iCs/>
          <w:szCs w:val="18"/>
          <w:lang w:eastAsia="en-US"/>
        </w:rPr>
        <w:t>Таблица 23 – Прогноз суммарного потребления тепловой энергии и прирост спроса на тепловую мощность, Гкал/час</w:t>
      </w:r>
    </w:p>
    <w:tbl>
      <w:tblPr>
        <w:tblW w:w="5000" w:type="pct"/>
        <w:jc w:val="left"/>
        <w:tblInd w:w="0" w:type="dxa"/>
        <w:tblCellMar>
          <w:top w:w="0" w:type="dxa"/>
          <w:left w:w="108" w:type="dxa"/>
          <w:bottom w:w="0" w:type="dxa"/>
          <w:right w:w="108" w:type="dxa"/>
        </w:tblCellMar>
        <w:tblLook w:val="04a0" w:noVBand="1" w:noHBand="0" w:lastColumn="0" w:firstColumn="1" w:lastRow="0" w:firstRow="1"/>
      </w:tblPr>
      <w:tblGrid>
        <w:gridCol w:w="501"/>
        <w:gridCol w:w="2814"/>
        <w:gridCol w:w="727"/>
        <w:gridCol w:w="699"/>
        <w:gridCol w:w="772"/>
        <w:gridCol w:w="975"/>
        <w:gridCol w:w="760"/>
        <w:gridCol w:w="759"/>
        <w:gridCol w:w="815"/>
        <w:gridCol w:w="815"/>
      </w:tblGrid>
      <w:tr>
        <w:trPr>
          <w:tblHeader w:val="true"/>
          <w:cantSplit w:val="true"/>
        </w:trPr>
        <w:tc>
          <w:tcPr>
            <w:tcW w:w="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rPr>
              <w:t xml:space="preserve">№ </w:t>
            </w:r>
            <w:r>
              <w:rPr>
                <w:sz w:val="20"/>
                <w:szCs w:val="20"/>
              </w:rPr>
              <w:t>п/п</w:t>
            </w:r>
          </w:p>
        </w:tc>
        <w:tc>
          <w:tcPr>
            <w:tcW w:w="28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rPr>
              <w:t>Котельная</w:t>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iCs/>
                <w:sz w:val="20"/>
                <w:szCs w:val="20"/>
              </w:rPr>
            </w:pPr>
            <w:r>
              <w:rPr>
                <w:iCs/>
                <w:sz w:val="20"/>
                <w:szCs w:val="20"/>
              </w:rPr>
              <w:t>2023 год</w:t>
            </w:r>
          </w:p>
        </w:tc>
        <w:tc>
          <w:tcPr>
            <w:tcW w:w="69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iCs/>
                <w:sz w:val="20"/>
                <w:szCs w:val="20"/>
              </w:rPr>
            </w:pPr>
            <w:r>
              <w:rPr>
                <w:iCs/>
                <w:sz w:val="20"/>
                <w:szCs w:val="20"/>
              </w:rPr>
              <w:t>2024 год</w:t>
            </w:r>
          </w:p>
        </w:tc>
        <w:tc>
          <w:tcPr>
            <w:tcW w:w="7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iCs/>
                <w:sz w:val="20"/>
                <w:szCs w:val="20"/>
              </w:rPr>
            </w:pPr>
            <w:r>
              <w:rPr>
                <w:iCs/>
                <w:sz w:val="20"/>
                <w:szCs w:val="20"/>
              </w:rPr>
              <w:t>2025 год</w:t>
            </w:r>
          </w:p>
        </w:tc>
        <w:tc>
          <w:tcPr>
            <w:tcW w:w="975" w:type="dxa"/>
            <w:tcBorders>
              <w:top w:val="single" w:sz="8" w:space="0" w:color="000000"/>
              <w:left w:val="single" w:sz="8" w:space="0" w:color="000000"/>
              <w:bottom w:val="single" w:sz="4" w:space="0" w:color="000000"/>
              <w:right w:val="single" w:sz="4" w:space="0" w:color="000000"/>
            </w:tcBorders>
            <w:shd w:color="auto" w:fill="auto" w:val="clear"/>
            <w:vAlign w:val="center"/>
          </w:tcPr>
          <w:p>
            <w:pPr>
              <w:pStyle w:val="Normal"/>
              <w:jc w:val="center"/>
              <w:rPr>
                <w:iCs/>
                <w:sz w:val="20"/>
                <w:szCs w:val="20"/>
              </w:rPr>
            </w:pPr>
            <w:r>
              <w:rPr>
                <w:iCs/>
                <w:sz w:val="20"/>
                <w:szCs w:val="20"/>
              </w:rPr>
              <w:t xml:space="preserve">2026 </w:t>
            </w:r>
          </w:p>
          <w:p>
            <w:pPr>
              <w:pStyle w:val="Normal"/>
              <w:jc w:val="center"/>
              <w:rPr>
                <w:iCs/>
                <w:sz w:val="20"/>
                <w:szCs w:val="20"/>
              </w:rPr>
            </w:pPr>
            <w:r>
              <w:rPr>
                <w:iCs/>
                <w:sz w:val="20"/>
                <w:szCs w:val="20"/>
              </w:rPr>
              <w:t>год</w:t>
            </w:r>
          </w:p>
        </w:tc>
        <w:tc>
          <w:tcPr>
            <w:tcW w:w="760" w:type="dxa"/>
            <w:tcBorders>
              <w:top w:val="single" w:sz="8" w:space="0" w:color="000000"/>
              <w:left w:val="single" w:sz="4" w:space="0" w:color="000000"/>
              <w:bottom w:val="single" w:sz="4" w:space="0" w:color="000000"/>
              <w:right w:val="single" w:sz="4" w:space="0" w:color="000000"/>
            </w:tcBorders>
            <w:shd w:color="auto" w:fill="auto" w:val="clear"/>
            <w:vAlign w:val="center"/>
          </w:tcPr>
          <w:p>
            <w:pPr>
              <w:pStyle w:val="Normal"/>
              <w:jc w:val="center"/>
              <w:rPr>
                <w:iCs/>
                <w:sz w:val="20"/>
                <w:szCs w:val="20"/>
              </w:rPr>
            </w:pPr>
            <w:r>
              <w:rPr>
                <w:iCs/>
                <w:sz w:val="20"/>
                <w:szCs w:val="20"/>
              </w:rPr>
              <w:t>2027 год</w:t>
            </w:r>
          </w:p>
        </w:tc>
        <w:tc>
          <w:tcPr>
            <w:tcW w:w="7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iCs/>
                <w:sz w:val="20"/>
                <w:szCs w:val="20"/>
              </w:rPr>
            </w:pPr>
            <w:r>
              <w:rPr>
                <w:iCs/>
                <w:sz w:val="20"/>
                <w:szCs w:val="20"/>
              </w:rPr>
              <w:t>2028 год</w:t>
            </w:r>
          </w:p>
        </w:tc>
        <w:tc>
          <w:tcPr>
            <w:tcW w:w="81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rPr>
              <w:t>2029-2034 год</w:t>
            </w:r>
          </w:p>
        </w:tc>
        <w:tc>
          <w:tcPr>
            <w:tcW w:w="81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iCs/>
                <w:sz w:val="20"/>
                <w:szCs w:val="20"/>
              </w:rPr>
            </w:pPr>
            <w:r>
              <w:rPr>
                <w:sz w:val="20"/>
                <w:szCs w:val="20"/>
              </w:rPr>
              <w:t xml:space="preserve">2035 – 2040 </w:t>
            </w:r>
            <w:r>
              <w:rPr>
                <w:iCs/>
                <w:sz w:val="20"/>
                <w:szCs w:val="20"/>
              </w:rPr>
              <w:t>годы</w:t>
            </w:r>
          </w:p>
        </w:tc>
      </w:tr>
      <w:tr>
        <w:trPr>
          <w:cantSplit w:val="true"/>
        </w:trPr>
        <w:tc>
          <w:tcPr>
            <w:tcW w:w="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spacing w:before="0" w:after="200"/>
              <w:ind w:left="0" w:hanging="0"/>
              <w:jc w:val="center"/>
              <w:rPr>
                <w:sz w:val="20"/>
                <w:szCs w:val="20"/>
              </w:rPr>
            </w:pPr>
            <w:r>
              <w:rPr>
                <w:rFonts w:cs="Times New Roman"/>
                <w:sz w:val="20"/>
                <w:szCs w:val="20"/>
                <w:lang w:eastAsia="ru-RU"/>
              </w:rPr>
              <w:t>1</w:t>
            </w:r>
          </w:p>
        </w:tc>
        <w:tc>
          <w:tcPr>
            <w:tcW w:w="28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lang w:eastAsia="ru-RU"/>
              </w:rPr>
              <w:t xml:space="preserve">котельная № 1, </w:t>
            </w:r>
          </w:p>
          <w:p>
            <w:pPr>
              <w:pStyle w:val="Normal"/>
              <w:jc w:val="center"/>
              <w:rPr>
                <w:sz w:val="20"/>
                <w:szCs w:val="20"/>
              </w:rPr>
            </w:pPr>
            <w:r>
              <w:rPr>
                <w:sz w:val="20"/>
                <w:szCs w:val="20"/>
                <w:lang w:eastAsia="ru-RU"/>
              </w:rPr>
              <w:t xml:space="preserve">пгт.Октябрьское, </w:t>
            </w:r>
          </w:p>
          <w:p>
            <w:pPr>
              <w:pStyle w:val="Normal"/>
              <w:jc w:val="center"/>
              <w:rPr>
                <w:sz w:val="20"/>
                <w:szCs w:val="20"/>
              </w:rPr>
            </w:pPr>
            <w:r>
              <w:rPr>
                <w:sz w:val="20"/>
                <w:szCs w:val="20"/>
                <w:lang w:eastAsia="ru-RU"/>
              </w:rPr>
              <w:t>ул.Сенькина, 46б</w:t>
            </w:r>
          </w:p>
        </w:tc>
        <w:tc>
          <w:tcPr>
            <w:tcW w:w="727" w:type="dxa"/>
            <w:tcBorders>
              <w:bottom w:val="single" w:sz="8" w:space="0" w:color="000000"/>
              <w:right w:val="single" w:sz="8" w:space="0" w:color="000000"/>
            </w:tcBorders>
            <w:shd w:color="auto" w:fill="auto" w:val="clear"/>
            <w:vAlign w:val="center"/>
          </w:tcPr>
          <w:p>
            <w:pPr>
              <w:pStyle w:val="Normal"/>
              <w:jc w:val="center"/>
              <w:rPr>
                <w:sz w:val="20"/>
                <w:szCs w:val="20"/>
              </w:rPr>
            </w:pPr>
            <w:r>
              <w:rPr>
                <w:sz w:val="20"/>
                <w:szCs w:val="20"/>
                <w:lang w:eastAsia="ru-RU"/>
              </w:rPr>
              <w:t>8,36</w:t>
            </w:r>
          </w:p>
        </w:tc>
        <w:tc>
          <w:tcPr>
            <w:tcW w:w="699" w:type="dxa"/>
            <w:tcBorders>
              <w:bottom w:val="single" w:sz="8" w:space="0" w:color="000000"/>
              <w:right w:val="single" w:sz="8" w:space="0" w:color="000000"/>
            </w:tcBorders>
            <w:shd w:color="auto" w:fill="auto" w:val="clear"/>
            <w:vAlign w:val="center"/>
          </w:tcPr>
          <w:p>
            <w:pPr>
              <w:pStyle w:val="Normal"/>
              <w:jc w:val="center"/>
              <w:rPr>
                <w:sz w:val="20"/>
                <w:szCs w:val="20"/>
              </w:rPr>
            </w:pPr>
            <w:r>
              <w:rPr>
                <w:sz w:val="20"/>
                <w:szCs w:val="20"/>
                <w:lang w:eastAsia="ru-RU"/>
              </w:rPr>
              <w:t>8,36</w:t>
            </w:r>
          </w:p>
        </w:tc>
        <w:tc>
          <w:tcPr>
            <w:tcW w:w="772" w:type="dxa"/>
            <w:tcBorders>
              <w:bottom w:val="single" w:sz="8" w:space="0" w:color="000000"/>
              <w:right w:val="single" w:sz="8" w:space="0" w:color="000000"/>
            </w:tcBorders>
            <w:shd w:color="auto" w:fill="auto" w:val="clear"/>
            <w:vAlign w:val="center"/>
          </w:tcPr>
          <w:p>
            <w:pPr>
              <w:pStyle w:val="Normal"/>
              <w:jc w:val="center"/>
              <w:rPr>
                <w:sz w:val="20"/>
                <w:szCs w:val="20"/>
              </w:rPr>
            </w:pPr>
            <w:r>
              <w:rPr>
                <w:sz w:val="20"/>
                <w:szCs w:val="20"/>
                <w:lang w:eastAsia="ru-RU"/>
              </w:rPr>
              <w:t>8,36</w:t>
            </w:r>
          </w:p>
        </w:tc>
        <w:tc>
          <w:tcPr>
            <w:tcW w:w="975" w:type="dxa"/>
            <w:tcBorders>
              <w:bottom w:val="single" w:sz="8" w:space="0" w:color="000000"/>
              <w:right w:val="single" w:sz="8" w:space="0" w:color="000000"/>
            </w:tcBorders>
            <w:shd w:color="auto" w:fill="auto" w:val="clear"/>
            <w:vAlign w:val="center"/>
          </w:tcPr>
          <w:p>
            <w:pPr>
              <w:pStyle w:val="Normal"/>
              <w:jc w:val="center"/>
              <w:rPr>
                <w:sz w:val="20"/>
                <w:szCs w:val="20"/>
              </w:rPr>
            </w:pPr>
            <w:r>
              <w:rPr>
                <w:sz w:val="20"/>
                <w:szCs w:val="20"/>
                <w:lang w:eastAsia="ru-RU"/>
              </w:rPr>
              <w:t>8,36</w:t>
            </w:r>
          </w:p>
        </w:tc>
        <w:tc>
          <w:tcPr>
            <w:tcW w:w="760" w:type="dxa"/>
            <w:tcBorders>
              <w:bottom w:val="single" w:sz="8" w:space="0" w:color="000000"/>
              <w:right w:val="single" w:sz="8" w:space="0" w:color="000000"/>
            </w:tcBorders>
            <w:shd w:color="auto" w:fill="auto" w:val="clear"/>
            <w:vAlign w:val="center"/>
          </w:tcPr>
          <w:p>
            <w:pPr>
              <w:pStyle w:val="Normal"/>
              <w:jc w:val="center"/>
              <w:rPr>
                <w:sz w:val="20"/>
                <w:szCs w:val="20"/>
              </w:rPr>
            </w:pPr>
            <w:r>
              <w:rPr>
                <w:sz w:val="20"/>
                <w:szCs w:val="20"/>
                <w:lang w:eastAsia="ru-RU"/>
              </w:rPr>
              <w:t>13,57</w:t>
            </w:r>
          </w:p>
        </w:tc>
        <w:tc>
          <w:tcPr>
            <w:tcW w:w="759" w:type="dxa"/>
            <w:tcBorders>
              <w:bottom w:val="single" w:sz="8" w:space="0" w:color="000000"/>
              <w:right w:val="single" w:sz="8" w:space="0" w:color="000000"/>
            </w:tcBorders>
            <w:shd w:color="auto" w:fill="auto" w:val="clear"/>
            <w:vAlign w:val="center"/>
          </w:tcPr>
          <w:p>
            <w:pPr>
              <w:pStyle w:val="Normal"/>
              <w:jc w:val="center"/>
              <w:rPr>
                <w:sz w:val="20"/>
                <w:szCs w:val="20"/>
              </w:rPr>
            </w:pPr>
            <w:r>
              <w:rPr>
                <w:sz w:val="20"/>
                <w:szCs w:val="20"/>
                <w:lang w:eastAsia="ru-RU"/>
              </w:rPr>
              <w:t>13,57</w:t>
            </w:r>
          </w:p>
        </w:tc>
        <w:tc>
          <w:tcPr>
            <w:tcW w:w="815" w:type="dxa"/>
            <w:tcBorders>
              <w:bottom w:val="single" w:sz="8" w:space="0" w:color="000000"/>
              <w:right w:val="single" w:sz="8" w:space="0" w:color="000000"/>
            </w:tcBorders>
            <w:shd w:color="auto" w:fill="auto" w:val="clear"/>
            <w:vAlign w:val="center"/>
          </w:tcPr>
          <w:p>
            <w:pPr>
              <w:pStyle w:val="Normal"/>
              <w:jc w:val="center"/>
              <w:rPr>
                <w:sz w:val="20"/>
                <w:szCs w:val="20"/>
              </w:rPr>
            </w:pPr>
            <w:r>
              <w:rPr>
                <w:sz w:val="20"/>
                <w:szCs w:val="20"/>
                <w:lang w:eastAsia="ru-RU"/>
              </w:rPr>
              <w:t>13,57</w:t>
            </w:r>
          </w:p>
        </w:tc>
        <w:tc>
          <w:tcPr>
            <w:tcW w:w="815" w:type="dxa"/>
            <w:tcBorders>
              <w:bottom w:val="single" w:sz="8" w:space="0" w:color="000000"/>
              <w:right w:val="single" w:sz="8" w:space="0" w:color="000000"/>
            </w:tcBorders>
            <w:shd w:color="auto" w:fill="auto" w:val="clear"/>
            <w:vAlign w:val="center"/>
          </w:tcPr>
          <w:p>
            <w:pPr>
              <w:pStyle w:val="Normal"/>
              <w:jc w:val="center"/>
              <w:rPr>
                <w:sz w:val="20"/>
                <w:szCs w:val="20"/>
              </w:rPr>
            </w:pPr>
            <w:r>
              <w:rPr>
                <w:sz w:val="20"/>
                <w:szCs w:val="20"/>
                <w:lang w:eastAsia="ru-RU"/>
              </w:rPr>
              <w:t>13,57</w:t>
            </w:r>
          </w:p>
        </w:tc>
      </w:tr>
      <w:tr>
        <w:trPr>
          <w:cantSplit w:val="true"/>
        </w:trPr>
        <w:tc>
          <w:tcPr>
            <w:tcW w:w="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spacing w:before="0" w:after="200"/>
              <w:ind w:left="0" w:hanging="0"/>
              <w:jc w:val="center"/>
              <w:rPr>
                <w:rFonts w:cs="Times New Roman"/>
                <w:sz w:val="20"/>
                <w:szCs w:val="20"/>
                <w:lang w:eastAsia="ru-RU"/>
              </w:rPr>
            </w:pPr>
            <w:r>
              <w:rPr>
                <w:rFonts w:cs="Times New Roman"/>
                <w:sz w:val="20"/>
                <w:szCs w:val="20"/>
                <w:lang w:eastAsia="ru-RU"/>
              </w:rPr>
              <w:t>2</w:t>
            </w:r>
          </w:p>
        </w:tc>
        <w:tc>
          <w:tcPr>
            <w:tcW w:w="28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xml:space="preserve">котельная № 2, </w:t>
            </w:r>
          </w:p>
          <w:p>
            <w:pPr>
              <w:pStyle w:val="Normal"/>
              <w:jc w:val="center"/>
              <w:rPr>
                <w:sz w:val="20"/>
                <w:szCs w:val="20"/>
                <w:lang w:eastAsia="ru-RU"/>
              </w:rPr>
            </w:pPr>
            <w:r>
              <w:rPr>
                <w:sz w:val="20"/>
                <w:szCs w:val="20"/>
                <w:lang w:eastAsia="ru-RU"/>
              </w:rPr>
              <w:t xml:space="preserve">пгт.Октябрьское, </w:t>
            </w:r>
          </w:p>
          <w:p>
            <w:pPr>
              <w:pStyle w:val="Normal"/>
              <w:jc w:val="center"/>
              <w:rPr>
                <w:sz w:val="20"/>
                <w:szCs w:val="20"/>
                <w:lang w:eastAsia="ru-RU"/>
              </w:rPr>
            </w:pPr>
            <w:r>
              <w:rPr>
                <w:sz w:val="20"/>
                <w:szCs w:val="20"/>
                <w:lang w:eastAsia="ru-RU"/>
              </w:rPr>
              <w:t>ул.Пионерская, 17б</w:t>
            </w:r>
          </w:p>
        </w:tc>
        <w:tc>
          <w:tcPr>
            <w:tcW w:w="727"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lang w:eastAsia="ru-RU"/>
              </w:rPr>
              <w:t>5,63</w:t>
            </w:r>
          </w:p>
        </w:tc>
        <w:tc>
          <w:tcPr>
            <w:tcW w:w="699" w:type="dxa"/>
            <w:tcBorders>
              <w:bottom w:val="single" w:sz="8" w:space="0" w:color="000000"/>
              <w:right w:val="single" w:sz="8" w:space="0" w:color="000000"/>
            </w:tcBorders>
            <w:shd w:color="auto" w:fill="auto" w:val="clear"/>
            <w:vAlign w:val="center"/>
          </w:tcPr>
          <w:p>
            <w:pPr>
              <w:pStyle w:val="Normal"/>
              <w:jc w:val="center"/>
              <w:rPr>
                <w:sz w:val="20"/>
                <w:szCs w:val="20"/>
              </w:rPr>
            </w:pPr>
            <w:r>
              <w:rPr>
                <w:sz w:val="20"/>
                <w:szCs w:val="20"/>
              </w:rPr>
            </w:r>
          </w:p>
        </w:tc>
        <w:tc>
          <w:tcPr>
            <w:tcW w:w="772" w:type="dxa"/>
            <w:tcBorders>
              <w:bottom w:val="single" w:sz="8" w:space="0" w:color="000000"/>
              <w:right w:val="single" w:sz="8" w:space="0" w:color="000000"/>
            </w:tcBorders>
            <w:shd w:color="auto" w:fill="auto" w:val="clear"/>
            <w:vAlign w:val="center"/>
          </w:tcPr>
          <w:p>
            <w:pPr>
              <w:pStyle w:val="Normal"/>
              <w:jc w:val="center"/>
              <w:rPr>
                <w:sz w:val="20"/>
                <w:szCs w:val="20"/>
              </w:rPr>
            </w:pPr>
            <w:r>
              <w:rPr>
                <w:sz w:val="20"/>
                <w:szCs w:val="20"/>
              </w:rPr>
            </w:r>
          </w:p>
        </w:tc>
        <w:tc>
          <w:tcPr>
            <w:tcW w:w="975" w:type="dxa"/>
            <w:tcBorders>
              <w:bottom w:val="single" w:sz="8" w:space="0" w:color="000000"/>
              <w:right w:val="single" w:sz="8" w:space="0" w:color="000000"/>
            </w:tcBorders>
            <w:shd w:color="auto" w:fill="auto" w:val="clear"/>
            <w:vAlign w:val="center"/>
          </w:tcPr>
          <w:p>
            <w:pPr>
              <w:pStyle w:val="Normal"/>
              <w:jc w:val="center"/>
              <w:rPr>
                <w:sz w:val="20"/>
                <w:szCs w:val="20"/>
              </w:rPr>
            </w:pPr>
            <w:r>
              <w:rPr>
                <w:sz w:val="20"/>
                <w:szCs w:val="20"/>
              </w:rPr>
            </w:r>
          </w:p>
        </w:tc>
        <w:tc>
          <w:tcPr>
            <w:tcW w:w="760" w:type="dxa"/>
            <w:tcBorders>
              <w:bottom w:val="single" w:sz="8" w:space="0" w:color="000000"/>
              <w:right w:val="single" w:sz="8" w:space="0" w:color="000000"/>
            </w:tcBorders>
            <w:shd w:color="auto" w:fill="auto" w:val="clear"/>
            <w:vAlign w:val="center"/>
          </w:tcPr>
          <w:p>
            <w:pPr>
              <w:pStyle w:val="Normal"/>
              <w:jc w:val="center"/>
              <w:rPr>
                <w:sz w:val="20"/>
                <w:szCs w:val="20"/>
              </w:rPr>
            </w:pPr>
            <w:r>
              <w:rPr>
                <w:sz w:val="20"/>
                <w:szCs w:val="20"/>
              </w:rPr>
            </w:r>
          </w:p>
        </w:tc>
        <w:tc>
          <w:tcPr>
            <w:tcW w:w="759" w:type="dxa"/>
            <w:tcBorders>
              <w:bottom w:val="single" w:sz="8" w:space="0" w:color="000000"/>
              <w:right w:val="single" w:sz="8" w:space="0" w:color="000000"/>
            </w:tcBorders>
            <w:shd w:color="auto" w:fill="auto" w:val="clear"/>
            <w:vAlign w:val="center"/>
          </w:tcPr>
          <w:p>
            <w:pPr>
              <w:pStyle w:val="Normal"/>
              <w:jc w:val="center"/>
              <w:rPr>
                <w:sz w:val="20"/>
                <w:szCs w:val="20"/>
              </w:rPr>
            </w:pPr>
            <w:r>
              <w:rPr>
                <w:sz w:val="20"/>
                <w:szCs w:val="20"/>
              </w:rPr>
            </w:r>
          </w:p>
        </w:tc>
        <w:tc>
          <w:tcPr>
            <w:tcW w:w="815" w:type="dxa"/>
            <w:tcBorders>
              <w:bottom w:val="single" w:sz="8" w:space="0" w:color="000000"/>
              <w:right w:val="single" w:sz="8" w:space="0" w:color="000000"/>
            </w:tcBorders>
            <w:shd w:color="auto" w:fill="auto" w:val="clear"/>
            <w:vAlign w:val="center"/>
          </w:tcPr>
          <w:p>
            <w:pPr>
              <w:pStyle w:val="Normal"/>
              <w:jc w:val="center"/>
              <w:rPr>
                <w:sz w:val="20"/>
                <w:szCs w:val="20"/>
              </w:rPr>
            </w:pPr>
            <w:r>
              <w:rPr>
                <w:sz w:val="20"/>
                <w:szCs w:val="20"/>
              </w:rPr>
            </w:r>
          </w:p>
        </w:tc>
        <w:tc>
          <w:tcPr>
            <w:tcW w:w="815" w:type="dxa"/>
            <w:tcBorders>
              <w:bottom w:val="single" w:sz="8" w:space="0" w:color="000000"/>
              <w:right w:val="single" w:sz="8" w:space="0" w:color="000000"/>
            </w:tcBorders>
            <w:shd w:color="auto" w:fill="auto" w:val="clear"/>
            <w:vAlign w:val="center"/>
          </w:tcPr>
          <w:p>
            <w:pPr>
              <w:pStyle w:val="Normal"/>
              <w:jc w:val="center"/>
              <w:rPr>
                <w:sz w:val="20"/>
                <w:szCs w:val="20"/>
              </w:rPr>
            </w:pPr>
            <w:r>
              <w:rPr>
                <w:sz w:val="20"/>
                <w:szCs w:val="20"/>
              </w:rPr>
            </w:r>
          </w:p>
        </w:tc>
      </w:tr>
      <w:tr>
        <w:trPr>
          <w:cantSplit w:val="true"/>
        </w:trPr>
        <w:tc>
          <w:tcPr>
            <w:tcW w:w="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spacing w:before="0" w:after="200"/>
              <w:ind w:left="0" w:hanging="0"/>
              <w:jc w:val="center"/>
              <w:rPr>
                <w:rFonts w:cs="Times New Roman"/>
                <w:sz w:val="20"/>
                <w:szCs w:val="20"/>
                <w:lang w:eastAsia="ru-RU"/>
              </w:rPr>
            </w:pPr>
            <w:r>
              <w:rPr>
                <w:rFonts w:cs="Times New Roman"/>
                <w:sz w:val="20"/>
                <w:szCs w:val="20"/>
                <w:lang w:eastAsia="ru-RU"/>
              </w:rPr>
              <w:t>3</w:t>
            </w:r>
          </w:p>
        </w:tc>
        <w:tc>
          <w:tcPr>
            <w:tcW w:w="28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xml:space="preserve">котельная № 3, </w:t>
            </w:r>
          </w:p>
          <w:p>
            <w:pPr>
              <w:pStyle w:val="Normal"/>
              <w:jc w:val="center"/>
              <w:rPr>
                <w:sz w:val="20"/>
                <w:szCs w:val="20"/>
                <w:lang w:eastAsia="ru-RU"/>
              </w:rPr>
            </w:pPr>
            <w:r>
              <w:rPr>
                <w:sz w:val="20"/>
                <w:szCs w:val="20"/>
                <w:lang w:eastAsia="ru-RU"/>
              </w:rPr>
              <w:t xml:space="preserve">пгт.Октябрьское, </w:t>
            </w:r>
          </w:p>
          <w:p>
            <w:pPr>
              <w:pStyle w:val="Normal"/>
              <w:jc w:val="center"/>
              <w:rPr>
                <w:sz w:val="20"/>
                <w:szCs w:val="20"/>
                <w:lang w:eastAsia="ru-RU"/>
              </w:rPr>
            </w:pPr>
            <w:r>
              <w:rPr>
                <w:sz w:val="20"/>
                <w:szCs w:val="20"/>
                <w:lang w:eastAsia="ru-RU"/>
              </w:rPr>
              <w:t>ул.Чапаева, 6б</w:t>
            </w:r>
          </w:p>
        </w:tc>
        <w:tc>
          <w:tcPr>
            <w:tcW w:w="727"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lang w:eastAsia="ru-RU"/>
              </w:rPr>
              <w:t>5,21</w:t>
            </w:r>
          </w:p>
        </w:tc>
        <w:tc>
          <w:tcPr>
            <w:tcW w:w="699" w:type="dxa"/>
            <w:tcBorders>
              <w:bottom w:val="single" w:sz="8" w:space="0" w:color="000000"/>
              <w:right w:val="single" w:sz="8" w:space="0" w:color="000000"/>
            </w:tcBorders>
            <w:shd w:color="auto" w:fill="auto" w:val="clear"/>
            <w:vAlign w:val="center"/>
          </w:tcPr>
          <w:p>
            <w:pPr>
              <w:pStyle w:val="Normal"/>
              <w:jc w:val="center"/>
              <w:rPr>
                <w:sz w:val="20"/>
                <w:szCs w:val="20"/>
              </w:rPr>
            </w:pPr>
            <w:r>
              <w:rPr>
                <w:sz w:val="20"/>
                <w:szCs w:val="20"/>
                <w:lang w:eastAsia="ru-RU"/>
              </w:rPr>
              <w:t>5,21</w:t>
            </w:r>
          </w:p>
        </w:tc>
        <w:tc>
          <w:tcPr>
            <w:tcW w:w="772" w:type="dxa"/>
            <w:tcBorders>
              <w:bottom w:val="single" w:sz="8" w:space="0" w:color="000000"/>
              <w:right w:val="single" w:sz="8" w:space="0" w:color="000000"/>
            </w:tcBorders>
            <w:shd w:color="auto" w:fill="auto" w:val="clear"/>
            <w:vAlign w:val="center"/>
          </w:tcPr>
          <w:p>
            <w:pPr>
              <w:pStyle w:val="Normal"/>
              <w:jc w:val="center"/>
              <w:rPr>
                <w:sz w:val="20"/>
                <w:szCs w:val="20"/>
              </w:rPr>
            </w:pPr>
            <w:r>
              <w:rPr>
                <w:sz w:val="20"/>
                <w:szCs w:val="20"/>
                <w:lang w:eastAsia="ru-RU"/>
              </w:rPr>
              <w:t>5,21</w:t>
            </w:r>
          </w:p>
        </w:tc>
        <w:tc>
          <w:tcPr>
            <w:tcW w:w="975" w:type="dxa"/>
            <w:tcBorders>
              <w:bottom w:val="single" w:sz="8" w:space="0" w:color="000000"/>
              <w:right w:val="single" w:sz="8" w:space="0" w:color="000000"/>
            </w:tcBorders>
            <w:shd w:color="auto" w:fill="auto" w:val="clear"/>
            <w:vAlign w:val="center"/>
          </w:tcPr>
          <w:p>
            <w:pPr>
              <w:pStyle w:val="Normal"/>
              <w:jc w:val="center"/>
              <w:rPr>
                <w:sz w:val="20"/>
                <w:szCs w:val="20"/>
              </w:rPr>
            </w:pPr>
            <w:r>
              <w:rPr>
                <w:sz w:val="20"/>
                <w:szCs w:val="20"/>
                <w:lang w:eastAsia="ru-RU"/>
              </w:rPr>
              <w:t>5,21</w:t>
            </w:r>
          </w:p>
        </w:tc>
        <w:tc>
          <w:tcPr>
            <w:tcW w:w="760" w:type="dxa"/>
            <w:tcBorders>
              <w:bottom w:val="single" w:sz="8" w:space="0" w:color="000000"/>
              <w:right w:val="single" w:sz="8" w:space="0" w:color="000000"/>
            </w:tcBorders>
            <w:shd w:color="auto" w:fill="auto" w:val="clear"/>
            <w:vAlign w:val="center"/>
          </w:tcPr>
          <w:p>
            <w:pPr>
              <w:pStyle w:val="Normal"/>
              <w:jc w:val="center"/>
              <w:rPr>
                <w:sz w:val="20"/>
                <w:szCs w:val="20"/>
              </w:rPr>
            </w:pPr>
            <w:r>
              <w:rPr>
                <w:sz w:val="20"/>
                <w:szCs w:val="20"/>
              </w:rPr>
            </w:r>
          </w:p>
        </w:tc>
        <w:tc>
          <w:tcPr>
            <w:tcW w:w="759" w:type="dxa"/>
            <w:tcBorders>
              <w:bottom w:val="single" w:sz="8" w:space="0" w:color="000000"/>
              <w:right w:val="single" w:sz="8" w:space="0" w:color="000000"/>
            </w:tcBorders>
            <w:shd w:color="auto" w:fill="auto" w:val="clear"/>
            <w:vAlign w:val="center"/>
          </w:tcPr>
          <w:p>
            <w:pPr>
              <w:pStyle w:val="Normal"/>
              <w:jc w:val="center"/>
              <w:rPr>
                <w:sz w:val="20"/>
                <w:szCs w:val="20"/>
              </w:rPr>
            </w:pPr>
            <w:r>
              <w:rPr>
                <w:sz w:val="20"/>
                <w:szCs w:val="20"/>
              </w:rPr>
            </w:r>
          </w:p>
        </w:tc>
        <w:tc>
          <w:tcPr>
            <w:tcW w:w="815" w:type="dxa"/>
            <w:tcBorders>
              <w:bottom w:val="single" w:sz="8" w:space="0" w:color="000000"/>
              <w:right w:val="single" w:sz="8" w:space="0" w:color="000000"/>
            </w:tcBorders>
            <w:shd w:color="auto" w:fill="auto" w:val="clear"/>
            <w:vAlign w:val="center"/>
          </w:tcPr>
          <w:p>
            <w:pPr>
              <w:pStyle w:val="Normal"/>
              <w:jc w:val="center"/>
              <w:rPr>
                <w:sz w:val="20"/>
                <w:szCs w:val="20"/>
              </w:rPr>
            </w:pPr>
            <w:r>
              <w:rPr>
                <w:sz w:val="20"/>
                <w:szCs w:val="20"/>
              </w:rPr>
            </w:r>
          </w:p>
        </w:tc>
        <w:tc>
          <w:tcPr>
            <w:tcW w:w="815" w:type="dxa"/>
            <w:tcBorders>
              <w:bottom w:val="single" w:sz="8" w:space="0" w:color="000000"/>
              <w:right w:val="single" w:sz="8" w:space="0" w:color="000000"/>
            </w:tcBorders>
            <w:shd w:color="auto" w:fill="auto" w:val="clear"/>
            <w:vAlign w:val="center"/>
          </w:tcPr>
          <w:p>
            <w:pPr>
              <w:pStyle w:val="Normal"/>
              <w:jc w:val="center"/>
              <w:rPr>
                <w:sz w:val="20"/>
                <w:szCs w:val="20"/>
              </w:rPr>
            </w:pPr>
            <w:r>
              <w:rPr>
                <w:sz w:val="20"/>
                <w:szCs w:val="20"/>
              </w:rPr>
            </w:r>
          </w:p>
        </w:tc>
      </w:tr>
      <w:tr>
        <w:trPr>
          <w:cantSplit w:val="true"/>
        </w:trPr>
        <w:tc>
          <w:tcPr>
            <w:tcW w:w="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spacing w:before="0" w:after="200"/>
              <w:ind w:left="0" w:hanging="0"/>
              <w:jc w:val="center"/>
              <w:rPr>
                <w:rFonts w:cs="Times New Roman"/>
                <w:sz w:val="20"/>
                <w:szCs w:val="20"/>
                <w:lang w:eastAsia="ru-RU"/>
              </w:rPr>
            </w:pPr>
            <w:r>
              <w:rPr>
                <w:rFonts w:cs="Times New Roman"/>
                <w:sz w:val="20"/>
                <w:szCs w:val="20"/>
                <w:lang w:eastAsia="ru-RU"/>
              </w:rPr>
              <w:t>4</w:t>
            </w:r>
          </w:p>
        </w:tc>
        <w:tc>
          <w:tcPr>
            <w:tcW w:w="28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xml:space="preserve">котельная № 6, </w:t>
            </w:r>
          </w:p>
          <w:p>
            <w:pPr>
              <w:pStyle w:val="Normal"/>
              <w:jc w:val="center"/>
              <w:rPr>
                <w:sz w:val="20"/>
                <w:szCs w:val="20"/>
                <w:lang w:eastAsia="ru-RU"/>
              </w:rPr>
            </w:pPr>
            <w:r>
              <w:rPr>
                <w:sz w:val="20"/>
                <w:szCs w:val="20"/>
                <w:lang w:eastAsia="ru-RU"/>
              </w:rPr>
              <w:t>пгт.Октябрьское,</w:t>
            </w:r>
          </w:p>
          <w:p>
            <w:pPr>
              <w:pStyle w:val="Normal"/>
              <w:jc w:val="center"/>
              <w:rPr>
                <w:sz w:val="20"/>
                <w:szCs w:val="20"/>
                <w:lang w:eastAsia="ru-RU"/>
              </w:rPr>
            </w:pPr>
            <w:r>
              <w:rPr>
                <w:sz w:val="20"/>
                <w:szCs w:val="20"/>
                <w:lang w:eastAsia="ru-RU"/>
              </w:rPr>
              <w:t xml:space="preserve"> </w:t>
            </w:r>
            <w:r>
              <w:rPr>
                <w:sz w:val="20"/>
                <w:szCs w:val="20"/>
                <w:lang w:eastAsia="ru-RU"/>
              </w:rPr>
              <w:t>ул.Дзержинского, 2б</w:t>
            </w:r>
          </w:p>
        </w:tc>
        <w:tc>
          <w:tcPr>
            <w:tcW w:w="727"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lang w:eastAsia="ru-RU"/>
              </w:rPr>
              <w:t>3,26</w:t>
            </w:r>
          </w:p>
        </w:tc>
        <w:tc>
          <w:tcPr>
            <w:tcW w:w="699" w:type="dxa"/>
            <w:tcBorders>
              <w:bottom w:val="single" w:sz="8" w:space="0" w:color="000000"/>
              <w:right w:val="single" w:sz="8" w:space="0" w:color="000000"/>
            </w:tcBorders>
            <w:shd w:color="auto" w:fill="auto" w:val="clear"/>
            <w:vAlign w:val="center"/>
          </w:tcPr>
          <w:p>
            <w:pPr>
              <w:pStyle w:val="Normal"/>
              <w:jc w:val="center"/>
              <w:rPr>
                <w:sz w:val="20"/>
                <w:szCs w:val="20"/>
              </w:rPr>
            </w:pPr>
            <w:r>
              <w:rPr>
                <w:sz w:val="20"/>
                <w:szCs w:val="20"/>
              </w:rPr>
            </w:r>
          </w:p>
        </w:tc>
        <w:tc>
          <w:tcPr>
            <w:tcW w:w="772" w:type="dxa"/>
            <w:tcBorders>
              <w:bottom w:val="single" w:sz="8" w:space="0" w:color="000000"/>
              <w:right w:val="single" w:sz="8" w:space="0" w:color="000000"/>
            </w:tcBorders>
            <w:shd w:color="auto" w:fill="auto" w:val="clear"/>
            <w:vAlign w:val="center"/>
          </w:tcPr>
          <w:p>
            <w:pPr>
              <w:pStyle w:val="Normal"/>
              <w:jc w:val="center"/>
              <w:rPr>
                <w:sz w:val="20"/>
                <w:szCs w:val="20"/>
              </w:rPr>
            </w:pPr>
            <w:r>
              <w:rPr>
                <w:sz w:val="20"/>
                <w:szCs w:val="20"/>
              </w:rPr>
            </w:r>
          </w:p>
        </w:tc>
        <w:tc>
          <w:tcPr>
            <w:tcW w:w="975" w:type="dxa"/>
            <w:tcBorders>
              <w:bottom w:val="single" w:sz="8" w:space="0" w:color="000000"/>
              <w:right w:val="single" w:sz="8" w:space="0" w:color="000000"/>
            </w:tcBorders>
            <w:shd w:color="auto" w:fill="auto" w:val="clear"/>
            <w:vAlign w:val="center"/>
          </w:tcPr>
          <w:p>
            <w:pPr>
              <w:pStyle w:val="Normal"/>
              <w:jc w:val="center"/>
              <w:rPr>
                <w:sz w:val="20"/>
                <w:szCs w:val="20"/>
              </w:rPr>
            </w:pPr>
            <w:r>
              <w:rPr>
                <w:sz w:val="20"/>
                <w:szCs w:val="20"/>
              </w:rPr>
            </w:r>
          </w:p>
        </w:tc>
        <w:tc>
          <w:tcPr>
            <w:tcW w:w="760" w:type="dxa"/>
            <w:tcBorders>
              <w:bottom w:val="single" w:sz="8" w:space="0" w:color="000000"/>
              <w:right w:val="single" w:sz="8" w:space="0" w:color="000000"/>
            </w:tcBorders>
            <w:shd w:color="auto" w:fill="auto" w:val="clear"/>
            <w:vAlign w:val="center"/>
          </w:tcPr>
          <w:p>
            <w:pPr>
              <w:pStyle w:val="Normal"/>
              <w:jc w:val="center"/>
              <w:rPr>
                <w:sz w:val="20"/>
                <w:szCs w:val="20"/>
              </w:rPr>
            </w:pPr>
            <w:r>
              <w:rPr>
                <w:sz w:val="20"/>
                <w:szCs w:val="20"/>
              </w:rPr>
            </w:r>
          </w:p>
        </w:tc>
        <w:tc>
          <w:tcPr>
            <w:tcW w:w="759" w:type="dxa"/>
            <w:tcBorders>
              <w:bottom w:val="single" w:sz="8" w:space="0" w:color="000000"/>
              <w:right w:val="single" w:sz="8" w:space="0" w:color="000000"/>
            </w:tcBorders>
            <w:shd w:color="auto" w:fill="auto" w:val="clear"/>
            <w:vAlign w:val="center"/>
          </w:tcPr>
          <w:p>
            <w:pPr>
              <w:pStyle w:val="Normal"/>
              <w:jc w:val="center"/>
              <w:rPr>
                <w:sz w:val="20"/>
                <w:szCs w:val="20"/>
              </w:rPr>
            </w:pPr>
            <w:r>
              <w:rPr>
                <w:sz w:val="20"/>
                <w:szCs w:val="20"/>
              </w:rPr>
            </w:r>
          </w:p>
        </w:tc>
        <w:tc>
          <w:tcPr>
            <w:tcW w:w="815" w:type="dxa"/>
            <w:tcBorders>
              <w:bottom w:val="single" w:sz="8" w:space="0" w:color="000000"/>
              <w:right w:val="single" w:sz="8" w:space="0" w:color="000000"/>
            </w:tcBorders>
            <w:shd w:color="auto" w:fill="auto" w:val="clear"/>
            <w:vAlign w:val="center"/>
          </w:tcPr>
          <w:p>
            <w:pPr>
              <w:pStyle w:val="Normal"/>
              <w:jc w:val="center"/>
              <w:rPr>
                <w:sz w:val="20"/>
                <w:szCs w:val="20"/>
              </w:rPr>
            </w:pPr>
            <w:r>
              <w:rPr>
                <w:sz w:val="20"/>
                <w:szCs w:val="20"/>
              </w:rPr>
            </w:r>
          </w:p>
        </w:tc>
        <w:tc>
          <w:tcPr>
            <w:tcW w:w="815" w:type="dxa"/>
            <w:tcBorders>
              <w:bottom w:val="single" w:sz="8" w:space="0" w:color="000000"/>
              <w:right w:val="single" w:sz="8" w:space="0" w:color="000000"/>
            </w:tcBorders>
            <w:shd w:color="auto" w:fill="auto" w:val="clear"/>
            <w:vAlign w:val="center"/>
          </w:tcPr>
          <w:p>
            <w:pPr>
              <w:pStyle w:val="Normal"/>
              <w:jc w:val="center"/>
              <w:rPr>
                <w:sz w:val="20"/>
                <w:szCs w:val="20"/>
              </w:rPr>
            </w:pPr>
            <w:r>
              <w:rPr>
                <w:sz w:val="20"/>
                <w:szCs w:val="20"/>
              </w:rPr>
            </w:r>
          </w:p>
        </w:tc>
      </w:tr>
      <w:tr>
        <w:trPr>
          <w:cantSplit w:val="true"/>
        </w:trPr>
        <w:tc>
          <w:tcPr>
            <w:tcW w:w="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spacing w:before="0" w:after="200"/>
              <w:ind w:left="0" w:hanging="0"/>
              <w:jc w:val="center"/>
              <w:rPr>
                <w:rFonts w:cs="Times New Roman"/>
                <w:sz w:val="20"/>
                <w:szCs w:val="20"/>
                <w:lang w:eastAsia="ru-RU"/>
              </w:rPr>
            </w:pPr>
            <w:r>
              <w:rPr>
                <w:rFonts w:cs="Times New Roman"/>
                <w:sz w:val="20"/>
                <w:szCs w:val="20"/>
                <w:lang w:eastAsia="ru-RU"/>
              </w:rPr>
              <w:t>5</w:t>
            </w:r>
          </w:p>
        </w:tc>
        <w:tc>
          <w:tcPr>
            <w:tcW w:w="28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котельная № 7,</w:t>
            </w:r>
          </w:p>
          <w:p>
            <w:pPr>
              <w:pStyle w:val="Normal"/>
              <w:jc w:val="center"/>
              <w:rPr>
                <w:sz w:val="20"/>
                <w:szCs w:val="20"/>
                <w:lang w:eastAsia="ru-RU"/>
              </w:rPr>
            </w:pPr>
            <w:r>
              <w:rPr>
                <w:sz w:val="20"/>
                <w:szCs w:val="20"/>
                <w:lang w:eastAsia="ru-RU"/>
              </w:rPr>
              <w:t xml:space="preserve">пгт.Октябрьское, </w:t>
            </w:r>
          </w:p>
          <w:p>
            <w:pPr>
              <w:pStyle w:val="Normal"/>
              <w:jc w:val="center"/>
              <w:rPr>
                <w:sz w:val="20"/>
                <w:szCs w:val="20"/>
                <w:lang w:eastAsia="ru-RU"/>
              </w:rPr>
            </w:pPr>
            <w:r>
              <w:rPr>
                <w:sz w:val="20"/>
                <w:szCs w:val="20"/>
                <w:lang w:eastAsia="ru-RU"/>
              </w:rPr>
              <w:t>ул.Медицинская, 3Б</w:t>
            </w:r>
          </w:p>
        </w:tc>
        <w:tc>
          <w:tcPr>
            <w:tcW w:w="727" w:type="dxa"/>
            <w:tcBorders>
              <w:bottom w:val="single" w:sz="4" w:space="0" w:color="000000"/>
              <w:right w:val="single" w:sz="8" w:space="0" w:color="000000"/>
            </w:tcBorders>
            <w:shd w:color="auto" w:fill="auto" w:val="clear"/>
            <w:vAlign w:val="center"/>
          </w:tcPr>
          <w:p>
            <w:pPr>
              <w:pStyle w:val="Normal"/>
              <w:jc w:val="center"/>
              <w:rPr>
                <w:sz w:val="20"/>
                <w:szCs w:val="20"/>
                <w:lang w:eastAsia="ru-RU"/>
              </w:rPr>
            </w:pPr>
            <w:r>
              <w:rPr>
                <w:sz w:val="20"/>
                <w:szCs w:val="20"/>
                <w:lang w:eastAsia="ru-RU"/>
              </w:rPr>
              <w:t>0,86</w:t>
            </w:r>
          </w:p>
        </w:tc>
        <w:tc>
          <w:tcPr>
            <w:tcW w:w="699" w:type="dxa"/>
            <w:tcBorders>
              <w:bottom w:val="single" w:sz="4" w:space="0" w:color="000000"/>
              <w:right w:val="single" w:sz="8" w:space="0" w:color="000000"/>
            </w:tcBorders>
            <w:shd w:color="auto" w:fill="auto" w:val="clear"/>
            <w:vAlign w:val="center"/>
          </w:tcPr>
          <w:p>
            <w:pPr>
              <w:pStyle w:val="Normal"/>
              <w:jc w:val="center"/>
              <w:rPr>
                <w:sz w:val="20"/>
                <w:szCs w:val="20"/>
              </w:rPr>
            </w:pPr>
            <w:r>
              <w:rPr>
                <w:sz w:val="20"/>
                <w:szCs w:val="20"/>
              </w:rPr>
            </w:r>
          </w:p>
        </w:tc>
        <w:tc>
          <w:tcPr>
            <w:tcW w:w="772" w:type="dxa"/>
            <w:tcBorders>
              <w:bottom w:val="single" w:sz="4" w:space="0" w:color="000000"/>
              <w:right w:val="single" w:sz="8" w:space="0" w:color="000000"/>
            </w:tcBorders>
            <w:shd w:color="auto" w:fill="auto" w:val="clear"/>
            <w:vAlign w:val="center"/>
          </w:tcPr>
          <w:p>
            <w:pPr>
              <w:pStyle w:val="Normal"/>
              <w:jc w:val="center"/>
              <w:rPr>
                <w:sz w:val="20"/>
                <w:szCs w:val="20"/>
              </w:rPr>
            </w:pPr>
            <w:r>
              <w:rPr>
                <w:sz w:val="20"/>
                <w:szCs w:val="20"/>
              </w:rPr>
            </w:r>
          </w:p>
        </w:tc>
        <w:tc>
          <w:tcPr>
            <w:tcW w:w="975" w:type="dxa"/>
            <w:tcBorders>
              <w:bottom w:val="single" w:sz="4" w:space="0" w:color="000000"/>
              <w:right w:val="single" w:sz="8" w:space="0" w:color="000000"/>
            </w:tcBorders>
            <w:shd w:color="auto" w:fill="auto" w:val="clear"/>
            <w:vAlign w:val="center"/>
          </w:tcPr>
          <w:p>
            <w:pPr>
              <w:pStyle w:val="Normal"/>
              <w:jc w:val="center"/>
              <w:rPr>
                <w:sz w:val="20"/>
                <w:szCs w:val="20"/>
              </w:rPr>
            </w:pPr>
            <w:r>
              <w:rPr>
                <w:sz w:val="20"/>
                <w:szCs w:val="20"/>
              </w:rPr>
            </w:r>
          </w:p>
        </w:tc>
        <w:tc>
          <w:tcPr>
            <w:tcW w:w="760" w:type="dxa"/>
            <w:tcBorders>
              <w:bottom w:val="single" w:sz="4" w:space="0" w:color="000000"/>
              <w:right w:val="single" w:sz="8" w:space="0" w:color="000000"/>
            </w:tcBorders>
            <w:shd w:color="auto" w:fill="auto" w:val="clear"/>
            <w:vAlign w:val="center"/>
          </w:tcPr>
          <w:p>
            <w:pPr>
              <w:pStyle w:val="Normal"/>
              <w:jc w:val="center"/>
              <w:rPr>
                <w:sz w:val="20"/>
                <w:szCs w:val="20"/>
              </w:rPr>
            </w:pPr>
            <w:r>
              <w:rPr>
                <w:sz w:val="20"/>
                <w:szCs w:val="20"/>
              </w:rPr>
            </w:r>
          </w:p>
        </w:tc>
        <w:tc>
          <w:tcPr>
            <w:tcW w:w="759" w:type="dxa"/>
            <w:tcBorders>
              <w:bottom w:val="single" w:sz="4" w:space="0" w:color="000000"/>
              <w:right w:val="single" w:sz="8" w:space="0" w:color="000000"/>
            </w:tcBorders>
            <w:shd w:color="auto" w:fill="auto" w:val="clear"/>
            <w:vAlign w:val="center"/>
          </w:tcPr>
          <w:p>
            <w:pPr>
              <w:pStyle w:val="Normal"/>
              <w:jc w:val="center"/>
              <w:rPr>
                <w:sz w:val="20"/>
                <w:szCs w:val="20"/>
              </w:rPr>
            </w:pPr>
            <w:r>
              <w:rPr>
                <w:sz w:val="20"/>
                <w:szCs w:val="20"/>
              </w:rPr>
            </w:r>
          </w:p>
        </w:tc>
        <w:tc>
          <w:tcPr>
            <w:tcW w:w="815" w:type="dxa"/>
            <w:tcBorders>
              <w:bottom w:val="single" w:sz="4" w:space="0" w:color="000000"/>
              <w:right w:val="single" w:sz="8" w:space="0" w:color="000000"/>
            </w:tcBorders>
            <w:shd w:color="auto" w:fill="auto" w:val="clear"/>
            <w:vAlign w:val="center"/>
          </w:tcPr>
          <w:p>
            <w:pPr>
              <w:pStyle w:val="Normal"/>
              <w:jc w:val="center"/>
              <w:rPr>
                <w:sz w:val="20"/>
                <w:szCs w:val="20"/>
              </w:rPr>
            </w:pPr>
            <w:r>
              <w:rPr>
                <w:sz w:val="20"/>
                <w:szCs w:val="20"/>
              </w:rPr>
            </w:r>
          </w:p>
        </w:tc>
        <w:tc>
          <w:tcPr>
            <w:tcW w:w="815" w:type="dxa"/>
            <w:tcBorders>
              <w:bottom w:val="single" w:sz="4" w:space="0" w:color="000000"/>
              <w:right w:val="single" w:sz="8" w:space="0" w:color="000000"/>
            </w:tcBorders>
            <w:shd w:color="auto" w:fill="auto" w:val="clear"/>
            <w:vAlign w:val="center"/>
          </w:tcPr>
          <w:p>
            <w:pPr>
              <w:pStyle w:val="Normal"/>
              <w:jc w:val="center"/>
              <w:rPr>
                <w:sz w:val="20"/>
                <w:szCs w:val="20"/>
              </w:rPr>
            </w:pPr>
            <w:r>
              <w:rPr>
                <w:sz w:val="20"/>
                <w:szCs w:val="20"/>
              </w:rPr>
            </w:r>
          </w:p>
        </w:tc>
      </w:tr>
      <w:tr>
        <w:trPr>
          <w:cantSplit w:val="true"/>
        </w:trPr>
        <w:tc>
          <w:tcPr>
            <w:tcW w:w="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spacing w:before="0" w:after="200"/>
              <w:ind w:left="0" w:hanging="0"/>
              <w:jc w:val="center"/>
              <w:rPr>
                <w:rFonts w:cs="Times New Roman"/>
                <w:sz w:val="20"/>
                <w:szCs w:val="20"/>
                <w:lang w:eastAsia="ru-RU"/>
              </w:rPr>
            </w:pPr>
            <w:r>
              <w:rPr>
                <w:rFonts w:cs="Times New Roman"/>
                <w:sz w:val="20"/>
                <w:szCs w:val="20"/>
                <w:lang w:eastAsia="ru-RU"/>
              </w:rPr>
              <w:t>6</w:t>
            </w:r>
          </w:p>
        </w:tc>
        <w:tc>
          <w:tcPr>
            <w:tcW w:w="28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xml:space="preserve">котельная № 12, </w:t>
            </w:r>
          </w:p>
          <w:p>
            <w:pPr>
              <w:pStyle w:val="Normal"/>
              <w:jc w:val="center"/>
              <w:rPr>
                <w:sz w:val="20"/>
                <w:szCs w:val="20"/>
                <w:lang w:eastAsia="ru-RU"/>
              </w:rPr>
            </w:pPr>
            <w:r>
              <w:rPr>
                <w:sz w:val="20"/>
                <w:szCs w:val="20"/>
                <w:lang w:eastAsia="ru-RU"/>
              </w:rPr>
              <w:t xml:space="preserve">пгт.Октябрьское, </w:t>
            </w:r>
          </w:p>
          <w:p>
            <w:pPr>
              <w:pStyle w:val="Normal"/>
              <w:jc w:val="center"/>
              <w:rPr>
                <w:sz w:val="20"/>
                <w:szCs w:val="20"/>
                <w:lang w:eastAsia="ru-RU"/>
              </w:rPr>
            </w:pPr>
            <w:r>
              <w:rPr>
                <w:sz w:val="20"/>
                <w:szCs w:val="20"/>
                <w:lang w:eastAsia="ru-RU"/>
              </w:rPr>
              <w:t>ул.Медицинская, 3к</w:t>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2,67</w:t>
            </w:r>
          </w:p>
        </w:tc>
        <w:tc>
          <w:tcPr>
            <w:tcW w:w="69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lang w:eastAsia="ru-RU"/>
              </w:rPr>
              <w:t>3,53</w:t>
            </w:r>
          </w:p>
        </w:tc>
        <w:tc>
          <w:tcPr>
            <w:tcW w:w="7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lang w:eastAsia="ru-RU"/>
              </w:rPr>
              <w:t>3,53</w:t>
            </w:r>
          </w:p>
        </w:tc>
        <w:tc>
          <w:tcPr>
            <w:tcW w:w="9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lang w:eastAsia="ru-RU"/>
              </w:rPr>
              <w:t>3,53</w:t>
            </w:r>
          </w:p>
        </w:tc>
        <w:tc>
          <w:tcPr>
            <w:tcW w:w="7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lang w:eastAsia="ru-RU"/>
              </w:rPr>
              <w:t>3,53</w:t>
            </w:r>
          </w:p>
        </w:tc>
        <w:tc>
          <w:tcPr>
            <w:tcW w:w="7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lang w:eastAsia="ru-RU"/>
              </w:rPr>
              <w:t>3,53</w:t>
            </w:r>
          </w:p>
        </w:tc>
        <w:tc>
          <w:tcPr>
            <w:tcW w:w="81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lang w:eastAsia="ru-RU"/>
              </w:rPr>
              <w:t>3,53</w:t>
            </w:r>
          </w:p>
        </w:tc>
        <w:tc>
          <w:tcPr>
            <w:tcW w:w="81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lang w:eastAsia="ru-RU"/>
              </w:rPr>
              <w:t>3,53</w:t>
            </w:r>
          </w:p>
        </w:tc>
      </w:tr>
      <w:tr>
        <w:trPr>
          <w:cantSplit w:val="true"/>
        </w:trPr>
        <w:tc>
          <w:tcPr>
            <w:tcW w:w="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spacing w:before="0" w:after="200"/>
              <w:ind w:left="0" w:hanging="0"/>
              <w:jc w:val="center"/>
              <w:rPr>
                <w:rFonts w:cs="Times New Roman"/>
                <w:sz w:val="20"/>
                <w:szCs w:val="20"/>
                <w:lang w:eastAsia="ru-RU"/>
              </w:rPr>
            </w:pPr>
            <w:r>
              <w:rPr>
                <w:rFonts w:cs="Times New Roman"/>
                <w:sz w:val="20"/>
                <w:szCs w:val="20"/>
                <w:lang w:eastAsia="ru-RU"/>
              </w:rPr>
              <w:t>7</w:t>
            </w:r>
          </w:p>
        </w:tc>
        <w:tc>
          <w:tcPr>
            <w:tcW w:w="28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xml:space="preserve">котельная № 8, </w:t>
            </w:r>
          </w:p>
          <w:p>
            <w:pPr>
              <w:pStyle w:val="Normal"/>
              <w:jc w:val="center"/>
              <w:rPr>
                <w:sz w:val="20"/>
                <w:szCs w:val="20"/>
                <w:lang w:eastAsia="ru-RU"/>
              </w:rPr>
            </w:pPr>
            <w:r>
              <w:rPr>
                <w:sz w:val="20"/>
                <w:szCs w:val="20"/>
                <w:lang w:eastAsia="ru-RU"/>
              </w:rPr>
              <w:t xml:space="preserve">пгт.Октябрьское, </w:t>
            </w:r>
          </w:p>
          <w:p>
            <w:pPr>
              <w:pStyle w:val="Normal"/>
              <w:jc w:val="center"/>
              <w:rPr>
                <w:sz w:val="20"/>
                <w:szCs w:val="20"/>
                <w:lang w:eastAsia="ru-RU"/>
              </w:rPr>
            </w:pPr>
            <w:r>
              <w:rPr>
                <w:sz w:val="20"/>
                <w:szCs w:val="20"/>
                <w:lang w:eastAsia="ru-RU"/>
              </w:rPr>
              <w:t>ул.50 лет Победы, 38А</w:t>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0,16</w:t>
            </w:r>
          </w:p>
        </w:tc>
        <w:tc>
          <w:tcPr>
            <w:tcW w:w="69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lang w:eastAsia="ru-RU"/>
              </w:rPr>
              <w:t>0,16</w:t>
            </w:r>
          </w:p>
        </w:tc>
        <w:tc>
          <w:tcPr>
            <w:tcW w:w="7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rPr>
              <w:t>-</w:t>
            </w:r>
          </w:p>
        </w:tc>
        <w:tc>
          <w:tcPr>
            <w:tcW w:w="9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rPr>
              <w:t>-</w:t>
            </w:r>
          </w:p>
        </w:tc>
        <w:tc>
          <w:tcPr>
            <w:tcW w:w="7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rPr>
              <w:t>-</w:t>
            </w:r>
          </w:p>
        </w:tc>
        <w:tc>
          <w:tcPr>
            <w:tcW w:w="7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rPr>
              <w:t>-</w:t>
            </w:r>
          </w:p>
        </w:tc>
        <w:tc>
          <w:tcPr>
            <w:tcW w:w="81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rPr>
              <w:t>-</w:t>
            </w:r>
          </w:p>
        </w:tc>
        <w:tc>
          <w:tcPr>
            <w:tcW w:w="81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rPr>
              <w:t>-</w:t>
            </w:r>
          </w:p>
        </w:tc>
      </w:tr>
      <w:tr>
        <w:trPr>
          <w:cantSplit w:val="true"/>
        </w:trPr>
        <w:tc>
          <w:tcPr>
            <w:tcW w:w="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spacing w:before="0" w:after="200"/>
              <w:ind w:left="0" w:hanging="0"/>
              <w:jc w:val="center"/>
              <w:rPr>
                <w:rFonts w:cs="Times New Roman"/>
                <w:sz w:val="20"/>
                <w:szCs w:val="20"/>
                <w:lang w:eastAsia="ru-RU"/>
              </w:rPr>
            </w:pPr>
            <w:r>
              <w:rPr>
                <w:rFonts w:cs="Times New Roman"/>
                <w:sz w:val="20"/>
                <w:szCs w:val="20"/>
                <w:lang w:eastAsia="ru-RU"/>
              </w:rPr>
              <w:t>8</w:t>
            </w:r>
          </w:p>
        </w:tc>
        <w:tc>
          <w:tcPr>
            <w:tcW w:w="28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перспективная котельная, пгт.Октябрьское, ул.Дзержинского, 14</w:t>
            </w:r>
          </w:p>
        </w:tc>
        <w:tc>
          <w:tcPr>
            <w:tcW w:w="72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c>
          <w:tcPr>
            <w:tcW w:w="69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8,89</w:t>
            </w:r>
          </w:p>
        </w:tc>
        <w:tc>
          <w:tcPr>
            <w:tcW w:w="7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8,89</w:t>
            </w:r>
          </w:p>
        </w:tc>
        <w:tc>
          <w:tcPr>
            <w:tcW w:w="9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8,89</w:t>
            </w:r>
          </w:p>
        </w:tc>
        <w:tc>
          <w:tcPr>
            <w:tcW w:w="7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8,89</w:t>
            </w:r>
          </w:p>
        </w:tc>
        <w:tc>
          <w:tcPr>
            <w:tcW w:w="7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8,89</w:t>
            </w:r>
          </w:p>
        </w:tc>
        <w:tc>
          <w:tcPr>
            <w:tcW w:w="81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8,89</w:t>
            </w:r>
          </w:p>
        </w:tc>
        <w:tc>
          <w:tcPr>
            <w:tcW w:w="81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8,89</w:t>
            </w:r>
            <w:bookmarkStart w:id="912" w:name="_Hlk1583573741"/>
            <w:bookmarkStart w:id="913" w:name="_Hlk1290962261"/>
            <w:bookmarkStart w:id="914" w:name="_Hlk1595093171"/>
            <w:bookmarkEnd w:id="912"/>
            <w:bookmarkEnd w:id="913"/>
            <w:bookmarkEnd w:id="914"/>
          </w:p>
        </w:tc>
      </w:tr>
    </w:tbl>
    <w:p>
      <w:pPr>
        <w:pStyle w:val="Normal"/>
        <w:jc w:val="both"/>
        <w:rPr>
          <w:rFonts w:eastAsia="Calibri"/>
          <w:szCs w:val="22"/>
          <w:lang w:eastAsia="en-US"/>
        </w:rPr>
      </w:pPr>
      <w:r>
        <w:rPr>
          <w:rFonts w:eastAsia="Calibri"/>
          <w:szCs w:val="22"/>
          <w:lang w:eastAsia="en-US"/>
        </w:rPr>
      </w:r>
    </w:p>
    <w:p>
      <w:pPr>
        <w:pStyle w:val="Normal"/>
        <w:ind w:firstLine="709"/>
        <w:jc w:val="both"/>
        <w:rPr>
          <w:b/>
          <w:b/>
          <w:lang w:eastAsia="en-US"/>
        </w:rPr>
      </w:pPr>
      <w:r>
        <w:rPr>
          <w:rFonts w:eastAsia="Calibri" w:cs="Calibri"/>
          <w:szCs w:val="22"/>
          <w:lang w:eastAsia="en-US"/>
        </w:rPr>
        <w:t xml:space="preserve">Прирост объемов потребления тепловой энергии (мощности) и теплоносителя с разделением по видам теплопотребления по </w:t>
      </w:r>
      <w:r>
        <w:rPr>
          <w:rFonts w:eastAsia="Calibri"/>
          <w:lang w:eastAsia="en-US"/>
        </w:rPr>
        <w:t xml:space="preserve">сельскому </w:t>
      </w:r>
      <w:r>
        <w:rPr>
          <w:rFonts w:eastAsia="Calibri" w:cs="Calibri"/>
          <w:szCs w:val="22"/>
          <w:lang w:eastAsia="en-US"/>
        </w:rPr>
        <w:t>поселению на протяжении рассматриваемого периода не прогнозируется.</w:t>
      </w:r>
      <w:bookmarkStart w:id="915" w:name="_Hlk160697377"/>
      <w:bookmarkEnd w:id="915"/>
    </w:p>
    <w:p>
      <w:pPr>
        <w:pStyle w:val="Normal"/>
        <w:ind w:firstLine="709"/>
        <w:jc w:val="both"/>
        <w:rPr>
          <w:b/>
          <w:b/>
          <w:lang w:eastAsia="en-US"/>
        </w:rPr>
      </w:pPr>
      <w:r>
        <w:rPr>
          <w:szCs w:val="28"/>
          <w:lang w:eastAsia="ru-RU"/>
        </w:rPr>
        <w:t>Прогноз приростов объемов потребления теплоносителя рассмотрен в Главе 6 Обосновывающих материалов.</w:t>
      </w:r>
      <w:bookmarkStart w:id="916" w:name="_Toc181340443"/>
      <w:bookmarkStart w:id="917" w:name="_Toc160529977"/>
      <w:bookmarkStart w:id="918" w:name="_Hlk50122764"/>
      <w:bookmarkStart w:id="919" w:name="sub_1534"/>
      <w:bookmarkEnd w:id="918"/>
      <w:bookmarkEnd w:id="919"/>
    </w:p>
    <w:p>
      <w:pPr>
        <w:pStyle w:val="Normal"/>
        <w:ind w:firstLine="709"/>
        <w:jc w:val="both"/>
        <w:rPr>
          <w:b/>
          <w:b/>
          <w:lang w:eastAsia="en-US"/>
        </w:rPr>
      </w:pPr>
      <w:r>
        <w:rPr>
          <w:b/>
          <w:lang w:eastAsia="en-US"/>
        </w:rPr>
      </w:r>
    </w:p>
    <w:p>
      <w:pPr>
        <w:pStyle w:val="Normal"/>
        <w:ind w:firstLine="709"/>
        <w:jc w:val="both"/>
        <w:rPr>
          <w:b/>
          <w:b/>
          <w:lang w:eastAsia="en-US"/>
        </w:rPr>
      </w:pPr>
      <w:r>
        <w:rPr>
          <w:rFonts w:eastAsia="Calibri Light" w:cs="Calibri Light"/>
          <w:b/>
          <w:szCs w:val="26"/>
          <w:lang w:eastAsia="en-US"/>
        </w:rPr>
        <w:t>2.5. Прогнозы приростов объемов потребления тепловой энергии (мощности) и теплоносителя с разделением по видам теплопотребления в расчетных элементах территориального деления и в зонах действия индивидуального теплоснабжения на каждом этапе</w:t>
      </w:r>
      <w:bookmarkEnd w:id="916"/>
      <w:bookmarkEnd w:id="917"/>
    </w:p>
    <w:p>
      <w:pPr>
        <w:pStyle w:val="Normal"/>
        <w:ind w:firstLine="709"/>
        <w:jc w:val="both"/>
        <w:rPr>
          <w:rFonts w:eastAsia="Calibri"/>
          <w:szCs w:val="22"/>
          <w:lang w:eastAsia="en-US"/>
        </w:rPr>
      </w:pPr>
      <w:bookmarkStart w:id="920" w:name="_Hlk25229606"/>
      <w:r>
        <w:rPr>
          <w:rFonts w:eastAsia="Calibri" w:cs="Calibri"/>
          <w:szCs w:val="22"/>
          <w:lang w:eastAsia="en-US"/>
        </w:rPr>
        <w:t>Приросты объемов потребления тепловой энергии на территории поселения в зонах действия индивидуального теплоснабжения отсутствуют.</w:t>
      </w:r>
      <w:bookmarkEnd w:id="920"/>
    </w:p>
    <w:p>
      <w:pPr>
        <w:pStyle w:val="Normal"/>
        <w:ind w:firstLine="709"/>
        <w:jc w:val="both"/>
        <w:rPr>
          <w:rFonts w:eastAsia="Calibri"/>
          <w:szCs w:val="22"/>
          <w:lang w:eastAsia="en-US"/>
        </w:rPr>
      </w:pPr>
      <w:r>
        <w:rPr>
          <w:rFonts w:eastAsia="Calibri"/>
          <w:szCs w:val="22"/>
          <w:lang w:eastAsia="en-US"/>
        </w:rPr>
      </w:r>
    </w:p>
    <w:p>
      <w:pPr>
        <w:pStyle w:val="Normal"/>
        <w:keepNext w:val="true"/>
        <w:keepLines/>
        <w:numPr>
          <w:ilvl w:val="0"/>
          <w:numId w:val="0"/>
        </w:numPr>
        <w:ind w:left="0" w:firstLine="709"/>
        <w:jc w:val="both"/>
        <w:outlineLvl w:val="1"/>
        <w:rPr>
          <w:rFonts w:eastAsia="Calibri Light" w:cs="Calibri Light"/>
          <w:b/>
          <w:b/>
          <w:szCs w:val="26"/>
          <w:lang w:eastAsia="en-US"/>
        </w:rPr>
      </w:pPr>
      <w:bookmarkStart w:id="921" w:name="_Toc181340444"/>
      <w:bookmarkStart w:id="922" w:name="_Toc160529978"/>
      <w:bookmarkStart w:id="923" w:name="sub_1536"/>
      <w:bookmarkStart w:id="924" w:name="_Toc535409560"/>
      <w:bookmarkEnd w:id="923"/>
      <w:bookmarkEnd w:id="924"/>
      <w:r>
        <w:rPr>
          <w:rFonts w:eastAsia="Calibri Light" w:cs="Calibri Light"/>
          <w:b/>
          <w:szCs w:val="26"/>
          <w:lang w:eastAsia="en-US"/>
        </w:rPr>
        <w:t>2.6. Прогнозы приростов объемов потребления тепловой энергии (мощности) и теплоносителя объектами, расположенными в производственных зонах, при условии возможных изменений производственных зон и их перепрофилирования и приростов объемов потребления тепловой энергии (мощности) производственными объектами с разделением по видам теплопотребления и по видам теплоносителя (горячая вода и пар) в зоне действия каждого из существующих или предлагаемых для строительства источников тепловой энергии на каждом этапе</w:t>
      </w:r>
      <w:bookmarkEnd w:id="921"/>
      <w:bookmarkEnd w:id="922"/>
    </w:p>
    <w:p>
      <w:pPr>
        <w:pStyle w:val="Normal"/>
        <w:ind w:firstLine="709"/>
        <w:jc w:val="both"/>
        <w:rPr>
          <w:rFonts w:eastAsia="Calibri"/>
          <w:szCs w:val="22"/>
          <w:lang w:eastAsia="en-US"/>
        </w:rPr>
      </w:pPr>
      <w:r>
        <w:rPr>
          <w:rFonts w:eastAsia="Calibri" w:cs="Calibri"/>
          <w:szCs w:val="22"/>
          <w:lang w:eastAsia="en-US"/>
        </w:rPr>
        <w:t>Приросты объемов потребления тепловой энергии на территории поселения в производственных зонах отсутствуют.</w:t>
      </w:r>
      <w:bookmarkStart w:id="925" w:name="_Toc181340445"/>
      <w:bookmarkStart w:id="926" w:name="_Toc160529980"/>
      <w:bookmarkStart w:id="927" w:name="_Toc160455098"/>
    </w:p>
    <w:p>
      <w:pPr>
        <w:pStyle w:val="Normal"/>
        <w:ind w:firstLine="709"/>
        <w:jc w:val="both"/>
        <w:rPr>
          <w:rFonts w:eastAsia="Calibri"/>
          <w:szCs w:val="22"/>
          <w:lang w:eastAsia="en-US"/>
        </w:rPr>
      </w:pPr>
      <w:r>
        <w:rPr>
          <w:rFonts w:eastAsia="Calibri"/>
          <w:szCs w:val="22"/>
          <w:lang w:eastAsia="en-US"/>
        </w:rPr>
      </w:r>
    </w:p>
    <w:p>
      <w:pPr>
        <w:pStyle w:val="Normal"/>
        <w:ind w:firstLine="709"/>
        <w:jc w:val="both"/>
        <w:rPr>
          <w:rFonts w:eastAsia="Calibri"/>
          <w:szCs w:val="22"/>
          <w:lang w:eastAsia="en-US"/>
        </w:rPr>
      </w:pPr>
      <w:r>
        <w:rPr>
          <w:b/>
        </w:rPr>
        <w:t>2.7. Описание изменений показателей существующего и перспективного потребления тепловой энергии на цели теплоснабжения</w:t>
      </w:r>
    </w:p>
    <w:p>
      <w:pPr>
        <w:pStyle w:val="Normal"/>
        <w:ind w:firstLine="709"/>
        <w:jc w:val="both"/>
        <w:rPr>
          <w:rFonts w:eastAsia="Calibri"/>
          <w:szCs w:val="22"/>
          <w:lang w:eastAsia="en-US"/>
        </w:rPr>
      </w:pPr>
      <w:r>
        <w:rPr/>
        <w:t>Показатели существующего и перспективного потребления тепловой энергии на цели теплоснабжения приведены в соответствие с состоянием на момент актуализации Схемы теплоснабжения и учитывают присоединенных к системам теплоснабжения потребителей в период, предшествующий актуализации.</w:t>
      </w:r>
    </w:p>
    <w:p>
      <w:pPr>
        <w:pStyle w:val="Normal"/>
        <w:ind w:firstLine="709"/>
        <w:jc w:val="both"/>
        <w:rPr>
          <w:rFonts w:eastAsia="Calibri"/>
          <w:szCs w:val="22"/>
          <w:lang w:eastAsia="en-US"/>
        </w:rPr>
      </w:pPr>
      <w:r>
        <w:rPr>
          <w:rFonts w:eastAsia="Calibri"/>
          <w:szCs w:val="22"/>
          <w:lang w:eastAsia="en-US"/>
        </w:rPr>
      </w:r>
    </w:p>
    <w:p>
      <w:pPr>
        <w:pStyle w:val="Normal"/>
        <w:ind w:firstLine="709"/>
        <w:jc w:val="both"/>
        <w:rPr>
          <w:rFonts w:eastAsia="Calibri"/>
          <w:szCs w:val="22"/>
          <w:lang w:eastAsia="en-US"/>
        </w:rPr>
      </w:pPr>
      <w:r>
        <w:rPr>
          <w:rFonts w:eastAsia="Calibri Light" w:cs="Calibri Light"/>
          <w:b/>
          <w:lang w:eastAsia="en-US"/>
        </w:rPr>
        <w:t>2.7.1.</w:t>
        <w:tab/>
        <w:t>Перечень объектов теплопотребления, подключенных к тепловым сетям существующих систем теплоснабжения в период, предшествующий актуализации схемы теплоснабжения</w:t>
      </w:r>
      <w:bookmarkEnd w:id="925"/>
      <w:bookmarkEnd w:id="926"/>
      <w:bookmarkEnd w:id="927"/>
    </w:p>
    <w:p>
      <w:pPr>
        <w:pStyle w:val="Normal"/>
        <w:ind w:firstLine="709"/>
        <w:jc w:val="both"/>
        <w:rPr>
          <w:rFonts w:eastAsia="Calibri"/>
          <w:szCs w:val="22"/>
          <w:lang w:eastAsia="en-US"/>
        </w:rPr>
      </w:pPr>
      <w:r>
        <w:rPr>
          <w:rFonts w:eastAsia="Calibri" w:cs="Calibri"/>
          <w:szCs w:val="22"/>
          <w:lang w:eastAsia="en-US"/>
        </w:rPr>
        <w:t>Сведения об объектах, подключенных к тепловым сетям в период, предшествующий актуализации схемы теплоснабжения, отсутствуют.</w:t>
      </w:r>
    </w:p>
    <w:p>
      <w:pPr>
        <w:pStyle w:val="Normal"/>
        <w:ind w:firstLine="709"/>
        <w:jc w:val="both"/>
        <w:rPr>
          <w:rFonts w:eastAsia="Calibri"/>
          <w:szCs w:val="22"/>
          <w:lang w:eastAsia="en-US"/>
        </w:rPr>
      </w:pPr>
      <w:r>
        <w:rPr>
          <w:rFonts w:eastAsia="Calibri"/>
          <w:szCs w:val="22"/>
          <w:lang w:eastAsia="en-US"/>
        </w:rPr>
      </w:r>
    </w:p>
    <w:p>
      <w:pPr>
        <w:pStyle w:val="Normal"/>
        <w:keepNext w:val="true"/>
        <w:keepLines/>
        <w:numPr>
          <w:ilvl w:val="0"/>
          <w:numId w:val="0"/>
        </w:numPr>
        <w:ind w:left="0" w:firstLine="709"/>
        <w:jc w:val="both"/>
        <w:outlineLvl w:val="2"/>
        <w:rPr>
          <w:rFonts w:eastAsia="Calibri Light" w:cs="Calibri Light"/>
          <w:b/>
          <w:b/>
          <w:lang w:eastAsia="en-US"/>
        </w:rPr>
      </w:pPr>
      <w:bookmarkStart w:id="928" w:name="_Toc181340446"/>
      <w:bookmarkStart w:id="929" w:name="_Toc160529981"/>
      <w:bookmarkStart w:id="930" w:name="_Toc160455099"/>
      <w:r>
        <w:rPr>
          <w:rFonts w:eastAsia="Calibri Light" w:cs="Calibri Light"/>
          <w:b/>
          <w:lang w:eastAsia="en-US"/>
        </w:rPr>
        <w:t>2.7.2. Актуализированный прогноз перспективной застройки относительно указанного в утвержденной схеме теплоснабжения прогноза перспективной застройки</w:t>
      </w:r>
      <w:bookmarkEnd w:id="928"/>
      <w:bookmarkEnd w:id="929"/>
      <w:bookmarkEnd w:id="930"/>
    </w:p>
    <w:p>
      <w:pPr>
        <w:pStyle w:val="Normal"/>
        <w:ind w:firstLine="709"/>
        <w:jc w:val="both"/>
        <w:rPr>
          <w:rFonts w:eastAsia="Calibri"/>
          <w:szCs w:val="22"/>
          <w:lang w:eastAsia="en-US"/>
        </w:rPr>
      </w:pPr>
      <w:r>
        <w:rPr>
          <w:rFonts w:eastAsia="Calibri" w:cs="Calibri"/>
          <w:szCs w:val="22"/>
          <w:lang w:eastAsia="en-US"/>
        </w:rPr>
        <w:t>Актуализированный перечень перспективных потребителей тепловой энергии представлен в пункте 2.2.</w:t>
      </w:r>
    </w:p>
    <w:p>
      <w:pPr>
        <w:pStyle w:val="Normal"/>
        <w:ind w:firstLine="709"/>
        <w:jc w:val="both"/>
        <w:rPr>
          <w:rFonts w:eastAsia="Calibri"/>
          <w:szCs w:val="22"/>
          <w:lang w:eastAsia="en-US"/>
        </w:rPr>
      </w:pPr>
      <w:r>
        <w:rPr>
          <w:rFonts w:eastAsia="Calibri"/>
          <w:szCs w:val="22"/>
          <w:lang w:eastAsia="en-US"/>
        </w:rPr>
      </w:r>
    </w:p>
    <w:p>
      <w:pPr>
        <w:pStyle w:val="Normal"/>
        <w:keepNext w:val="true"/>
        <w:keepLines/>
        <w:numPr>
          <w:ilvl w:val="0"/>
          <w:numId w:val="0"/>
        </w:numPr>
        <w:ind w:left="0" w:firstLine="709"/>
        <w:jc w:val="both"/>
        <w:outlineLvl w:val="2"/>
        <w:rPr>
          <w:rFonts w:eastAsia="Calibri Light" w:cs="Calibri Light"/>
          <w:b/>
          <w:b/>
          <w:lang w:eastAsia="en-US"/>
        </w:rPr>
      </w:pPr>
      <w:bookmarkStart w:id="931" w:name="_Toc160455100"/>
      <w:bookmarkStart w:id="932" w:name="_Toc181340447"/>
      <w:bookmarkStart w:id="933" w:name="_Toc160529982"/>
      <w:r>
        <w:rPr>
          <w:rFonts w:eastAsia="Calibri Light" w:cs="Calibri Light"/>
          <w:b/>
          <w:lang w:eastAsia="en-US"/>
        </w:rPr>
        <w:t>2.7.3. Расчетная тепловая нагрузка на коллекторах источников тепловой энергии</w:t>
      </w:r>
      <w:bookmarkEnd w:id="931"/>
      <w:bookmarkEnd w:id="932"/>
      <w:bookmarkEnd w:id="933"/>
    </w:p>
    <w:p>
      <w:pPr>
        <w:pStyle w:val="Normal"/>
        <w:ind w:firstLine="709"/>
        <w:jc w:val="both"/>
        <w:rPr>
          <w:rFonts w:eastAsia="Calibri"/>
          <w:szCs w:val="22"/>
          <w:lang w:eastAsia="en-US"/>
        </w:rPr>
      </w:pPr>
      <w:r>
        <w:rPr>
          <w:rFonts w:eastAsia="Calibri" w:cs="Calibri"/>
          <w:szCs w:val="22"/>
          <w:lang w:eastAsia="en-US"/>
        </w:rPr>
        <w:t>Расчетная тепловая нагрузка на коллекторах источников тепловой энергии – существующее и перспективное положение представлено в таблице 23.</w:t>
      </w:r>
    </w:p>
    <w:p>
      <w:pPr>
        <w:pStyle w:val="Normal"/>
        <w:ind w:firstLine="709"/>
        <w:jc w:val="both"/>
        <w:rPr>
          <w:rFonts w:eastAsia="Calibri"/>
          <w:szCs w:val="22"/>
          <w:lang w:eastAsia="en-US"/>
        </w:rPr>
      </w:pPr>
      <w:r>
        <w:rPr>
          <w:rFonts w:eastAsia="Calibri"/>
          <w:szCs w:val="22"/>
          <w:lang w:eastAsia="en-US"/>
        </w:rPr>
      </w:r>
    </w:p>
    <w:p>
      <w:pPr>
        <w:pStyle w:val="Normal"/>
        <w:keepNext w:val="true"/>
        <w:keepLines/>
        <w:numPr>
          <w:ilvl w:val="0"/>
          <w:numId w:val="0"/>
        </w:numPr>
        <w:ind w:left="0" w:firstLine="709"/>
        <w:jc w:val="both"/>
        <w:outlineLvl w:val="2"/>
        <w:rPr>
          <w:rFonts w:eastAsia="Calibri Light" w:cs="Calibri Light"/>
          <w:b/>
          <w:b/>
          <w:lang w:eastAsia="en-US"/>
        </w:rPr>
      </w:pPr>
      <w:bookmarkStart w:id="934" w:name="_Toc160529983"/>
      <w:bookmarkStart w:id="935" w:name="_Toc160455101"/>
      <w:bookmarkStart w:id="936" w:name="_Toc181340448"/>
      <w:r>
        <w:rPr>
          <w:rFonts w:eastAsia="Calibri Light" w:cs="Calibri Light"/>
          <w:b/>
          <w:lang w:eastAsia="en-US"/>
        </w:rPr>
        <w:t>2.7.4. Фактические расходы теплоносителя в отопительный и летний периоды</w:t>
      </w:r>
      <w:bookmarkStart w:id="937" w:name="_Hlk160710032"/>
      <w:bookmarkEnd w:id="934"/>
      <w:bookmarkEnd w:id="935"/>
      <w:bookmarkEnd w:id="936"/>
    </w:p>
    <w:p>
      <w:pPr>
        <w:pStyle w:val="Normal"/>
        <w:keepNext w:val="true"/>
        <w:keepLines/>
        <w:numPr>
          <w:ilvl w:val="0"/>
          <w:numId w:val="0"/>
        </w:numPr>
        <w:ind w:left="0" w:firstLine="709"/>
        <w:jc w:val="both"/>
        <w:outlineLvl w:val="2"/>
        <w:rPr>
          <w:rFonts w:eastAsia="Calibri" w:cs="Calibri"/>
          <w:szCs w:val="22"/>
          <w:lang w:eastAsia="en-US"/>
        </w:rPr>
      </w:pPr>
      <w:r>
        <w:rPr>
          <w:rFonts w:eastAsia="Calibri" w:cs="Calibri"/>
          <w:szCs w:val="22"/>
          <w:lang w:eastAsia="en-US"/>
        </w:rPr>
        <w:t>Сведения о фактических расходах теплоносителя в отопительный период отсутствуют.</w:t>
      </w:r>
      <w:bookmarkEnd w:id="937"/>
    </w:p>
    <w:p>
      <w:pPr>
        <w:pStyle w:val="Normal"/>
        <w:keepNext w:val="true"/>
        <w:keepLines/>
        <w:numPr>
          <w:ilvl w:val="0"/>
          <w:numId w:val="0"/>
        </w:numPr>
        <w:ind w:left="0" w:firstLine="709"/>
        <w:jc w:val="both"/>
        <w:outlineLvl w:val="2"/>
        <w:rPr>
          <w:rFonts w:eastAsia="Calibri Light" w:cs="Calibri Light"/>
          <w:b/>
          <w:b/>
          <w:lang w:eastAsia="en-US"/>
        </w:rPr>
      </w:pPr>
      <w:r>
        <w:rPr>
          <w:rFonts w:eastAsia="Calibri Light" w:cs="Calibri Light"/>
          <w:b/>
          <w:lang w:eastAsia="en-US"/>
        </w:rPr>
      </w:r>
    </w:p>
    <w:p>
      <w:pPr>
        <w:pStyle w:val="Normal"/>
        <w:keepNext w:val="true"/>
        <w:keepLines/>
        <w:numPr>
          <w:ilvl w:val="0"/>
          <w:numId w:val="0"/>
        </w:numPr>
        <w:spacing w:before="0" w:after="120"/>
        <w:ind w:left="0" w:hanging="0"/>
        <w:jc w:val="center"/>
        <w:outlineLvl w:val="0"/>
        <w:rPr>
          <w:rFonts w:eastAsia="Calibri Light" w:cs="Calibri Light"/>
          <w:b/>
          <w:b/>
          <w:color w:val="000000"/>
          <w:lang w:eastAsia="en-US"/>
        </w:rPr>
      </w:pPr>
      <w:bookmarkStart w:id="938" w:name="_Toc160529984"/>
      <w:bookmarkStart w:id="939" w:name="_Toc181340449"/>
      <w:bookmarkStart w:id="940" w:name="_Toc160455102"/>
      <w:bookmarkStart w:id="941" w:name="_Toc160186113"/>
      <w:bookmarkStart w:id="942" w:name="_Toc158278708"/>
      <w:bookmarkStart w:id="943" w:name="_Toc422303794"/>
      <w:r>
        <w:rPr>
          <w:rFonts w:eastAsia="Calibri Light" w:cs="Calibri Light"/>
          <w:b/>
          <w:lang w:eastAsia="en-US"/>
        </w:rPr>
        <w:t xml:space="preserve">Глава 3 </w:t>
      </w:r>
      <w:bookmarkEnd w:id="943"/>
      <w:r>
        <w:rPr>
          <w:rFonts w:eastAsia="Calibri Light" w:cs="Calibri Light"/>
          <w:b/>
          <w:lang w:eastAsia="en-US"/>
        </w:rPr>
        <w:t>«Электронная модель системы теплоснабжения поселения</w:t>
      </w:r>
      <w:bookmarkEnd w:id="940"/>
      <w:bookmarkEnd w:id="941"/>
      <w:bookmarkEnd w:id="942"/>
      <w:r>
        <w:rPr>
          <w:rFonts w:eastAsia="Calibri Light" w:cs="Calibri Light"/>
          <w:b/>
          <w:lang w:eastAsia="en-US"/>
        </w:rPr>
        <w:t>»</w:t>
      </w:r>
      <w:bookmarkEnd w:id="938"/>
      <w:bookmarkEnd w:id="939"/>
    </w:p>
    <w:p>
      <w:pPr>
        <w:pStyle w:val="Normal"/>
        <w:ind w:firstLine="709"/>
        <w:jc w:val="both"/>
        <w:rPr>
          <w:rFonts w:eastAsia="Calibri"/>
          <w:b/>
          <w:b/>
          <w:lang w:eastAsia="en-US"/>
        </w:rPr>
      </w:pPr>
      <w:bookmarkStart w:id="944" w:name="_Hlk160526924"/>
      <w:bookmarkStart w:id="945" w:name="_Hlk160697422"/>
      <w:bookmarkStart w:id="946" w:name="_Hlk160647103"/>
      <w:bookmarkEnd w:id="945"/>
      <w:bookmarkEnd w:id="946"/>
      <w:r>
        <w:rPr/>
        <w:t>В соответствии с постановлением Правительства Российской Федерации от 22.02.2012 № 154 «О требованиях к схемам теплоснабжения, порядку их разработки и утверждения», разработка электронной модели схемы теплоснабжения для поселений, городских округов                  с численностью населения менее 100 тысяч человек не является обязательной.</w:t>
      </w:r>
    </w:p>
    <w:p>
      <w:pPr>
        <w:pStyle w:val="Normal"/>
        <w:ind w:firstLine="709"/>
        <w:jc w:val="both"/>
        <w:rPr>
          <w:rFonts w:eastAsia="Calibri"/>
          <w:b/>
          <w:b/>
          <w:lang w:eastAsia="en-US"/>
        </w:rPr>
      </w:pPr>
      <w:r>
        <w:rPr>
          <w:lang w:eastAsia="ar-SA"/>
        </w:rPr>
        <w:t>В рамках работы по актуализации Схемы теплоснабжения было выполнено:</w:t>
      </w:r>
    </w:p>
    <w:p>
      <w:pPr>
        <w:pStyle w:val="Normal"/>
        <w:ind w:firstLine="709"/>
        <w:jc w:val="both"/>
        <w:rPr>
          <w:rFonts w:eastAsia="Calibri"/>
          <w:b/>
          <w:b/>
          <w:lang w:eastAsia="en-US"/>
        </w:rPr>
      </w:pPr>
      <w:r>
        <w:rPr/>
        <w:t xml:space="preserve">- </w:t>
      </w:r>
      <w:r>
        <w:rPr>
          <w:u w:val="single"/>
        </w:rPr>
        <w:t>Графическое представление объектов системы теплоснабжения с привязкой к топографической основе и с полным топологическим описанием связности объектов</w:t>
      </w:r>
      <w:r>
        <w:rPr/>
        <w:t>. Графическое представление объектов выполнено с учетом привязки к топографической основе и схемы расположения инженерных коммуникаций, согласно представленных данных;</w:t>
      </w:r>
    </w:p>
    <w:p>
      <w:pPr>
        <w:pStyle w:val="Normal"/>
        <w:ind w:firstLine="709"/>
        <w:jc w:val="both"/>
        <w:rPr>
          <w:rFonts w:eastAsia="Calibri"/>
          <w:b/>
          <w:b/>
          <w:lang w:eastAsia="en-US"/>
        </w:rPr>
      </w:pPr>
      <w:r>
        <w:rPr/>
        <w:t xml:space="preserve">- </w:t>
      </w:r>
      <w:r>
        <w:rPr>
          <w:u w:val="single"/>
        </w:rPr>
        <w:t>Паспортизация объектов системы теплоснабжения.</w:t>
      </w:r>
      <w:r>
        <w:rPr/>
        <w:t xml:space="preserve"> Паспортизация объектов системы теплоснабжения осуществлялась на основе представленных исходных и расчетных данных;</w:t>
      </w:r>
    </w:p>
    <w:p>
      <w:pPr>
        <w:pStyle w:val="Normal"/>
        <w:ind w:firstLine="709"/>
        <w:jc w:val="both"/>
        <w:rPr>
          <w:rFonts w:eastAsia="Calibri"/>
          <w:b/>
          <w:b/>
          <w:lang w:eastAsia="en-US"/>
        </w:rPr>
      </w:pPr>
      <w:r>
        <w:rPr/>
        <w:t xml:space="preserve">- </w:t>
      </w:r>
      <w:r>
        <w:rPr>
          <w:u w:val="single"/>
        </w:rPr>
        <w:t>Паспортизация и описание расчетных единиц территориального деления, включая административное</w:t>
      </w:r>
      <w:r>
        <w:rPr/>
        <w:t>. Разбивка объектов по территориальному делению происходит на основе данных утвержденного генерального плана и карте территориального планирования.</w:t>
      </w:r>
      <w:bookmarkEnd w:id="944"/>
    </w:p>
    <w:p>
      <w:pPr>
        <w:pStyle w:val="Normal"/>
        <w:ind w:firstLine="709"/>
        <w:jc w:val="both"/>
        <w:rPr>
          <w:rFonts w:eastAsia="Calibri"/>
          <w:b/>
          <w:b/>
          <w:lang w:eastAsia="en-US"/>
        </w:rPr>
      </w:pPr>
      <w:r>
        <w:rPr>
          <w:rFonts w:eastAsia="Calibri"/>
          <w:b/>
          <w:lang w:eastAsia="en-US"/>
        </w:rPr>
      </w:r>
    </w:p>
    <w:p>
      <w:pPr>
        <w:pStyle w:val="Normal"/>
        <w:spacing w:before="0" w:after="0"/>
        <w:contextualSpacing/>
        <w:jc w:val="center"/>
        <w:rPr>
          <w:b/>
          <w:b/>
          <w:bCs/>
          <w:szCs w:val="28"/>
          <w:lang w:eastAsia="ru-RU"/>
        </w:rPr>
      </w:pPr>
      <w:bookmarkStart w:id="947" w:name="_Toc181340450"/>
      <w:bookmarkStart w:id="948" w:name="_Toc160529985"/>
      <w:r>
        <w:rPr>
          <w:b/>
          <w:bCs/>
          <w:szCs w:val="28"/>
          <w:lang w:eastAsia="ru-RU"/>
        </w:rPr>
        <w:t>Глава 4 «Существующие и перспективные балансы тепловой мощности источников тепловой энергии и тепловой нагрузки потребителей»</w:t>
      </w:r>
      <w:bookmarkEnd w:id="947"/>
      <w:bookmarkEnd w:id="948"/>
    </w:p>
    <w:p>
      <w:pPr>
        <w:pStyle w:val="Normal"/>
        <w:rPr>
          <w:szCs w:val="28"/>
          <w:lang w:eastAsia="ru-RU"/>
        </w:rPr>
      </w:pPr>
      <w:r>
        <w:rPr>
          <w:szCs w:val="28"/>
          <w:lang w:eastAsia="ru-RU"/>
        </w:rPr>
      </w:r>
    </w:p>
    <w:p>
      <w:pPr>
        <w:pStyle w:val="Normal"/>
        <w:ind w:firstLine="709"/>
        <w:jc w:val="both"/>
        <w:rPr>
          <w:b/>
          <w:b/>
        </w:rPr>
      </w:pPr>
      <w:r>
        <w:rPr>
          <w:b/>
        </w:rPr>
        <w:t>4.1. Балансы существующей на базовый период схемы теплоснабжения (актуализации схемы теплоснабжения) тепловой мощности и перспективной тепловой нагрузки в каждой из зон действия источников тепловой энергии с определением резервов (дефицитов) существующей располагаемой тепловой мощности источников тепловой энергии, устанавливаемых на основании величины расчетной тепловой нагрузки, а в ценовых зонах теплоснабжения – балансы существующей на базовый период схемы теплоснабжения (актуализации схемы теплоснабжения) тепловой мощности и перспективной тепловой нагрузки в каждой системе теплоснабжения с указанием сведений о значениях существующей и перспективной тепловой мощности источников тепловой энергии, находящихся в государственной или муниципальной собственности и являющихся объектами концессионных соглашений или договоров аренды</w:t>
      </w:r>
    </w:p>
    <w:p>
      <w:pPr>
        <w:pStyle w:val="Normal"/>
        <w:ind w:firstLine="709"/>
        <w:jc w:val="both"/>
        <w:rPr>
          <w:b/>
          <w:b/>
        </w:rPr>
      </w:pPr>
      <w:r>
        <w:rPr>
          <w:lang w:eastAsia="ru-RU"/>
        </w:rPr>
        <w:t xml:space="preserve">Балансы существующей на базовый период схемы теплоснабжения тепловой мощности в каждой из зон действия источников тепловой энергии с определением резервов (дефицитов) существующей располагаемой тепловой мощности источников тепловой энергии, устанавливаемых на основании величины расчетной тепловой нагрузки приведены в таблице 24. </w:t>
      </w:r>
    </w:p>
    <w:p>
      <w:pPr>
        <w:sectPr>
          <w:headerReference w:type="default" r:id="rId53"/>
          <w:footerReference w:type="default" r:id="rId54"/>
          <w:type w:val="nextPage"/>
          <w:pgSz w:w="11906" w:h="16838"/>
          <w:pgMar w:left="1701" w:right="567" w:header="709" w:top="1134" w:footer="266" w:bottom="709" w:gutter="0"/>
          <w:pgNumType w:fmt="decimal"/>
          <w:formProt w:val="false"/>
          <w:textDirection w:val="lrTb"/>
          <w:docGrid w:type="default" w:linePitch="360" w:charSpace="0"/>
        </w:sectPr>
        <w:pStyle w:val="Normal"/>
        <w:ind w:firstLine="709"/>
        <w:jc w:val="both"/>
        <w:rPr>
          <w:b/>
          <w:b/>
        </w:rPr>
      </w:pPr>
      <w:r>
        <w:rPr>
          <w:lang w:eastAsia="ru-RU"/>
        </w:rPr>
        <w:t xml:space="preserve">Перспективные балансы тепловой мощности в каждой из зон действия источников тепловой энергии с определением резервов (дефицитов) существующей располагаемой тепловой мощности источников тепловой энергии, устанавливаемых на основании величины расчетной тепловой нагрузки приведены в таблице </w:t>
      </w:r>
      <w:bookmarkStart w:id="949" w:name="_Hlk160647128"/>
      <w:bookmarkEnd w:id="949"/>
      <w:r>
        <w:rPr>
          <w:lang w:eastAsia="ru-RU"/>
        </w:rPr>
        <w:t>25.</w:t>
      </w:r>
    </w:p>
    <w:p>
      <w:pPr>
        <w:pStyle w:val="Normal"/>
        <w:jc w:val="right"/>
        <w:rPr>
          <w:rFonts w:eastAsia="Calibri" w:cs="Calibri"/>
          <w:szCs w:val="22"/>
          <w:lang w:eastAsia="en-US"/>
        </w:rPr>
      </w:pPr>
      <w:r>
        <w:rPr>
          <w:rFonts w:eastAsia="Calibri" w:cs="Calibri"/>
          <w:szCs w:val="22"/>
          <w:lang w:eastAsia="en-US"/>
        </w:rPr>
        <w:t>Таблица 24 – Балансы тепловой мощности и присоединенной тепловой нагрузки, Гкал/ч</w:t>
      </w:r>
    </w:p>
    <w:tbl>
      <w:tblPr>
        <w:tblW w:w="5000" w:type="pct"/>
        <w:jc w:val="left"/>
        <w:tblInd w:w="0" w:type="dxa"/>
        <w:tblCellMar>
          <w:top w:w="0" w:type="dxa"/>
          <w:left w:w="5" w:type="dxa"/>
          <w:bottom w:w="0" w:type="dxa"/>
          <w:right w:w="5" w:type="dxa"/>
        </w:tblCellMar>
        <w:tblLook w:val="04a0" w:noVBand="1" w:noHBand="0" w:lastColumn="0" w:firstColumn="1" w:lastRow="0" w:firstRow="1"/>
      </w:tblPr>
      <w:tblGrid>
        <w:gridCol w:w="670"/>
        <w:gridCol w:w="2099"/>
        <w:gridCol w:w="1587"/>
        <w:gridCol w:w="1559"/>
        <w:gridCol w:w="1075"/>
        <w:gridCol w:w="1355"/>
        <w:gridCol w:w="1107"/>
        <w:gridCol w:w="1527"/>
        <w:gridCol w:w="1132"/>
        <w:gridCol w:w="1395"/>
        <w:gridCol w:w="1062"/>
      </w:tblGrid>
      <w:tr>
        <w:trPr>
          <w:tblHeader w:val="true"/>
          <w:trHeight w:val="20" w:hRule="atLeast"/>
        </w:trPr>
        <w:tc>
          <w:tcPr>
            <w:tcW w:w="67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xml:space="preserve">№ </w:t>
            </w:r>
            <w:r>
              <w:rPr>
                <w:sz w:val="20"/>
                <w:szCs w:val="20"/>
                <w:lang w:eastAsia="ru-RU"/>
              </w:rPr>
              <w:t>п/п</w:t>
            </w:r>
          </w:p>
        </w:tc>
        <w:tc>
          <w:tcPr>
            <w:tcW w:w="2099" w:type="dxa"/>
            <w:tcBorders>
              <w:top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Наименование и адрес котельной</w:t>
            </w:r>
          </w:p>
        </w:tc>
        <w:tc>
          <w:tcPr>
            <w:tcW w:w="1587" w:type="dxa"/>
            <w:tcBorders>
              <w:top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Установленная мощность, Гкал/ч</w:t>
            </w:r>
          </w:p>
        </w:tc>
        <w:tc>
          <w:tcPr>
            <w:tcW w:w="1559" w:type="dxa"/>
            <w:tcBorders>
              <w:top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Располагаемая, Гкал/ч</w:t>
            </w:r>
          </w:p>
        </w:tc>
        <w:tc>
          <w:tcPr>
            <w:tcW w:w="1075" w:type="dxa"/>
            <w:tcBorders>
              <w:top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Тепловая мощность нетто, Гкал/ч</w:t>
            </w:r>
          </w:p>
        </w:tc>
        <w:tc>
          <w:tcPr>
            <w:tcW w:w="1355" w:type="dxa"/>
            <w:tcBorders>
              <w:top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Собственные нужды, Гкал/ч</w:t>
            </w:r>
          </w:p>
        </w:tc>
        <w:tc>
          <w:tcPr>
            <w:tcW w:w="1107" w:type="dxa"/>
            <w:tcBorders>
              <w:top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Потери в тепловых сетях, Гкал/ч</w:t>
            </w:r>
          </w:p>
        </w:tc>
        <w:tc>
          <w:tcPr>
            <w:tcW w:w="1527" w:type="dxa"/>
            <w:tcBorders>
              <w:top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Подключенная нагрузка, Гкал/ч</w:t>
            </w:r>
          </w:p>
        </w:tc>
        <w:tc>
          <w:tcPr>
            <w:tcW w:w="1132" w:type="dxa"/>
            <w:tcBorders>
              <w:top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Тепловая нагрузка на источнике, Гкал/ч</w:t>
            </w:r>
          </w:p>
        </w:tc>
        <w:tc>
          <w:tcPr>
            <w:tcW w:w="1395" w:type="dxa"/>
            <w:tcBorders>
              <w:top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Резерв (+)/ дефицит (-) тепловой мощности в номинальном режиме, Гкал/ч</w:t>
            </w:r>
          </w:p>
        </w:tc>
        <w:tc>
          <w:tcPr>
            <w:tcW w:w="1062" w:type="dxa"/>
            <w:tcBorders>
              <w:top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КИУТМ, %</w:t>
            </w:r>
          </w:p>
        </w:tc>
      </w:tr>
      <w:tr>
        <w:trPr>
          <w:trHeight w:val="20" w:hRule="atLeast"/>
        </w:trPr>
        <w:tc>
          <w:tcPr>
            <w:tcW w:w="14568" w:type="dxa"/>
            <w:gridSpan w:val="11"/>
            <w:tcBorders>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городское поселение Октябрьское</w:t>
            </w:r>
          </w:p>
        </w:tc>
      </w:tr>
      <w:tr>
        <w:trPr>
          <w:trHeight w:val="20" w:hRule="atLeast"/>
        </w:trPr>
        <w:tc>
          <w:tcPr>
            <w:tcW w:w="670" w:type="dxa"/>
            <w:tcBorders>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w:t>
            </w:r>
          </w:p>
        </w:tc>
        <w:tc>
          <w:tcPr>
            <w:tcW w:w="2099"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 xml:space="preserve">котельная № 1, </w:t>
            </w:r>
          </w:p>
          <w:p>
            <w:pPr>
              <w:pStyle w:val="Normal"/>
              <w:jc w:val="center"/>
              <w:rPr>
                <w:sz w:val="20"/>
                <w:szCs w:val="20"/>
                <w:lang w:eastAsia="ru-RU"/>
              </w:rPr>
            </w:pPr>
            <w:r>
              <w:rPr>
                <w:sz w:val="20"/>
                <w:szCs w:val="20"/>
              </w:rPr>
              <w:t xml:space="preserve">пгт.Октябрьское, </w:t>
            </w:r>
          </w:p>
          <w:p>
            <w:pPr>
              <w:pStyle w:val="Normal"/>
              <w:jc w:val="center"/>
              <w:rPr>
                <w:sz w:val="20"/>
                <w:szCs w:val="20"/>
                <w:lang w:eastAsia="ru-RU"/>
              </w:rPr>
            </w:pPr>
            <w:r>
              <w:rPr>
                <w:sz w:val="20"/>
                <w:szCs w:val="20"/>
              </w:rPr>
              <w:t>ул.Сенькина, 46б</w:t>
            </w:r>
          </w:p>
        </w:tc>
        <w:tc>
          <w:tcPr>
            <w:tcW w:w="1587"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10,32</w:t>
            </w:r>
          </w:p>
        </w:tc>
        <w:tc>
          <w:tcPr>
            <w:tcW w:w="1559"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10,32</w:t>
            </w:r>
          </w:p>
        </w:tc>
        <w:tc>
          <w:tcPr>
            <w:tcW w:w="1075"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10,09</w:t>
            </w:r>
          </w:p>
        </w:tc>
        <w:tc>
          <w:tcPr>
            <w:tcW w:w="1355"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0,23</w:t>
            </w:r>
          </w:p>
        </w:tc>
        <w:tc>
          <w:tcPr>
            <w:tcW w:w="1107"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0,075</w:t>
            </w:r>
          </w:p>
        </w:tc>
        <w:tc>
          <w:tcPr>
            <w:tcW w:w="1527"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8,36</w:t>
            </w:r>
          </w:p>
        </w:tc>
        <w:tc>
          <w:tcPr>
            <w:tcW w:w="1132"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8,435</w:t>
            </w:r>
          </w:p>
        </w:tc>
        <w:tc>
          <w:tcPr>
            <w:tcW w:w="1395"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1,654</w:t>
            </w:r>
          </w:p>
        </w:tc>
        <w:tc>
          <w:tcPr>
            <w:tcW w:w="1062"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81,73</w:t>
            </w:r>
          </w:p>
        </w:tc>
      </w:tr>
      <w:tr>
        <w:trPr>
          <w:trHeight w:val="20" w:hRule="atLeast"/>
        </w:trPr>
        <w:tc>
          <w:tcPr>
            <w:tcW w:w="670" w:type="dxa"/>
            <w:tcBorders>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2</w:t>
            </w:r>
          </w:p>
        </w:tc>
        <w:tc>
          <w:tcPr>
            <w:tcW w:w="2099"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 xml:space="preserve">котельная № 2, </w:t>
            </w:r>
          </w:p>
          <w:p>
            <w:pPr>
              <w:pStyle w:val="Normal"/>
              <w:jc w:val="center"/>
              <w:rPr>
                <w:sz w:val="20"/>
                <w:szCs w:val="20"/>
                <w:lang w:eastAsia="ru-RU"/>
              </w:rPr>
            </w:pPr>
            <w:r>
              <w:rPr>
                <w:sz w:val="20"/>
                <w:szCs w:val="20"/>
              </w:rPr>
              <w:t xml:space="preserve">пгт.Октябрьское, </w:t>
            </w:r>
          </w:p>
          <w:p>
            <w:pPr>
              <w:pStyle w:val="Normal"/>
              <w:jc w:val="center"/>
              <w:rPr>
                <w:sz w:val="20"/>
                <w:szCs w:val="20"/>
                <w:lang w:eastAsia="ru-RU"/>
              </w:rPr>
            </w:pPr>
            <w:r>
              <w:rPr>
                <w:sz w:val="20"/>
                <w:szCs w:val="20"/>
              </w:rPr>
              <w:t>ул.Пионерская, 17б</w:t>
            </w:r>
          </w:p>
        </w:tc>
        <w:tc>
          <w:tcPr>
            <w:tcW w:w="1587"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7,12</w:t>
            </w:r>
          </w:p>
        </w:tc>
        <w:tc>
          <w:tcPr>
            <w:tcW w:w="1559"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7,12</w:t>
            </w:r>
          </w:p>
        </w:tc>
        <w:tc>
          <w:tcPr>
            <w:tcW w:w="1075"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6,96</w:t>
            </w:r>
          </w:p>
        </w:tc>
        <w:tc>
          <w:tcPr>
            <w:tcW w:w="1355"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0,16</w:t>
            </w:r>
          </w:p>
        </w:tc>
        <w:tc>
          <w:tcPr>
            <w:tcW w:w="1107"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0,050</w:t>
            </w:r>
          </w:p>
        </w:tc>
        <w:tc>
          <w:tcPr>
            <w:tcW w:w="1527"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5,63</w:t>
            </w:r>
          </w:p>
        </w:tc>
        <w:tc>
          <w:tcPr>
            <w:tcW w:w="1132"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5,680</w:t>
            </w:r>
          </w:p>
        </w:tc>
        <w:tc>
          <w:tcPr>
            <w:tcW w:w="1395"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1,284</w:t>
            </w:r>
          </w:p>
        </w:tc>
        <w:tc>
          <w:tcPr>
            <w:tcW w:w="1062"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79,78</w:t>
            </w:r>
          </w:p>
        </w:tc>
      </w:tr>
      <w:tr>
        <w:trPr>
          <w:trHeight w:val="20" w:hRule="atLeast"/>
        </w:trPr>
        <w:tc>
          <w:tcPr>
            <w:tcW w:w="670" w:type="dxa"/>
            <w:tcBorders>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3</w:t>
            </w:r>
          </w:p>
        </w:tc>
        <w:tc>
          <w:tcPr>
            <w:tcW w:w="2099"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котельная № 3,</w:t>
            </w:r>
          </w:p>
          <w:p>
            <w:pPr>
              <w:pStyle w:val="Normal"/>
              <w:jc w:val="center"/>
              <w:rPr>
                <w:sz w:val="20"/>
                <w:szCs w:val="20"/>
                <w:lang w:eastAsia="ru-RU"/>
              </w:rPr>
            </w:pPr>
            <w:r>
              <w:rPr>
                <w:sz w:val="20"/>
                <w:szCs w:val="20"/>
              </w:rPr>
              <w:t xml:space="preserve"> </w:t>
            </w:r>
            <w:r>
              <w:rPr>
                <w:sz w:val="20"/>
                <w:szCs w:val="20"/>
              </w:rPr>
              <w:t xml:space="preserve">пгт.Октябрьское, </w:t>
            </w:r>
          </w:p>
          <w:p>
            <w:pPr>
              <w:pStyle w:val="Normal"/>
              <w:jc w:val="center"/>
              <w:rPr>
                <w:sz w:val="20"/>
                <w:szCs w:val="20"/>
                <w:lang w:eastAsia="ru-RU"/>
              </w:rPr>
            </w:pPr>
            <w:r>
              <w:rPr>
                <w:sz w:val="20"/>
                <w:szCs w:val="20"/>
              </w:rPr>
              <w:t>ул.Чапаева, 6б</w:t>
            </w:r>
          </w:p>
        </w:tc>
        <w:tc>
          <w:tcPr>
            <w:tcW w:w="1587"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5,32</w:t>
            </w:r>
          </w:p>
        </w:tc>
        <w:tc>
          <w:tcPr>
            <w:tcW w:w="1559"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5,32</w:t>
            </w:r>
          </w:p>
        </w:tc>
        <w:tc>
          <w:tcPr>
            <w:tcW w:w="1075"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5,26</w:t>
            </w:r>
          </w:p>
        </w:tc>
        <w:tc>
          <w:tcPr>
            <w:tcW w:w="1355"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0,06</w:t>
            </w:r>
          </w:p>
        </w:tc>
        <w:tc>
          <w:tcPr>
            <w:tcW w:w="1107"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0,040</w:t>
            </w:r>
          </w:p>
        </w:tc>
        <w:tc>
          <w:tcPr>
            <w:tcW w:w="1527"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5,21</w:t>
            </w:r>
          </w:p>
        </w:tc>
        <w:tc>
          <w:tcPr>
            <w:tcW w:w="1132"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5,250</w:t>
            </w:r>
          </w:p>
        </w:tc>
        <w:tc>
          <w:tcPr>
            <w:tcW w:w="1395"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0,010</w:t>
            </w:r>
          </w:p>
        </w:tc>
        <w:tc>
          <w:tcPr>
            <w:tcW w:w="1062"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98,68</w:t>
            </w:r>
          </w:p>
        </w:tc>
      </w:tr>
      <w:tr>
        <w:trPr>
          <w:trHeight w:val="20" w:hRule="atLeast"/>
        </w:trPr>
        <w:tc>
          <w:tcPr>
            <w:tcW w:w="670" w:type="dxa"/>
            <w:tcBorders>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4</w:t>
            </w:r>
          </w:p>
        </w:tc>
        <w:tc>
          <w:tcPr>
            <w:tcW w:w="2099"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 xml:space="preserve">котельная № 6, </w:t>
            </w:r>
          </w:p>
          <w:p>
            <w:pPr>
              <w:pStyle w:val="Normal"/>
              <w:jc w:val="center"/>
              <w:rPr>
                <w:sz w:val="20"/>
                <w:szCs w:val="20"/>
                <w:lang w:eastAsia="ru-RU"/>
              </w:rPr>
            </w:pPr>
            <w:r>
              <w:rPr>
                <w:sz w:val="20"/>
                <w:szCs w:val="20"/>
              </w:rPr>
              <w:t xml:space="preserve">пгт.Октябрьское, </w:t>
            </w:r>
          </w:p>
          <w:p>
            <w:pPr>
              <w:pStyle w:val="Normal"/>
              <w:jc w:val="center"/>
              <w:rPr>
                <w:sz w:val="20"/>
                <w:szCs w:val="20"/>
                <w:lang w:eastAsia="ru-RU"/>
              </w:rPr>
            </w:pPr>
            <w:r>
              <w:rPr>
                <w:sz w:val="20"/>
                <w:szCs w:val="20"/>
              </w:rPr>
              <w:t>ул.Дзержинского, 2б</w:t>
            </w:r>
          </w:p>
        </w:tc>
        <w:tc>
          <w:tcPr>
            <w:tcW w:w="1587"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5,4</w:t>
            </w:r>
          </w:p>
        </w:tc>
        <w:tc>
          <w:tcPr>
            <w:tcW w:w="1559"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5,4</w:t>
            </w:r>
          </w:p>
        </w:tc>
        <w:tc>
          <w:tcPr>
            <w:tcW w:w="1075"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5,31</w:t>
            </w:r>
          </w:p>
        </w:tc>
        <w:tc>
          <w:tcPr>
            <w:tcW w:w="1355"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0,09</w:t>
            </w:r>
          </w:p>
        </w:tc>
        <w:tc>
          <w:tcPr>
            <w:tcW w:w="1107"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0,029</w:t>
            </w:r>
          </w:p>
        </w:tc>
        <w:tc>
          <w:tcPr>
            <w:tcW w:w="1527"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3,26</w:t>
            </w:r>
          </w:p>
        </w:tc>
        <w:tc>
          <w:tcPr>
            <w:tcW w:w="1132"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3,289</w:t>
            </w:r>
          </w:p>
        </w:tc>
        <w:tc>
          <w:tcPr>
            <w:tcW w:w="1395"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2,020</w:t>
            </w:r>
          </w:p>
        </w:tc>
        <w:tc>
          <w:tcPr>
            <w:tcW w:w="1062"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60,91</w:t>
            </w:r>
          </w:p>
        </w:tc>
      </w:tr>
      <w:tr>
        <w:trPr>
          <w:trHeight w:val="680" w:hRule="atLeast"/>
        </w:trPr>
        <w:tc>
          <w:tcPr>
            <w:tcW w:w="670" w:type="dxa"/>
            <w:tcBorders>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5</w:t>
            </w:r>
          </w:p>
        </w:tc>
        <w:tc>
          <w:tcPr>
            <w:tcW w:w="2099"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котельная № 7,</w:t>
            </w:r>
          </w:p>
          <w:p>
            <w:pPr>
              <w:pStyle w:val="Normal"/>
              <w:jc w:val="center"/>
              <w:rPr>
                <w:sz w:val="20"/>
                <w:szCs w:val="20"/>
                <w:lang w:eastAsia="ru-RU"/>
              </w:rPr>
            </w:pPr>
            <w:r>
              <w:rPr>
                <w:sz w:val="20"/>
                <w:szCs w:val="20"/>
              </w:rPr>
              <w:t xml:space="preserve">пгт.Октябрьское, </w:t>
            </w:r>
          </w:p>
          <w:p>
            <w:pPr>
              <w:pStyle w:val="Normal"/>
              <w:jc w:val="center"/>
              <w:rPr>
                <w:sz w:val="20"/>
                <w:szCs w:val="20"/>
                <w:lang w:eastAsia="ru-RU"/>
              </w:rPr>
            </w:pPr>
            <w:r>
              <w:rPr>
                <w:sz w:val="20"/>
                <w:szCs w:val="20"/>
              </w:rPr>
              <w:t>ул.Медицинская, 3Б</w:t>
            </w:r>
          </w:p>
        </w:tc>
        <w:tc>
          <w:tcPr>
            <w:tcW w:w="1587"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5,16</w:t>
            </w:r>
          </w:p>
        </w:tc>
        <w:tc>
          <w:tcPr>
            <w:tcW w:w="1559"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5,16</w:t>
            </w:r>
          </w:p>
        </w:tc>
        <w:tc>
          <w:tcPr>
            <w:tcW w:w="1075"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5,05</w:t>
            </w:r>
          </w:p>
        </w:tc>
        <w:tc>
          <w:tcPr>
            <w:tcW w:w="1355"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0,11</w:t>
            </w:r>
          </w:p>
        </w:tc>
        <w:tc>
          <w:tcPr>
            <w:tcW w:w="1107"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0,036</w:t>
            </w:r>
          </w:p>
        </w:tc>
        <w:tc>
          <w:tcPr>
            <w:tcW w:w="1527"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0,86</w:t>
            </w:r>
          </w:p>
        </w:tc>
        <w:tc>
          <w:tcPr>
            <w:tcW w:w="1132"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0,896</w:t>
            </w:r>
          </w:p>
        </w:tc>
        <w:tc>
          <w:tcPr>
            <w:tcW w:w="1395"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4,155</w:t>
            </w:r>
          </w:p>
        </w:tc>
        <w:tc>
          <w:tcPr>
            <w:tcW w:w="1062"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17,36</w:t>
            </w:r>
          </w:p>
        </w:tc>
      </w:tr>
      <w:tr>
        <w:trPr>
          <w:trHeight w:val="20" w:hRule="atLeast"/>
        </w:trPr>
        <w:tc>
          <w:tcPr>
            <w:tcW w:w="670" w:type="dxa"/>
            <w:tcBorders>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6</w:t>
            </w:r>
          </w:p>
        </w:tc>
        <w:tc>
          <w:tcPr>
            <w:tcW w:w="2099"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 xml:space="preserve">котельная № 12, </w:t>
            </w:r>
          </w:p>
          <w:p>
            <w:pPr>
              <w:pStyle w:val="Normal"/>
              <w:jc w:val="center"/>
              <w:rPr>
                <w:sz w:val="20"/>
                <w:szCs w:val="20"/>
                <w:lang w:eastAsia="ru-RU"/>
              </w:rPr>
            </w:pPr>
            <w:r>
              <w:rPr>
                <w:sz w:val="20"/>
                <w:szCs w:val="20"/>
              </w:rPr>
              <w:t xml:space="preserve">пгт.Октябрьское, </w:t>
            </w:r>
          </w:p>
          <w:p>
            <w:pPr>
              <w:pStyle w:val="Normal"/>
              <w:jc w:val="center"/>
              <w:rPr>
                <w:sz w:val="20"/>
                <w:szCs w:val="20"/>
                <w:lang w:eastAsia="ru-RU"/>
              </w:rPr>
            </w:pPr>
            <w:r>
              <w:rPr>
                <w:sz w:val="20"/>
                <w:szCs w:val="20"/>
              </w:rPr>
              <w:t>ул.Медицинская, 3к</w:t>
            </w:r>
          </w:p>
        </w:tc>
        <w:tc>
          <w:tcPr>
            <w:tcW w:w="1587"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5,16</w:t>
            </w:r>
          </w:p>
        </w:tc>
        <w:tc>
          <w:tcPr>
            <w:tcW w:w="1559"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5,16</w:t>
            </w:r>
          </w:p>
        </w:tc>
        <w:tc>
          <w:tcPr>
            <w:tcW w:w="1075"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5,11</w:t>
            </w:r>
          </w:p>
        </w:tc>
        <w:tc>
          <w:tcPr>
            <w:tcW w:w="1355"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0,05</w:t>
            </w:r>
          </w:p>
        </w:tc>
        <w:tc>
          <w:tcPr>
            <w:tcW w:w="1107"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0,015</w:t>
            </w:r>
          </w:p>
        </w:tc>
        <w:tc>
          <w:tcPr>
            <w:tcW w:w="1527"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2,67</w:t>
            </w:r>
          </w:p>
        </w:tc>
        <w:tc>
          <w:tcPr>
            <w:tcW w:w="1132"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2,685</w:t>
            </w:r>
          </w:p>
        </w:tc>
        <w:tc>
          <w:tcPr>
            <w:tcW w:w="1395"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2,430</w:t>
            </w:r>
          </w:p>
        </w:tc>
        <w:tc>
          <w:tcPr>
            <w:tcW w:w="1062"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52,03</w:t>
            </w:r>
          </w:p>
        </w:tc>
      </w:tr>
      <w:tr>
        <w:trPr>
          <w:trHeight w:val="680" w:hRule="atLeast"/>
        </w:trPr>
        <w:tc>
          <w:tcPr>
            <w:tcW w:w="670" w:type="dxa"/>
            <w:tcBorders>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7</w:t>
            </w:r>
          </w:p>
        </w:tc>
        <w:tc>
          <w:tcPr>
            <w:tcW w:w="2099"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 xml:space="preserve">котельная № 8, </w:t>
            </w:r>
          </w:p>
          <w:p>
            <w:pPr>
              <w:pStyle w:val="Normal"/>
              <w:jc w:val="center"/>
              <w:rPr>
                <w:sz w:val="20"/>
                <w:szCs w:val="20"/>
              </w:rPr>
            </w:pPr>
            <w:r>
              <w:rPr>
                <w:sz w:val="20"/>
                <w:szCs w:val="20"/>
              </w:rPr>
              <w:t xml:space="preserve">пгт.Октябрьское, </w:t>
            </w:r>
          </w:p>
          <w:p>
            <w:pPr>
              <w:pStyle w:val="Normal"/>
              <w:jc w:val="center"/>
              <w:rPr>
                <w:sz w:val="20"/>
                <w:szCs w:val="20"/>
                <w:lang w:eastAsia="ru-RU"/>
              </w:rPr>
            </w:pPr>
            <w:r>
              <w:rPr>
                <w:sz w:val="20"/>
                <w:szCs w:val="20"/>
              </w:rPr>
              <w:t>ул.50 лет Победы, 38А</w:t>
            </w:r>
          </w:p>
        </w:tc>
        <w:tc>
          <w:tcPr>
            <w:tcW w:w="1587"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0,43</w:t>
            </w:r>
          </w:p>
        </w:tc>
        <w:tc>
          <w:tcPr>
            <w:tcW w:w="1559"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0,43</w:t>
            </w:r>
          </w:p>
        </w:tc>
        <w:tc>
          <w:tcPr>
            <w:tcW w:w="1075"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0,43</w:t>
            </w:r>
          </w:p>
        </w:tc>
        <w:tc>
          <w:tcPr>
            <w:tcW w:w="1355"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0,00</w:t>
            </w:r>
          </w:p>
        </w:tc>
        <w:tc>
          <w:tcPr>
            <w:tcW w:w="1107"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0,001</w:t>
            </w:r>
          </w:p>
        </w:tc>
        <w:tc>
          <w:tcPr>
            <w:tcW w:w="1527"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0,16</w:t>
            </w:r>
          </w:p>
        </w:tc>
        <w:tc>
          <w:tcPr>
            <w:tcW w:w="1132"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0,161</w:t>
            </w:r>
          </w:p>
        </w:tc>
        <w:tc>
          <w:tcPr>
            <w:tcW w:w="1395"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0,264</w:t>
            </w:r>
          </w:p>
        </w:tc>
        <w:tc>
          <w:tcPr>
            <w:tcW w:w="1062"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37,54</w:t>
            </w:r>
          </w:p>
        </w:tc>
      </w:tr>
    </w:tbl>
    <w:p>
      <w:pPr>
        <w:pStyle w:val="Normal"/>
        <w:jc w:val="both"/>
        <w:rPr>
          <w:lang w:eastAsia="ru-RU"/>
        </w:rPr>
      </w:pPr>
      <w:r>
        <w:rPr>
          <w:lang w:eastAsia="ru-RU"/>
        </w:rPr>
      </w:r>
    </w:p>
    <w:p>
      <w:pPr>
        <w:pStyle w:val="Normal"/>
        <w:jc w:val="right"/>
        <w:rPr>
          <w:lang w:eastAsia="ru-RU"/>
        </w:rPr>
      </w:pPr>
      <w:r>
        <w:rPr>
          <w:rFonts w:eastAsia="Calibri" w:cs="Calibri"/>
          <w:szCs w:val="22"/>
          <w:lang w:eastAsia="en-US"/>
        </w:rPr>
        <w:t>Таблица 25 – Перспективные балансы тепловой мощности и присоединенной тепловой нагрузки, Гкал/ч</w:t>
      </w:r>
    </w:p>
    <w:tbl>
      <w:tblPr>
        <w:tblW w:w="5000" w:type="pct"/>
        <w:jc w:val="left"/>
        <w:tblInd w:w="0" w:type="dxa"/>
        <w:tblCellMar>
          <w:top w:w="0" w:type="dxa"/>
          <w:left w:w="5" w:type="dxa"/>
          <w:bottom w:w="0" w:type="dxa"/>
          <w:right w:w="5" w:type="dxa"/>
        </w:tblCellMar>
        <w:tblLook w:val="04a0" w:noVBand="1" w:noHBand="0" w:lastColumn="0" w:firstColumn="1" w:lastRow="0" w:firstRow="1"/>
      </w:tblPr>
      <w:tblGrid>
        <w:gridCol w:w="345"/>
        <w:gridCol w:w="1601"/>
        <w:gridCol w:w="586"/>
        <w:gridCol w:w="1598"/>
        <w:gridCol w:w="1616"/>
        <w:gridCol w:w="1065"/>
        <w:gridCol w:w="1406"/>
        <w:gridCol w:w="1014"/>
        <w:gridCol w:w="1770"/>
        <w:gridCol w:w="1163"/>
        <w:gridCol w:w="1441"/>
        <w:gridCol w:w="964"/>
      </w:tblGrid>
      <w:tr>
        <w:trPr>
          <w:tblHeader w:val="true"/>
          <w:trHeight w:val="20" w:hRule="atLeast"/>
        </w:trPr>
        <w:tc>
          <w:tcPr>
            <w:tcW w:w="34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xml:space="preserve">№ </w:t>
            </w:r>
            <w:r>
              <w:rPr>
                <w:sz w:val="20"/>
                <w:szCs w:val="20"/>
                <w:lang w:eastAsia="ru-RU"/>
              </w:rPr>
              <w:t xml:space="preserve">п/п </w:t>
            </w:r>
          </w:p>
        </w:tc>
        <w:tc>
          <w:tcPr>
            <w:tcW w:w="1601" w:type="dxa"/>
            <w:tcBorders>
              <w:top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Наименование и адрес котельной</w:t>
            </w:r>
          </w:p>
        </w:tc>
        <w:tc>
          <w:tcPr>
            <w:tcW w:w="586" w:type="dxa"/>
            <w:tcBorders>
              <w:top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Год</w:t>
            </w:r>
          </w:p>
        </w:tc>
        <w:tc>
          <w:tcPr>
            <w:tcW w:w="1598" w:type="dxa"/>
            <w:tcBorders>
              <w:top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Установленная мощность, Гкал/ч</w:t>
            </w:r>
          </w:p>
        </w:tc>
        <w:tc>
          <w:tcPr>
            <w:tcW w:w="1616" w:type="dxa"/>
            <w:tcBorders>
              <w:top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Располагаемая, Гкал/ч</w:t>
            </w:r>
          </w:p>
        </w:tc>
        <w:tc>
          <w:tcPr>
            <w:tcW w:w="1065" w:type="dxa"/>
            <w:tcBorders>
              <w:top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Тепловая мощность нетто, Гкал/ч</w:t>
            </w:r>
          </w:p>
        </w:tc>
        <w:tc>
          <w:tcPr>
            <w:tcW w:w="1406" w:type="dxa"/>
            <w:tcBorders>
              <w:top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Собственные нужды, Гкал/ч</w:t>
            </w:r>
          </w:p>
        </w:tc>
        <w:tc>
          <w:tcPr>
            <w:tcW w:w="1014" w:type="dxa"/>
            <w:tcBorders>
              <w:top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Потери в тепловых сетях, Гкал/ч</w:t>
            </w:r>
          </w:p>
        </w:tc>
        <w:tc>
          <w:tcPr>
            <w:tcW w:w="1770" w:type="dxa"/>
            <w:tcBorders>
              <w:top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Присоединенная нагрузка, Гкал/ч</w:t>
            </w:r>
          </w:p>
        </w:tc>
        <w:tc>
          <w:tcPr>
            <w:tcW w:w="1163" w:type="dxa"/>
            <w:tcBorders>
              <w:top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Тепловая нагрузка на источнике, Гкал/ч</w:t>
            </w:r>
          </w:p>
        </w:tc>
        <w:tc>
          <w:tcPr>
            <w:tcW w:w="1441" w:type="dxa"/>
            <w:tcBorders>
              <w:top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Резерв (+)/ дефицит (-) тепловой мощности в номинальном режиме, Гкал/ч</w:t>
            </w:r>
          </w:p>
        </w:tc>
        <w:tc>
          <w:tcPr>
            <w:tcW w:w="964" w:type="dxa"/>
            <w:tcBorders>
              <w:top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КИУТМ, %</w:t>
            </w:r>
          </w:p>
        </w:tc>
      </w:tr>
      <w:tr>
        <w:trPr>
          <w:tblHeader w:val="true"/>
          <w:trHeight w:val="20" w:hRule="atLeast"/>
        </w:trPr>
        <w:tc>
          <w:tcPr>
            <w:tcW w:w="14569" w:type="dxa"/>
            <w:gridSpan w:val="12"/>
            <w:tcBorders>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городское поселение Октябрьское</w:t>
            </w:r>
          </w:p>
        </w:tc>
      </w:tr>
      <w:tr>
        <w:trPr>
          <w:trHeight w:val="156" w:hRule="atLeast"/>
        </w:trPr>
        <w:tc>
          <w:tcPr>
            <w:tcW w:w="345" w:type="dxa"/>
            <w:vMerge w:val="restart"/>
            <w:tcBorders>
              <w:left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w:t>
            </w:r>
          </w:p>
        </w:tc>
        <w:tc>
          <w:tcPr>
            <w:tcW w:w="1601" w:type="dxa"/>
            <w:vMerge w:val="restart"/>
            <w:tcBorders>
              <w:left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котельная № 1, пгт.Октябрьское, ул.Сенькина, 46б</w:t>
            </w:r>
          </w:p>
        </w:tc>
        <w:tc>
          <w:tcPr>
            <w:tcW w:w="586" w:type="dxa"/>
            <w:tcBorders>
              <w:top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2024</w:t>
            </w:r>
          </w:p>
        </w:tc>
        <w:tc>
          <w:tcPr>
            <w:tcW w:w="1598" w:type="dxa"/>
            <w:tcBorders>
              <w:top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10,32</w:t>
            </w:r>
          </w:p>
        </w:tc>
        <w:tc>
          <w:tcPr>
            <w:tcW w:w="1616" w:type="dxa"/>
            <w:tcBorders>
              <w:top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10,32</w:t>
            </w:r>
          </w:p>
        </w:tc>
        <w:tc>
          <w:tcPr>
            <w:tcW w:w="1065" w:type="dxa"/>
            <w:tcBorders>
              <w:top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10,09</w:t>
            </w:r>
          </w:p>
        </w:tc>
        <w:tc>
          <w:tcPr>
            <w:tcW w:w="1406" w:type="dxa"/>
            <w:tcBorders>
              <w:top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0,23</w:t>
            </w:r>
          </w:p>
        </w:tc>
        <w:tc>
          <w:tcPr>
            <w:tcW w:w="1014" w:type="dxa"/>
            <w:tcBorders>
              <w:top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0,075</w:t>
            </w:r>
          </w:p>
        </w:tc>
        <w:tc>
          <w:tcPr>
            <w:tcW w:w="1770" w:type="dxa"/>
            <w:tcBorders>
              <w:top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8,36</w:t>
            </w:r>
          </w:p>
        </w:tc>
        <w:tc>
          <w:tcPr>
            <w:tcW w:w="1163" w:type="dxa"/>
            <w:tcBorders>
              <w:top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8,435</w:t>
            </w:r>
          </w:p>
        </w:tc>
        <w:tc>
          <w:tcPr>
            <w:tcW w:w="1441" w:type="dxa"/>
            <w:tcBorders>
              <w:top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1,654</w:t>
            </w:r>
          </w:p>
        </w:tc>
        <w:tc>
          <w:tcPr>
            <w:tcW w:w="964" w:type="dxa"/>
            <w:tcBorders>
              <w:top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81,73</w:t>
            </w:r>
          </w:p>
        </w:tc>
      </w:tr>
      <w:tr>
        <w:trPr>
          <w:trHeight w:val="20" w:hRule="atLeast"/>
        </w:trPr>
        <w:tc>
          <w:tcPr>
            <w:tcW w:w="345" w:type="dxa"/>
            <w:vMerge w:val="continue"/>
            <w:tcBorders>
              <w:left w:val="single" w:sz="4" w:space="0" w:color="000000"/>
              <w:right w:val="single" w:sz="4" w:space="0" w:color="000000"/>
            </w:tcBorders>
            <w:shd w:color="auto" w:fill="auto" w:val="clear"/>
            <w:vAlign w:val="center"/>
          </w:tcPr>
          <w:p>
            <w:pPr>
              <w:pStyle w:val="Normal"/>
              <w:rPr>
                <w:sz w:val="20"/>
                <w:szCs w:val="20"/>
                <w:lang w:eastAsia="ru-RU"/>
              </w:rPr>
            </w:pPr>
            <w:r>
              <w:rPr>
                <w:sz w:val="20"/>
                <w:szCs w:val="20"/>
                <w:lang w:eastAsia="ru-RU"/>
              </w:rPr>
            </w:r>
          </w:p>
        </w:tc>
        <w:tc>
          <w:tcPr>
            <w:tcW w:w="1601" w:type="dxa"/>
            <w:vMerge w:val="continue"/>
            <w:tcBorders>
              <w:left w:val="single" w:sz="4" w:space="0" w:color="000000"/>
              <w:right w:val="single" w:sz="4" w:space="0" w:color="000000"/>
            </w:tcBorders>
            <w:shd w:color="auto" w:fill="auto" w:val="clear"/>
            <w:vAlign w:val="center"/>
          </w:tcPr>
          <w:p>
            <w:pPr>
              <w:pStyle w:val="Normal"/>
              <w:rPr>
                <w:sz w:val="20"/>
                <w:szCs w:val="20"/>
                <w:lang w:eastAsia="ru-RU"/>
              </w:rPr>
            </w:pPr>
            <w:r>
              <w:rPr>
                <w:sz w:val="20"/>
                <w:szCs w:val="20"/>
                <w:lang w:eastAsia="ru-RU"/>
              </w:rPr>
            </w:r>
          </w:p>
        </w:tc>
        <w:tc>
          <w:tcPr>
            <w:tcW w:w="586" w:type="dxa"/>
            <w:tcBorders>
              <w:top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2025</w:t>
            </w:r>
          </w:p>
        </w:tc>
        <w:tc>
          <w:tcPr>
            <w:tcW w:w="1598" w:type="dxa"/>
            <w:tcBorders>
              <w:top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10,32</w:t>
            </w:r>
          </w:p>
        </w:tc>
        <w:tc>
          <w:tcPr>
            <w:tcW w:w="1616" w:type="dxa"/>
            <w:tcBorders>
              <w:top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10,32</w:t>
            </w:r>
          </w:p>
        </w:tc>
        <w:tc>
          <w:tcPr>
            <w:tcW w:w="1065" w:type="dxa"/>
            <w:tcBorders>
              <w:top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10,09</w:t>
            </w:r>
          </w:p>
        </w:tc>
        <w:tc>
          <w:tcPr>
            <w:tcW w:w="1406" w:type="dxa"/>
            <w:tcBorders>
              <w:top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0,23</w:t>
            </w:r>
          </w:p>
        </w:tc>
        <w:tc>
          <w:tcPr>
            <w:tcW w:w="1014" w:type="dxa"/>
            <w:tcBorders>
              <w:top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0,075</w:t>
            </w:r>
          </w:p>
        </w:tc>
        <w:tc>
          <w:tcPr>
            <w:tcW w:w="1770" w:type="dxa"/>
            <w:tcBorders>
              <w:top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8,36</w:t>
            </w:r>
          </w:p>
        </w:tc>
        <w:tc>
          <w:tcPr>
            <w:tcW w:w="1163" w:type="dxa"/>
            <w:tcBorders>
              <w:top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8,435</w:t>
            </w:r>
          </w:p>
        </w:tc>
        <w:tc>
          <w:tcPr>
            <w:tcW w:w="1441" w:type="dxa"/>
            <w:tcBorders>
              <w:top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1,654</w:t>
            </w:r>
          </w:p>
        </w:tc>
        <w:tc>
          <w:tcPr>
            <w:tcW w:w="964" w:type="dxa"/>
            <w:tcBorders>
              <w:top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81,73</w:t>
            </w:r>
          </w:p>
        </w:tc>
      </w:tr>
      <w:tr>
        <w:trPr>
          <w:trHeight w:val="20" w:hRule="atLeast"/>
        </w:trPr>
        <w:tc>
          <w:tcPr>
            <w:tcW w:w="345" w:type="dxa"/>
            <w:vMerge w:val="continue"/>
            <w:tcBorders>
              <w:left w:val="single" w:sz="4" w:space="0" w:color="000000"/>
              <w:right w:val="single" w:sz="4" w:space="0" w:color="000000"/>
            </w:tcBorders>
            <w:shd w:color="auto" w:fill="auto" w:val="clear"/>
            <w:vAlign w:val="center"/>
          </w:tcPr>
          <w:p>
            <w:pPr>
              <w:pStyle w:val="Normal"/>
              <w:rPr>
                <w:sz w:val="20"/>
                <w:szCs w:val="20"/>
                <w:lang w:eastAsia="ru-RU"/>
              </w:rPr>
            </w:pPr>
            <w:r>
              <w:rPr>
                <w:sz w:val="20"/>
                <w:szCs w:val="20"/>
                <w:lang w:eastAsia="ru-RU"/>
              </w:rPr>
            </w:r>
          </w:p>
        </w:tc>
        <w:tc>
          <w:tcPr>
            <w:tcW w:w="1601" w:type="dxa"/>
            <w:vMerge w:val="continue"/>
            <w:tcBorders>
              <w:left w:val="single" w:sz="4" w:space="0" w:color="000000"/>
              <w:right w:val="single" w:sz="4" w:space="0" w:color="000000"/>
            </w:tcBorders>
            <w:shd w:color="auto" w:fill="auto" w:val="clear"/>
            <w:vAlign w:val="center"/>
          </w:tcPr>
          <w:p>
            <w:pPr>
              <w:pStyle w:val="Normal"/>
              <w:rPr>
                <w:sz w:val="20"/>
                <w:szCs w:val="20"/>
                <w:lang w:eastAsia="ru-RU"/>
              </w:rPr>
            </w:pPr>
            <w:r>
              <w:rPr>
                <w:sz w:val="20"/>
                <w:szCs w:val="20"/>
                <w:lang w:eastAsia="ru-RU"/>
              </w:rPr>
            </w:r>
          </w:p>
        </w:tc>
        <w:tc>
          <w:tcPr>
            <w:tcW w:w="586"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2026</w:t>
            </w:r>
          </w:p>
        </w:tc>
        <w:tc>
          <w:tcPr>
            <w:tcW w:w="1598"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10,32</w:t>
            </w:r>
          </w:p>
        </w:tc>
        <w:tc>
          <w:tcPr>
            <w:tcW w:w="1616"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10,32</w:t>
            </w:r>
          </w:p>
        </w:tc>
        <w:tc>
          <w:tcPr>
            <w:tcW w:w="1065"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10,09</w:t>
            </w:r>
          </w:p>
        </w:tc>
        <w:tc>
          <w:tcPr>
            <w:tcW w:w="1406"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0,23</w:t>
            </w:r>
          </w:p>
        </w:tc>
        <w:tc>
          <w:tcPr>
            <w:tcW w:w="1014"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0,075</w:t>
            </w:r>
          </w:p>
        </w:tc>
        <w:tc>
          <w:tcPr>
            <w:tcW w:w="1770"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8,36</w:t>
            </w:r>
          </w:p>
        </w:tc>
        <w:tc>
          <w:tcPr>
            <w:tcW w:w="1163"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8,435</w:t>
            </w:r>
          </w:p>
        </w:tc>
        <w:tc>
          <w:tcPr>
            <w:tcW w:w="1441"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1,654</w:t>
            </w:r>
          </w:p>
        </w:tc>
        <w:tc>
          <w:tcPr>
            <w:tcW w:w="964"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81,73</w:t>
            </w:r>
          </w:p>
        </w:tc>
      </w:tr>
      <w:tr>
        <w:trPr>
          <w:trHeight w:val="20" w:hRule="atLeast"/>
        </w:trPr>
        <w:tc>
          <w:tcPr>
            <w:tcW w:w="345" w:type="dxa"/>
            <w:vMerge w:val="continue"/>
            <w:tcBorders>
              <w:left w:val="single" w:sz="4" w:space="0" w:color="000000"/>
              <w:right w:val="single" w:sz="4" w:space="0" w:color="000000"/>
            </w:tcBorders>
            <w:shd w:color="auto" w:fill="auto" w:val="clear"/>
            <w:vAlign w:val="center"/>
          </w:tcPr>
          <w:p>
            <w:pPr>
              <w:pStyle w:val="Normal"/>
              <w:rPr>
                <w:sz w:val="20"/>
                <w:szCs w:val="20"/>
                <w:lang w:eastAsia="ru-RU"/>
              </w:rPr>
            </w:pPr>
            <w:r>
              <w:rPr>
                <w:sz w:val="20"/>
                <w:szCs w:val="20"/>
                <w:lang w:eastAsia="ru-RU"/>
              </w:rPr>
            </w:r>
          </w:p>
        </w:tc>
        <w:tc>
          <w:tcPr>
            <w:tcW w:w="1601" w:type="dxa"/>
            <w:vMerge w:val="continue"/>
            <w:tcBorders>
              <w:left w:val="single" w:sz="4" w:space="0" w:color="000000"/>
              <w:right w:val="single" w:sz="4" w:space="0" w:color="000000"/>
            </w:tcBorders>
            <w:shd w:color="auto" w:fill="auto" w:val="clear"/>
            <w:vAlign w:val="center"/>
          </w:tcPr>
          <w:p>
            <w:pPr>
              <w:pStyle w:val="Normal"/>
              <w:rPr>
                <w:sz w:val="20"/>
                <w:szCs w:val="20"/>
                <w:lang w:eastAsia="ru-RU"/>
              </w:rPr>
            </w:pPr>
            <w:r>
              <w:rPr>
                <w:sz w:val="20"/>
                <w:szCs w:val="20"/>
                <w:lang w:eastAsia="ru-RU"/>
              </w:rPr>
            </w:r>
          </w:p>
        </w:tc>
        <w:tc>
          <w:tcPr>
            <w:tcW w:w="586"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2027</w:t>
            </w:r>
          </w:p>
        </w:tc>
        <w:tc>
          <w:tcPr>
            <w:tcW w:w="1598"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17</w:t>
            </w:r>
          </w:p>
        </w:tc>
        <w:tc>
          <w:tcPr>
            <w:tcW w:w="1616"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17</w:t>
            </w:r>
          </w:p>
        </w:tc>
        <w:tc>
          <w:tcPr>
            <w:tcW w:w="1065"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16,80</w:t>
            </w:r>
          </w:p>
        </w:tc>
        <w:tc>
          <w:tcPr>
            <w:tcW w:w="1406"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0,20</w:t>
            </w:r>
          </w:p>
        </w:tc>
        <w:tc>
          <w:tcPr>
            <w:tcW w:w="1014"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0,115</w:t>
            </w:r>
          </w:p>
        </w:tc>
        <w:tc>
          <w:tcPr>
            <w:tcW w:w="1770"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13,570</w:t>
            </w:r>
          </w:p>
        </w:tc>
        <w:tc>
          <w:tcPr>
            <w:tcW w:w="1163"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13,685</w:t>
            </w:r>
          </w:p>
        </w:tc>
        <w:tc>
          <w:tcPr>
            <w:tcW w:w="1441"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3,115</w:t>
            </w:r>
          </w:p>
        </w:tc>
        <w:tc>
          <w:tcPr>
            <w:tcW w:w="964"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80,50</w:t>
            </w:r>
          </w:p>
        </w:tc>
      </w:tr>
      <w:tr>
        <w:trPr>
          <w:trHeight w:val="20" w:hRule="atLeast"/>
        </w:trPr>
        <w:tc>
          <w:tcPr>
            <w:tcW w:w="345" w:type="dxa"/>
            <w:vMerge w:val="continue"/>
            <w:tcBorders>
              <w:left w:val="single" w:sz="4" w:space="0" w:color="000000"/>
              <w:right w:val="single" w:sz="4" w:space="0" w:color="000000"/>
            </w:tcBorders>
            <w:shd w:color="auto" w:fill="auto" w:val="clear"/>
            <w:vAlign w:val="center"/>
          </w:tcPr>
          <w:p>
            <w:pPr>
              <w:pStyle w:val="Normal"/>
              <w:rPr>
                <w:sz w:val="20"/>
                <w:szCs w:val="20"/>
                <w:lang w:eastAsia="ru-RU"/>
              </w:rPr>
            </w:pPr>
            <w:r>
              <w:rPr>
                <w:sz w:val="20"/>
                <w:szCs w:val="20"/>
                <w:lang w:eastAsia="ru-RU"/>
              </w:rPr>
            </w:r>
          </w:p>
        </w:tc>
        <w:tc>
          <w:tcPr>
            <w:tcW w:w="1601" w:type="dxa"/>
            <w:vMerge w:val="continue"/>
            <w:tcBorders>
              <w:left w:val="single" w:sz="4" w:space="0" w:color="000000"/>
              <w:right w:val="single" w:sz="4" w:space="0" w:color="000000"/>
            </w:tcBorders>
            <w:shd w:color="auto" w:fill="auto" w:val="clear"/>
            <w:vAlign w:val="center"/>
          </w:tcPr>
          <w:p>
            <w:pPr>
              <w:pStyle w:val="Normal"/>
              <w:rPr>
                <w:sz w:val="20"/>
                <w:szCs w:val="20"/>
                <w:lang w:eastAsia="ru-RU"/>
              </w:rPr>
            </w:pPr>
            <w:r>
              <w:rPr>
                <w:sz w:val="20"/>
                <w:szCs w:val="20"/>
                <w:lang w:eastAsia="ru-RU"/>
              </w:rPr>
            </w:r>
          </w:p>
        </w:tc>
        <w:tc>
          <w:tcPr>
            <w:tcW w:w="586"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2028</w:t>
            </w:r>
          </w:p>
        </w:tc>
        <w:tc>
          <w:tcPr>
            <w:tcW w:w="1598"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17</w:t>
            </w:r>
          </w:p>
        </w:tc>
        <w:tc>
          <w:tcPr>
            <w:tcW w:w="1616"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17</w:t>
            </w:r>
          </w:p>
        </w:tc>
        <w:tc>
          <w:tcPr>
            <w:tcW w:w="1065"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16,80</w:t>
            </w:r>
          </w:p>
        </w:tc>
        <w:tc>
          <w:tcPr>
            <w:tcW w:w="1406"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0,20</w:t>
            </w:r>
          </w:p>
        </w:tc>
        <w:tc>
          <w:tcPr>
            <w:tcW w:w="1014"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0,115</w:t>
            </w:r>
          </w:p>
        </w:tc>
        <w:tc>
          <w:tcPr>
            <w:tcW w:w="1770"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13,570</w:t>
            </w:r>
          </w:p>
        </w:tc>
        <w:tc>
          <w:tcPr>
            <w:tcW w:w="1163"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13,685</w:t>
            </w:r>
          </w:p>
        </w:tc>
        <w:tc>
          <w:tcPr>
            <w:tcW w:w="1441"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3,115</w:t>
            </w:r>
          </w:p>
        </w:tc>
        <w:tc>
          <w:tcPr>
            <w:tcW w:w="964"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80,50</w:t>
            </w:r>
          </w:p>
        </w:tc>
      </w:tr>
      <w:tr>
        <w:trPr>
          <w:trHeight w:val="20" w:hRule="atLeast"/>
        </w:trPr>
        <w:tc>
          <w:tcPr>
            <w:tcW w:w="345" w:type="dxa"/>
            <w:vMerge w:val="continue"/>
            <w:tcBorders>
              <w:left w:val="single" w:sz="4" w:space="0" w:color="000000"/>
              <w:right w:val="single" w:sz="4" w:space="0" w:color="000000"/>
            </w:tcBorders>
            <w:shd w:color="auto" w:fill="auto" w:val="clear"/>
            <w:vAlign w:val="center"/>
          </w:tcPr>
          <w:p>
            <w:pPr>
              <w:pStyle w:val="Normal"/>
              <w:rPr>
                <w:sz w:val="20"/>
                <w:szCs w:val="20"/>
                <w:lang w:eastAsia="ru-RU"/>
              </w:rPr>
            </w:pPr>
            <w:r>
              <w:rPr>
                <w:sz w:val="20"/>
                <w:szCs w:val="20"/>
                <w:lang w:eastAsia="ru-RU"/>
              </w:rPr>
            </w:r>
          </w:p>
        </w:tc>
        <w:tc>
          <w:tcPr>
            <w:tcW w:w="1601" w:type="dxa"/>
            <w:vMerge w:val="continue"/>
            <w:tcBorders>
              <w:left w:val="single" w:sz="4" w:space="0" w:color="000000"/>
              <w:right w:val="single" w:sz="4" w:space="0" w:color="000000"/>
            </w:tcBorders>
            <w:shd w:color="auto" w:fill="auto" w:val="clear"/>
            <w:vAlign w:val="center"/>
          </w:tcPr>
          <w:p>
            <w:pPr>
              <w:pStyle w:val="Normal"/>
              <w:rPr>
                <w:sz w:val="20"/>
                <w:szCs w:val="20"/>
                <w:lang w:eastAsia="ru-RU"/>
              </w:rPr>
            </w:pPr>
            <w:r>
              <w:rPr>
                <w:sz w:val="20"/>
                <w:szCs w:val="20"/>
                <w:lang w:eastAsia="ru-RU"/>
              </w:rPr>
            </w:r>
          </w:p>
        </w:tc>
        <w:tc>
          <w:tcPr>
            <w:tcW w:w="586"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2029-2032</w:t>
            </w:r>
          </w:p>
        </w:tc>
        <w:tc>
          <w:tcPr>
            <w:tcW w:w="1598"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17</w:t>
            </w:r>
          </w:p>
        </w:tc>
        <w:tc>
          <w:tcPr>
            <w:tcW w:w="1616"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17</w:t>
            </w:r>
          </w:p>
        </w:tc>
        <w:tc>
          <w:tcPr>
            <w:tcW w:w="1065"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16,80</w:t>
            </w:r>
          </w:p>
        </w:tc>
        <w:tc>
          <w:tcPr>
            <w:tcW w:w="1406"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0,20</w:t>
            </w:r>
          </w:p>
        </w:tc>
        <w:tc>
          <w:tcPr>
            <w:tcW w:w="1014"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0,115</w:t>
            </w:r>
          </w:p>
        </w:tc>
        <w:tc>
          <w:tcPr>
            <w:tcW w:w="1770"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13,570</w:t>
            </w:r>
          </w:p>
        </w:tc>
        <w:tc>
          <w:tcPr>
            <w:tcW w:w="1163"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13,685</w:t>
            </w:r>
          </w:p>
        </w:tc>
        <w:tc>
          <w:tcPr>
            <w:tcW w:w="1441"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3,115</w:t>
            </w:r>
          </w:p>
        </w:tc>
        <w:tc>
          <w:tcPr>
            <w:tcW w:w="964"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80,50</w:t>
            </w:r>
          </w:p>
        </w:tc>
      </w:tr>
      <w:tr>
        <w:trPr>
          <w:trHeight w:val="20" w:hRule="atLeast"/>
        </w:trPr>
        <w:tc>
          <w:tcPr>
            <w:tcW w:w="345" w:type="dxa"/>
            <w:vMerge w:val="continue"/>
            <w:tcBorders>
              <w:left w:val="single" w:sz="4" w:space="0" w:color="000000"/>
              <w:bottom w:val="single" w:sz="4" w:space="0" w:color="000000"/>
              <w:right w:val="single" w:sz="4" w:space="0" w:color="000000"/>
            </w:tcBorders>
            <w:shd w:color="auto" w:fill="auto" w:val="clear"/>
            <w:vAlign w:val="center"/>
          </w:tcPr>
          <w:p>
            <w:pPr>
              <w:pStyle w:val="Normal"/>
              <w:rPr>
                <w:sz w:val="20"/>
                <w:szCs w:val="20"/>
                <w:lang w:eastAsia="ru-RU"/>
              </w:rPr>
            </w:pPr>
            <w:r>
              <w:rPr>
                <w:sz w:val="20"/>
                <w:szCs w:val="20"/>
                <w:lang w:eastAsia="ru-RU"/>
              </w:rPr>
            </w:r>
          </w:p>
        </w:tc>
        <w:tc>
          <w:tcPr>
            <w:tcW w:w="1601" w:type="dxa"/>
            <w:vMerge w:val="continue"/>
            <w:tcBorders>
              <w:left w:val="single" w:sz="4" w:space="0" w:color="000000"/>
              <w:bottom w:val="single" w:sz="4" w:space="0" w:color="000000"/>
              <w:right w:val="single" w:sz="4" w:space="0" w:color="000000"/>
            </w:tcBorders>
            <w:shd w:color="auto" w:fill="auto" w:val="clear"/>
            <w:vAlign w:val="center"/>
          </w:tcPr>
          <w:p>
            <w:pPr>
              <w:pStyle w:val="Normal"/>
              <w:rPr>
                <w:sz w:val="20"/>
                <w:szCs w:val="20"/>
                <w:lang w:eastAsia="ru-RU"/>
              </w:rPr>
            </w:pPr>
            <w:r>
              <w:rPr>
                <w:sz w:val="20"/>
                <w:szCs w:val="20"/>
                <w:lang w:eastAsia="ru-RU"/>
              </w:rPr>
            </w:r>
          </w:p>
        </w:tc>
        <w:tc>
          <w:tcPr>
            <w:tcW w:w="586"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2033-2035</w:t>
            </w:r>
          </w:p>
        </w:tc>
        <w:tc>
          <w:tcPr>
            <w:tcW w:w="1598"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17</w:t>
            </w:r>
          </w:p>
        </w:tc>
        <w:tc>
          <w:tcPr>
            <w:tcW w:w="1616"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17</w:t>
            </w:r>
          </w:p>
        </w:tc>
        <w:tc>
          <w:tcPr>
            <w:tcW w:w="1065"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16,80</w:t>
            </w:r>
          </w:p>
        </w:tc>
        <w:tc>
          <w:tcPr>
            <w:tcW w:w="1406"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0,20</w:t>
            </w:r>
          </w:p>
        </w:tc>
        <w:tc>
          <w:tcPr>
            <w:tcW w:w="1014"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0,115</w:t>
            </w:r>
          </w:p>
        </w:tc>
        <w:tc>
          <w:tcPr>
            <w:tcW w:w="1770"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13,570</w:t>
            </w:r>
          </w:p>
        </w:tc>
        <w:tc>
          <w:tcPr>
            <w:tcW w:w="1163"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13,685</w:t>
            </w:r>
          </w:p>
        </w:tc>
        <w:tc>
          <w:tcPr>
            <w:tcW w:w="1441"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3,115</w:t>
            </w:r>
          </w:p>
        </w:tc>
        <w:tc>
          <w:tcPr>
            <w:tcW w:w="964"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80,50</w:t>
            </w:r>
          </w:p>
        </w:tc>
      </w:tr>
      <w:tr>
        <w:trPr>
          <w:trHeight w:val="157" w:hRule="atLeast"/>
        </w:trPr>
        <w:tc>
          <w:tcPr>
            <w:tcW w:w="345" w:type="dxa"/>
            <w:tcBorders>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2</w:t>
            </w:r>
          </w:p>
        </w:tc>
        <w:tc>
          <w:tcPr>
            <w:tcW w:w="1601" w:type="dxa"/>
            <w:tcBorders>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котельная № 2, пгт.Октябрьское, ул.Пионерская, 17б</w:t>
            </w:r>
          </w:p>
        </w:tc>
        <w:tc>
          <w:tcPr>
            <w:tcW w:w="586" w:type="dxa"/>
            <w:tcBorders>
              <w:top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2024</w:t>
            </w:r>
          </w:p>
        </w:tc>
        <w:tc>
          <w:tcPr>
            <w:tcW w:w="12037" w:type="dxa"/>
            <w:gridSpan w:val="9"/>
            <w:tcBorders>
              <w:top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Строительство котельной по ул.Дзержинского, 14 в пгт.Октябрьское. Вывод из эксплуатации котельной № 2 по ул.Пионерская, 17Б и котельной № 6 по ул.Дзержинского, 2Б с переключением нагрузки на новую котельную по ул.Дзержинского, 14.</w:t>
            </w:r>
          </w:p>
        </w:tc>
      </w:tr>
      <w:tr>
        <w:trPr>
          <w:trHeight w:val="20" w:hRule="atLeast"/>
        </w:trPr>
        <w:tc>
          <w:tcPr>
            <w:tcW w:w="345" w:type="dxa"/>
            <w:vMerge w:val="restart"/>
            <w:tcBorders>
              <w:left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3</w:t>
            </w:r>
          </w:p>
        </w:tc>
        <w:tc>
          <w:tcPr>
            <w:tcW w:w="1601" w:type="dxa"/>
            <w:vMerge w:val="restart"/>
            <w:tcBorders>
              <w:left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котельная № 3, пгт.Октябрьское, ул.Чапаева, 6б</w:t>
            </w:r>
          </w:p>
        </w:tc>
        <w:tc>
          <w:tcPr>
            <w:tcW w:w="586"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2024</w:t>
            </w:r>
          </w:p>
        </w:tc>
        <w:tc>
          <w:tcPr>
            <w:tcW w:w="1598" w:type="dxa"/>
            <w:tcBorders>
              <w:bottom w:val="single" w:sz="4" w:space="0" w:color="000000"/>
              <w:right w:val="single" w:sz="4" w:space="0" w:color="000000"/>
            </w:tcBorders>
            <w:shd w:color="auto" w:fill="auto" w:val="clear"/>
            <w:vAlign w:val="center"/>
          </w:tcPr>
          <w:p>
            <w:pPr>
              <w:pStyle w:val="Normal"/>
              <w:jc w:val="center"/>
              <w:rPr>
                <w:sz w:val="20"/>
                <w:szCs w:val="20"/>
              </w:rPr>
            </w:pPr>
            <w:r>
              <w:rPr>
                <w:sz w:val="20"/>
                <w:szCs w:val="20"/>
              </w:rPr>
              <w:t>5,32</w:t>
            </w:r>
          </w:p>
        </w:tc>
        <w:tc>
          <w:tcPr>
            <w:tcW w:w="1616" w:type="dxa"/>
            <w:tcBorders>
              <w:bottom w:val="single" w:sz="4" w:space="0" w:color="000000"/>
              <w:right w:val="single" w:sz="4" w:space="0" w:color="000000"/>
            </w:tcBorders>
            <w:shd w:color="auto" w:fill="auto" w:val="clear"/>
            <w:vAlign w:val="center"/>
          </w:tcPr>
          <w:p>
            <w:pPr>
              <w:pStyle w:val="Normal"/>
              <w:jc w:val="center"/>
              <w:rPr>
                <w:sz w:val="20"/>
                <w:szCs w:val="20"/>
              </w:rPr>
            </w:pPr>
            <w:r>
              <w:rPr>
                <w:sz w:val="20"/>
                <w:szCs w:val="20"/>
              </w:rPr>
              <w:t>5,32</w:t>
            </w:r>
          </w:p>
        </w:tc>
        <w:tc>
          <w:tcPr>
            <w:tcW w:w="1065" w:type="dxa"/>
            <w:tcBorders>
              <w:bottom w:val="single" w:sz="4" w:space="0" w:color="000000"/>
              <w:right w:val="single" w:sz="4" w:space="0" w:color="000000"/>
            </w:tcBorders>
            <w:shd w:color="auto" w:fill="auto" w:val="clear"/>
            <w:vAlign w:val="center"/>
          </w:tcPr>
          <w:p>
            <w:pPr>
              <w:pStyle w:val="Normal"/>
              <w:jc w:val="center"/>
              <w:rPr>
                <w:sz w:val="20"/>
                <w:szCs w:val="20"/>
              </w:rPr>
            </w:pPr>
            <w:r>
              <w:rPr>
                <w:sz w:val="20"/>
                <w:szCs w:val="20"/>
              </w:rPr>
              <w:t>5,26</w:t>
            </w:r>
          </w:p>
        </w:tc>
        <w:tc>
          <w:tcPr>
            <w:tcW w:w="1406" w:type="dxa"/>
            <w:tcBorders>
              <w:bottom w:val="single" w:sz="4" w:space="0" w:color="000000"/>
              <w:right w:val="single" w:sz="4" w:space="0" w:color="000000"/>
            </w:tcBorders>
            <w:shd w:color="auto" w:fill="auto" w:val="clear"/>
            <w:vAlign w:val="center"/>
          </w:tcPr>
          <w:p>
            <w:pPr>
              <w:pStyle w:val="Normal"/>
              <w:jc w:val="center"/>
              <w:rPr>
                <w:sz w:val="20"/>
                <w:szCs w:val="20"/>
              </w:rPr>
            </w:pPr>
            <w:r>
              <w:rPr>
                <w:sz w:val="20"/>
                <w:szCs w:val="20"/>
              </w:rPr>
              <w:t>0,06</w:t>
            </w:r>
          </w:p>
        </w:tc>
        <w:tc>
          <w:tcPr>
            <w:tcW w:w="1014" w:type="dxa"/>
            <w:tcBorders>
              <w:bottom w:val="single" w:sz="4" w:space="0" w:color="000000"/>
              <w:right w:val="single" w:sz="4" w:space="0" w:color="000000"/>
            </w:tcBorders>
            <w:shd w:color="auto" w:fill="auto" w:val="clear"/>
            <w:vAlign w:val="center"/>
          </w:tcPr>
          <w:p>
            <w:pPr>
              <w:pStyle w:val="Normal"/>
              <w:jc w:val="center"/>
              <w:rPr>
                <w:sz w:val="20"/>
                <w:szCs w:val="20"/>
              </w:rPr>
            </w:pPr>
            <w:r>
              <w:rPr>
                <w:sz w:val="20"/>
                <w:szCs w:val="20"/>
              </w:rPr>
              <w:t>0,040</w:t>
            </w:r>
          </w:p>
        </w:tc>
        <w:tc>
          <w:tcPr>
            <w:tcW w:w="1770" w:type="dxa"/>
            <w:tcBorders>
              <w:bottom w:val="single" w:sz="4" w:space="0" w:color="000000"/>
              <w:right w:val="single" w:sz="4" w:space="0" w:color="000000"/>
            </w:tcBorders>
            <w:shd w:color="auto" w:fill="auto" w:val="clear"/>
            <w:vAlign w:val="center"/>
          </w:tcPr>
          <w:p>
            <w:pPr>
              <w:pStyle w:val="Normal"/>
              <w:jc w:val="center"/>
              <w:rPr>
                <w:sz w:val="20"/>
                <w:szCs w:val="20"/>
              </w:rPr>
            </w:pPr>
            <w:r>
              <w:rPr>
                <w:sz w:val="20"/>
                <w:szCs w:val="20"/>
              </w:rPr>
              <w:t>5,21</w:t>
            </w:r>
          </w:p>
        </w:tc>
        <w:tc>
          <w:tcPr>
            <w:tcW w:w="1163" w:type="dxa"/>
            <w:tcBorders>
              <w:bottom w:val="single" w:sz="4" w:space="0" w:color="000000"/>
              <w:right w:val="single" w:sz="4" w:space="0" w:color="000000"/>
            </w:tcBorders>
            <w:shd w:color="auto" w:fill="auto" w:val="clear"/>
            <w:vAlign w:val="center"/>
          </w:tcPr>
          <w:p>
            <w:pPr>
              <w:pStyle w:val="Normal"/>
              <w:jc w:val="center"/>
              <w:rPr>
                <w:sz w:val="20"/>
                <w:szCs w:val="20"/>
              </w:rPr>
            </w:pPr>
            <w:r>
              <w:rPr>
                <w:sz w:val="20"/>
                <w:szCs w:val="20"/>
              </w:rPr>
              <w:t>5,250</w:t>
            </w:r>
          </w:p>
        </w:tc>
        <w:tc>
          <w:tcPr>
            <w:tcW w:w="1441" w:type="dxa"/>
            <w:tcBorders>
              <w:bottom w:val="single" w:sz="4" w:space="0" w:color="000000"/>
              <w:right w:val="single" w:sz="4" w:space="0" w:color="000000"/>
            </w:tcBorders>
            <w:shd w:color="auto" w:fill="auto" w:val="clear"/>
            <w:vAlign w:val="center"/>
          </w:tcPr>
          <w:p>
            <w:pPr>
              <w:pStyle w:val="Normal"/>
              <w:jc w:val="center"/>
              <w:rPr>
                <w:sz w:val="20"/>
                <w:szCs w:val="20"/>
              </w:rPr>
            </w:pPr>
            <w:r>
              <w:rPr>
                <w:sz w:val="20"/>
                <w:szCs w:val="20"/>
              </w:rPr>
              <w:t>0,010</w:t>
            </w:r>
          </w:p>
        </w:tc>
        <w:tc>
          <w:tcPr>
            <w:tcW w:w="964" w:type="dxa"/>
            <w:tcBorders>
              <w:bottom w:val="single" w:sz="4" w:space="0" w:color="000000"/>
              <w:right w:val="single" w:sz="4" w:space="0" w:color="000000"/>
            </w:tcBorders>
            <w:shd w:color="auto" w:fill="auto" w:val="clear"/>
            <w:vAlign w:val="center"/>
          </w:tcPr>
          <w:p>
            <w:pPr>
              <w:pStyle w:val="Normal"/>
              <w:jc w:val="center"/>
              <w:rPr>
                <w:sz w:val="20"/>
                <w:szCs w:val="20"/>
              </w:rPr>
            </w:pPr>
            <w:r>
              <w:rPr>
                <w:sz w:val="20"/>
                <w:szCs w:val="20"/>
              </w:rPr>
              <w:t>98,68</w:t>
            </w:r>
          </w:p>
        </w:tc>
      </w:tr>
      <w:tr>
        <w:trPr>
          <w:trHeight w:val="20" w:hRule="atLeast"/>
        </w:trPr>
        <w:tc>
          <w:tcPr>
            <w:tcW w:w="345" w:type="dxa"/>
            <w:vMerge w:val="continue"/>
            <w:tcBorders>
              <w:left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r>
          </w:p>
        </w:tc>
        <w:tc>
          <w:tcPr>
            <w:tcW w:w="1601" w:type="dxa"/>
            <w:vMerge w:val="continue"/>
            <w:tcBorders>
              <w:left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r>
          </w:p>
        </w:tc>
        <w:tc>
          <w:tcPr>
            <w:tcW w:w="586"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2025</w:t>
            </w:r>
          </w:p>
        </w:tc>
        <w:tc>
          <w:tcPr>
            <w:tcW w:w="1598" w:type="dxa"/>
            <w:tcBorders>
              <w:bottom w:val="single" w:sz="4" w:space="0" w:color="000000"/>
              <w:right w:val="single" w:sz="4" w:space="0" w:color="000000"/>
            </w:tcBorders>
            <w:shd w:color="auto" w:fill="auto" w:val="clear"/>
            <w:vAlign w:val="center"/>
          </w:tcPr>
          <w:p>
            <w:pPr>
              <w:pStyle w:val="Normal"/>
              <w:jc w:val="center"/>
              <w:rPr>
                <w:sz w:val="20"/>
                <w:szCs w:val="20"/>
              </w:rPr>
            </w:pPr>
            <w:r>
              <w:rPr>
                <w:sz w:val="20"/>
                <w:szCs w:val="20"/>
              </w:rPr>
              <w:t>5,32</w:t>
            </w:r>
          </w:p>
        </w:tc>
        <w:tc>
          <w:tcPr>
            <w:tcW w:w="1616" w:type="dxa"/>
            <w:tcBorders>
              <w:bottom w:val="single" w:sz="4" w:space="0" w:color="000000"/>
              <w:right w:val="single" w:sz="4" w:space="0" w:color="000000"/>
            </w:tcBorders>
            <w:shd w:color="auto" w:fill="auto" w:val="clear"/>
            <w:vAlign w:val="center"/>
          </w:tcPr>
          <w:p>
            <w:pPr>
              <w:pStyle w:val="Normal"/>
              <w:jc w:val="center"/>
              <w:rPr>
                <w:sz w:val="20"/>
                <w:szCs w:val="20"/>
              </w:rPr>
            </w:pPr>
            <w:r>
              <w:rPr>
                <w:sz w:val="20"/>
                <w:szCs w:val="20"/>
              </w:rPr>
              <w:t>5,32</w:t>
            </w:r>
          </w:p>
        </w:tc>
        <w:tc>
          <w:tcPr>
            <w:tcW w:w="1065" w:type="dxa"/>
            <w:tcBorders>
              <w:bottom w:val="single" w:sz="4" w:space="0" w:color="000000"/>
              <w:right w:val="single" w:sz="4" w:space="0" w:color="000000"/>
            </w:tcBorders>
            <w:shd w:color="auto" w:fill="auto" w:val="clear"/>
            <w:vAlign w:val="center"/>
          </w:tcPr>
          <w:p>
            <w:pPr>
              <w:pStyle w:val="Normal"/>
              <w:jc w:val="center"/>
              <w:rPr>
                <w:sz w:val="20"/>
                <w:szCs w:val="20"/>
              </w:rPr>
            </w:pPr>
            <w:r>
              <w:rPr>
                <w:sz w:val="20"/>
                <w:szCs w:val="20"/>
              </w:rPr>
              <w:t>5,26</w:t>
            </w:r>
          </w:p>
        </w:tc>
        <w:tc>
          <w:tcPr>
            <w:tcW w:w="1406" w:type="dxa"/>
            <w:tcBorders>
              <w:bottom w:val="single" w:sz="4" w:space="0" w:color="000000"/>
              <w:right w:val="single" w:sz="4" w:space="0" w:color="000000"/>
            </w:tcBorders>
            <w:shd w:color="auto" w:fill="auto" w:val="clear"/>
            <w:vAlign w:val="center"/>
          </w:tcPr>
          <w:p>
            <w:pPr>
              <w:pStyle w:val="Normal"/>
              <w:jc w:val="center"/>
              <w:rPr>
                <w:sz w:val="20"/>
                <w:szCs w:val="20"/>
              </w:rPr>
            </w:pPr>
            <w:r>
              <w:rPr>
                <w:sz w:val="20"/>
                <w:szCs w:val="20"/>
              </w:rPr>
              <w:t>0,06</w:t>
            </w:r>
          </w:p>
        </w:tc>
        <w:tc>
          <w:tcPr>
            <w:tcW w:w="1014" w:type="dxa"/>
            <w:tcBorders>
              <w:bottom w:val="single" w:sz="4" w:space="0" w:color="000000"/>
              <w:right w:val="single" w:sz="4" w:space="0" w:color="000000"/>
            </w:tcBorders>
            <w:shd w:color="auto" w:fill="auto" w:val="clear"/>
            <w:vAlign w:val="center"/>
          </w:tcPr>
          <w:p>
            <w:pPr>
              <w:pStyle w:val="Normal"/>
              <w:jc w:val="center"/>
              <w:rPr>
                <w:sz w:val="20"/>
                <w:szCs w:val="20"/>
              </w:rPr>
            </w:pPr>
            <w:r>
              <w:rPr>
                <w:sz w:val="20"/>
                <w:szCs w:val="20"/>
              </w:rPr>
              <w:t>0,040</w:t>
            </w:r>
          </w:p>
        </w:tc>
        <w:tc>
          <w:tcPr>
            <w:tcW w:w="1770" w:type="dxa"/>
            <w:tcBorders>
              <w:bottom w:val="single" w:sz="4" w:space="0" w:color="000000"/>
              <w:right w:val="single" w:sz="4" w:space="0" w:color="000000"/>
            </w:tcBorders>
            <w:shd w:color="auto" w:fill="auto" w:val="clear"/>
            <w:vAlign w:val="center"/>
          </w:tcPr>
          <w:p>
            <w:pPr>
              <w:pStyle w:val="Normal"/>
              <w:jc w:val="center"/>
              <w:rPr>
                <w:sz w:val="20"/>
                <w:szCs w:val="20"/>
              </w:rPr>
            </w:pPr>
            <w:r>
              <w:rPr>
                <w:sz w:val="20"/>
                <w:szCs w:val="20"/>
              </w:rPr>
              <w:t>5,21</w:t>
            </w:r>
          </w:p>
        </w:tc>
        <w:tc>
          <w:tcPr>
            <w:tcW w:w="1163" w:type="dxa"/>
            <w:tcBorders>
              <w:bottom w:val="single" w:sz="4" w:space="0" w:color="000000"/>
              <w:right w:val="single" w:sz="4" w:space="0" w:color="000000"/>
            </w:tcBorders>
            <w:shd w:color="auto" w:fill="auto" w:val="clear"/>
            <w:vAlign w:val="center"/>
          </w:tcPr>
          <w:p>
            <w:pPr>
              <w:pStyle w:val="Normal"/>
              <w:jc w:val="center"/>
              <w:rPr>
                <w:sz w:val="20"/>
                <w:szCs w:val="20"/>
              </w:rPr>
            </w:pPr>
            <w:r>
              <w:rPr>
                <w:sz w:val="20"/>
                <w:szCs w:val="20"/>
              </w:rPr>
              <w:t>5,250</w:t>
            </w:r>
          </w:p>
        </w:tc>
        <w:tc>
          <w:tcPr>
            <w:tcW w:w="1441" w:type="dxa"/>
            <w:tcBorders>
              <w:bottom w:val="single" w:sz="4" w:space="0" w:color="000000"/>
              <w:right w:val="single" w:sz="4" w:space="0" w:color="000000"/>
            </w:tcBorders>
            <w:shd w:color="auto" w:fill="auto" w:val="clear"/>
            <w:vAlign w:val="center"/>
          </w:tcPr>
          <w:p>
            <w:pPr>
              <w:pStyle w:val="Normal"/>
              <w:jc w:val="center"/>
              <w:rPr>
                <w:sz w:val="20"/>
                <w:szCs w:val="20"/>
              </w:rPr>
            </w:pPr>
            <w:r>
              <w:rPr>
                <w:sz w:val="20"/>
                <w:szCs w:val="20"/>
              </w:rPr>
              <w:t>0,010</w:t>
            </w:r>
          </w:p>
        </w:tc>
        <w:tc>
          <w:tcPr>
            <w:tcW w:w="964" w:type="dxa"/>
            <w:tcBorders>
              <w:bottom w:val="single" w:sz="4" w:space="0" w:color="000000"/>
              <w:right w:val="single" w:sz="4" w:space="0" w:color="000000"/>
            </w:tcBorders>
            <w:shd w:color="auto" w:fill="auto" w:val="clear"/>
            <w:vAlign w:val="center"/>
          </w:tcPr>
          <w:p>
            <w:pPr>
              <w:pStyle w:val="Normal"/>
              <w:jc w:val="center"/>
              <w:rPr>
                <w:sz w:val="20"/>
                <w:szCs w:val="20"/>
              </w:rPr>
            </w:pPr>
            <w:r>
              <w:rPr>
                <w:sz w:val="20"/>
                <w:szCs w:val="20"/>
              </w:rPr>
              <w:t>98,68</w:t>
            </w:r>
          </w:p>
        </w:tc>
      </w:tr>
      <w:tr>
        <w:trPr>
          <w:trHeight w:val="20" w:hRule="atLeast"/>
        </w:trPr>
        <w:tc>
          <w:tcPr>
            <w:tcW w:w="345" w:type="dxa"/>
            <w:vMerge w:val="continue"/>
            <w:tcBorders>
              <w:left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r>
          </w:p>
        </w:tc>
        <w:tc>
          <w:tcPr>
            <w:tcW w:w="1601" w:type="dxa"/>
            <w:vMerge w:val="continue"/>
            <w:tcBorders>
              <w:left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r>
          </w:p>
        </w:tc>
        <w:tc>
          <w:tcPr>
            <w:tcW w:w="586"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2026</w:t>
            </w:r>
          </w:p>
        </w:tc>
        <w:tc>
          <w:tcPr>
            <w:tcW w:w="1598" w:type="dxa"/>
            <w:tcBorders>
              <w:bottom w:val="single" w:sz="4" w:space="0" w:color="000000"/>
              <w:right w:val="single" w:sz="4" w:space="0" w:color="000000"/>
            </w:tcBorders>
            <w:shd w:color="auto" w:fill="auto" w:val="clear"/>
            <w:vAlign w:val="center"/>
          </w:tcPr>
          <w:p>
            <w:pPr>
              <w:pStyle w:val="Normal"/>
              <w:jc w:val="center"/>
              <w:rPr>
                <w:sz w:val="20"/>
                <w:szCs w:val="20"/>
              </w:rPr>
            </w:pPr>
            <w:r>
              <w:rPr>
                <w:sz w:val="20"/>
                <w:szCs w:val="20"/>
              </w:rPr>
              <w:t>5,32</w:t>
            </w:r>
          </w:p>
        </w:tc>
        <w:tc>
          <w:tcPr>
            <w:tcW w:w="1616" w:type="dxa"/>
            <w:tcBorders>
              <w:bottom w:val="single" w:sz="4" w:space="0" w:color="000000"/>
              <w:right w:val="single" w:sz="4" w:space="0" w:color="000000"/>
            </w:tcBorders>
            <w:shd w:color="auto" w:fill="auto" w:val="clear"/>
            <w:vAlign w:val="center"/>
          </w:tcPr>
          <w:p>
            <w:pPr>
              <w:pStyle w:val="Normal"/>
              <w:jc w:val="center"/>
              <w:rPr>
                <w:sz w:val="20"/>
                <w:szCs w:val="20"/>
              </w:rPr>
            </w:pPr>
            <w:r>
              <w:rPr>
                <w:sz w:val="20"/>
                <w:szCs w:val="20"/>
              </w:rPr>
              <w:t>5,32</w:t>
            </w:r>
          </w:p>
        </w:tc>
        <w:tc>
          <w:tcPr>
            <w:tcW w:w="1065" w:type="dxa"/>
            <w:tcBorders>
              <w:bottom w:val="single" w:sz="4" w:space="0" w:color="000000"/>
              <w:right w:val="single" w:sz="4" w:space="0" w:color="000000"/>
            </w:tcBorders>
            <w:shd w:color="auto" w:fill="auto" w:val="clear"/>
            <w:vAlign w:val="center"/>
          </w:tcPr>
          <w:p>
            <w:pPr>
              <w:pStyle w:val="Normal"/>
              <w:jc w:val="center"/>
              <w:rPr>
                <w:sz w:val="20"/>
                <w:szCs w:val="20"/>
              </w:rPr>
            </w:pPr>
            <w:r>
              <w:rPr>
                <w:sz w:val="20"/>
                <w:szCs w:val="20"/>
              </w:rPr>
              <w:t>5,26</w:t>
            </w:r>
          </w:p>
        </w:tc>
        <w:tc>
          <w:tcPr>
            <w:tcW w:w="1406" w:type="dxa"/>
            <w:tcBorders>
              <w:bottom w:val="single" w:sz="4" w:space="0" w:color="000000"/>
              <w:right w:val="single" w:sz="4" w:space="0" w:color="000000"/>
            </w:tcBorders>
            <w:shd w:color="auto" w:fill="auto" w:val="clear"/>
            <w:vAlign w:val="center"/>
          </w:tcPr>
          <w:p>
            <w:pPr>
              <w:pStyle w:val="Normal"/>
              <w:jc w:val="center"/>
              <w:rPr>
                <w:sz w:val="20"/>
                <w:szCs w:val="20"/>
              </w:rPr>
            </w:pPr>
            <w:r>
              <w:rPr>
                <w:sz w:val="20"/>
                <w:szCs w:val="20"/>
              </w:rPr>
              <w:t>0,06</w:t>
            </w:r>
          </w:p>
        </w:tc>
        <w:tc>
          <w:tcPr>
            <w:tcW w:w="1014" w:type="dxa"/>
            <w:tcBorders>
              <w:bottom w:val="single" w:sz="4" w:space="0" w:color="000000"/>
              <w:right w:val="single" w:sz="4" w:space="0" w:color="000000"/>
            </w:tcBorders>
            <w:shd w:color="auto" w:fill="auto" w:val="clear"/>
            <w:vAlign w:val="center"/>
          </w:tcPr>
          <w:p>
            <w:pPr>
              <w:pStyle w:val="Normal"/>
              <w:jc w:val="center"/>
              <w:rPr>
                <w:sz w:val="20"/>
                <w:szCs w:val="20"/>
              </w:rPr>
            </w:pPr>
            <w:r>
              <w:rPr>
                <w:sz w:val="20"/>
                <w:szCs w:val="20"/>
              </w:rPr>
              <w:t>0,040</w:t>
            </w:r>
          </w:p>
        </w:tc>
        <w:tc>
          <w:tcPr>
            <w:tcW w:w="1770" w:type="dxa"/>
            <w:tcBorders>
              <w:bottom w:val="single" w:sz="4" w:space="0" w:color="000000"/>
              <w:right w:val="single" w:sz="4" w:space="0" w:color="000000"/>
            </w:tcBorders>
            <w:shd w:color="auto" w:fill="auto" w:val="clear"/>
            <w:vAlign w:val="center"/>
          </w:tcPr>
          <w:p>
            <w:pPr>
              <w:pStyle w:val="Normal"/>
              <w:jc w:val="center"/>
              <w:rPr>
                <w:sz w:val="20"/>
                <w:szCs w:val="20"/>
              </w:rPr>
            </w:pPr>
            <w:r>
              <w:rPr>
                <w:sz w:val="20"/>
                <w:szCs w:val="20"/>
              </w:rPr>
              <w:t>5,21</w:t>
            </w:r>
          </w:p>
        </w:tc>
        <w:tc>
          <w:tcPr>
            <w:tcW w:w="1163" w:type="dxa"/>
            <w:tcBorders>
              <w:bottom w:val="single" w:sz="4" w:space="0" w:color="000000"/>
              <w:right w:val="single" w:sz="4" w:space="0" w:color="000000"/>
            </w:tcBorders>
            <w:shd w:color="auto" w:fill="auto" w:val="clear"/>
            <w:vAlign w:val="center"/>
          </w:tcPr>
          <w:p>
            <w:pPr>
              <w:pStyle w:val="Normal"/>
              <w:jc w:val="center"/>
              <w:rPr>
                <w:sz w:val="20"/>
                <w:szCs w:val="20"/>
              </w:rPr>
            </w:pPr>
            <w:r>
              <w:rPr>
                <w:sz w:val="20"/>
                <w:szCs w:val="20"/>
              </w:rPr>
              <w:t>5,250</w:t>
            </w:r>
          </w:p>
        </w:tc>
        <w:tc>
          <w:tcPr>
            <w:tcW w:w="1441" w:type="dxa"/>
            <w:tcBorders>
              <w:bottom w:val="single" w:sz="4" w:space="0" w:color="000000"/>
              <w:right w:val="single" w:sz="4" w:space="0" w:color="000000"/>
            </w:tcBorders>
            <w:shd w:color="auto" w:fill="auto" w:val="clear"/>
            <w:vAlign w:val="center"/>
          </w:tcPr>
          <w:p>
            <w:pPr>
              <w:pStyle w:val="Normal"/>
              <w:jc w:val="center"/>
              <w:rPr>
                <w:sz w:val="20"/>
                <w:szCs w:val="20"/>
              </w:rPr>
            </w:pPr>
            <w:r>
              <w:rPr>
                <w:sz w:val="20"/>
                <w:szCs w:val="20"/>
              </w:rPr>
              <w:t>0,010</w:t>
            </w:r>
          </w:p>
        </w:tc>
        <w:tc>
          <w:tcPr>
            <w:tcW w:w="964" w:type="dxa"/>
            <w:tcBorders>
              <w:bottom w:val="single" w:sz="4" w:space="0" w:color="000000"/>
              <w:right w:val="single" w:sz="4" w:space="0" w:color="000000"/>
            </w:tcBorders>
            <w:shd w:color="auto" w:fill="auto" w:val="clear"/>
            <w:vAlign w:val="center"/>
          </w:tcPr>
          <w:p>
            <w:pPr>
              <w:pStyle w:val="Normal"/>
              <w:jc w:val="center"/>
              <w:rPr>
                <w:sz w:val="20"/>
                <w:szCs w:val="20"/>
              </w:rPr>
            </w:pPr>
            <w:r>
              <w:rPr>
                <w:sz w:val="20"/>
                <w:szCs w:val="20"/>
              </w:rPr>
              <w:t>98,68</w:t>
            </w:r>
          </w:p>
        </w:tc>
      </w:tr>
      <w:tr>
        <w:trPr>
          <w:trHeight w:val="131" w:hRule="atLeast"/>
        </w:trPr>
        <w:tc>
          <w:tcPr>
            <w:tcW w:w="345" w:type="dxa"/>
            <w:vMerge w:val="continue"/>
            <w:tcBorders>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r>
          </w:p>
        </w:tc>
        <w:tc>
          <w:tcPr>
            <w:tcW w:w="1601" w:type="dxa"/>
            <w:vMerge w:val="continue"/>
            <w:tcBorders>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r>
          </w:p>
        </w:tc>
        <w:tc>
          <w:tcPr>
            <w:tcW w:w="586" w:type="dxa"/>
            <w:tcBorders>
              <w:top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2027</w:t>
            </w:r>
          </w:p>
        </w:tc>
        <w:tc>
          <w:tcPr>
            <w:tcW w:w="12037" w:type="dxa"/>
            <w:gridSpan w:val="9"/>
            <w:tcBorders>
              <w:top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Вывод из эксплуатации котельной № 3 по ул.Чапаева, 6Б с переключением нагрузки на котельную № 1 по ул.Сенькина, 46б</w:t>
            </w:r>
          </w:p>
        </w:tc>
      </w:tr>
      <w:tr>
        <w:trPr>
          <w:trHeight w:val="106" w:hRule="atLeast"/>
        </w:trPr>
        <w:tc>
          <w:tcPr>
            <w:tcW w:w="345" w:type="dxa"/>
            <w:tcBorders>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4</w:t>
            </w:r>
          </w:p>
        </w:tc>
        <w:tc>
          <w:tcPr>
            <w:tcW w:w="1601" w:type="dxa"/>
            <w:tcBorders>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котельная № 6, пгт.Октябрьское, ул.Дзержинского, 2б</w:t>
            </w:r>
          </w:p>
        </w:tc>
        <w:tc>
          <w:tcPr>
            <w:tcW w:w="586" w:type="dxa"/>
            <w:tcBorders>
              <w:top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2024</w:t>
            </w:r>
          </w:p>
        </w:tc>
        <w:tc>
          <w:tcPr>
            <w:tcW w:w="12037" w:type="dxa"/>
            <w:gridSpan w:val="9"/>
            <w:tcBorders>
              <w:top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Строительство котельной по ул.Дзержинского, 14 в пгт.Октябрьское. Вывод из эксплуатации котельной № 2 по ул.Пионерская, 17Б и котельной № 6 по ул.Дзержинского, 2Б с переключением нагрузки на новую котельную по ул.Дзержинского, 14.</w:t>
            </w:r>
          </w:p>
        </w:tc>
      </w:tr>
      <w:tr>
        <w:trPr>
          <w:trHeight w:val="131" w:hRule="atLeast"/>
        </w:trPr>
        <w:tc>
          <w:tcPr>
            <w:tcW w:w="345" w:type="dxa"/>
            <w:tcBorders>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5</w:t>
            </w:r>
          </w:p>
        </w:tc>
        <w:tc>
          <w:tcPr>
            <w:tcW w:w="1601" w:type="dxa"/>
            <w:tcBorders>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котельная № 7, пгт.Октябрьское, ул.Медицинская, 3Б</w:t>
            </w:r>
          </w:p>
        </w:tc>
        <w:tc>
          <w:tcPr>
            <w:tcW w:w="586" w:type="dxa"/>
            <w:tcBorders>
              <w:top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2024</w:t>
            </w:r>
          </w:p>
        </w:tc>
        <w:tc>
          <w:tcPr>
            <w:tcW w:w="12037" w:type="dxa"/>
            <w:gridSpan w:val="9"/>
            <w:tcBorders>
              <w:top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Вывод из эксплуатации котельной № 7 по ул.Медицинская, 3Б с переключением нагрузки на котельную № 12 по ул.Медицинская, 3К</w:t>
            </w:r>
          </w:p>
        </w:tc>
      </w:tr>
      <w:tr>
        <w:trPr>
          <w:trHeight w:val="223" w:hRule="atLeast"/>
        </w:trPr>
        <w:tc>
          <w:tcPr>
            <w:tcW w:w="345" w:type="dxa"/>
            <w:vMerge w:val="restart"/>
            <w:tcBorders>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6</w:t>
            </w:r>
          </w:p>
        </w:tc>
        <w:tc>
          <w:tcPr>
            <w:tcW w:w="1601" w:type="dxa"/>
            <w:vMerge w:val="restart"/>
            <w:tcBorders>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котельная № 12, пгт.Октябрьское, ул.Медицинская, 3к</w:t>
            </w:r>
          </w:p>
        </w:tc>
        <w:tc>
          <w:tcPr>
            <w:tcW w:w="586" w:type="dxa"/>
            <w:tcBorders>
              <w:top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2024</w:t>
            </w:r>
          </w:p>
        </w:tc>
        <w:tc>
          <w:tcPr>
            <w:tcW w:w="1598" w:type="dxa"/>
            <w:tcBorders>
              <w:top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5,16</w:t>
            </w:r>
          </w:p>
        </w:tc>
        <w:tc>
          <w:tcPr>
            <w:tcW w:w="1616" w:type="dxa"/>
            <w:tcBorders>
              <w:top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5,16</w:t>
            </w:r>
          </w:p>
        </w:tc>
        <w:tc>
          <w:tcPr>
            <w:tcW w:w="1065" w:type="dxa"/>
            <w:tcBorders>
              <w:top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5,12</w:t>
            </w:r>
          </w:p>
        </w:tc>
        <w:tc>
          <w:tcPr>
            <w:tcW w:w="1406" w:type="dxa"/>
            <w:tcBorders>
              <w:top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0,04</w:t>
            </w:r>
          </w:p>
        </w:tc>
        <w:tc>
          <w:tcPr>
            <w:tcW w:w="1014" w:type="dxa"/>
            <w:tcBorders>
              <w:top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0,050</w:t>
            </w:r>
          </w:p>
        </w:tc>
        <w:tc>
          <w:tcPr>
            <w:tcW w:w="1770" w:type="dxa"/>
            <w:tcBorders>
              <w:top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3,530</w:t>
            </w:r>
          </w:p>
        </w:tc>
        <w:tc>
          <w:tcPr>
            <w:tcW w:w="1163" w:type="dxa"/>
            <w:tcBorders>
              <w:top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3,580</w:t>
            </w:r>
          </w:p>
        </w:tc>
        <w:tc>
          <w:tcPr>
            <w:tcW w:w="1441" w:type="dxa"/>
            <w:tcBorders>
              <w:top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1,540</w:t>
            </w:r>
          </w:p>
        </w:tc>
        <w:tc>
          <w:tcPr>
            <w:tcW w:w="964" w:type="dxa"/>
            <w:tcBorders>
              <w:top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69,38</w:t>
            </w:r>
          </w:p>
        </w:tc>
      </w:tr>
      <w:tr>
        <w:trPr>
          <w:trHeight w:val="20" w:hRule="atLeast"/>
        </w:trPr>
        <w:tc>
          <w:tcPr>
            <w:tcW w:w="345" w:type="dxa"/>
            <w:vMerge w:val="continue"/>
            <w:tcBorders>
              <w:left w:val="single" w:sz="4" w:space="0" w:color="000000"/>
              <w:bottom w:val="single" w:sz="4" w:space="0" w:color="000000"/>
              <w:right w:val="single" w:sz="4" w:space="0" w:color="000000"/>
            </w:tcBorders>
            <w:shd w:color="auto" w:fill="auto" w:val="clear"/>
            <w:vAlign w:val="center"/>
          </w:tcPr>
          <w:p>
            <w:pPr>
              <w:pStyle w:val="Normal"/>
              <w:rPr>
                <w:sz w:val="20"/>
                <w:szCs w:val="20"/>
                <w:lang w:eastAsia="ru-RU"/>
              </w:rPr>
            </w:pPr>
            <w:r>
              <w:rPr>
                <w:sz w:val="20"/>
                <w:szCs w:val="20"/>
                <w:lang w:eastAsia="ru-RU"/>
              </w:rPr>
            </w:r>
          </w:p>
        </w:tc>
        <w:tc>
          <w:tcPr>
            <w:tcW w:w="1601" w:type="dxa"/>
            <w:vMerge w:val="continue"/>
            <w:tcBorders>
              <w:left w:val="single" w:sz="4" w:space="0" w:color="000000"/>
              <w:bottom w:val="single" w:sz="4" w:space="0" w:color="000000"/>
              <w:right w:val="single" w:sz="4" w:space="0" w:color="000000"/>
            </w:tcBorders>
            <w:shd w:color="auto" w:fill="auto" w:val="clear"/>
            <w:vAlign w:val="center"/>
          </w:tcPr>
          <w:p>
            <w:pPr>
              <w:pStyle w:val="Normal"/>
              <w:rPr>
                <w:sz w:val="20"/>
                <w:szCs w:val="20"/>
                <w:lang w:eastAsia="ru-RU"/>
              </w:rPr>
            </w:pPr>
            <w:r>
              <w:rPr>
                <w:sz w:val="20"/>
                <w:szCs w:val="20"/>
                <w:lang w:eastAsia="ru-RU"/>
              </w:rPr>
            </w:r>
          </w:p>
        </w:tc>
        <w:tc>
          <w:tcPr>
            <w:tcW w:w="586" w:type="dxa"/>
            <w:tcBorders>
              <w:top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2025</w:t>
            </w:r>
          </w:p>
        </w:tc>
        <w:tc>
          <w:tcPr>
            <w:tcW w:w="1598" w:type="dxa"/>
            <w:tcBorders>
              <w:top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5,16</w:t>
            </w:r>
          </w:p>
        </w:tc>
        <w:tc>
          <w:tcPr>
            <w:tcW w:w="1616" w:type="dxa"/>
            <w:tcBorders>
              <w:top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5,16</w:t>
            </w:r>
          </w:p>
        </w:tc>
        <w:tc>
          <w:tcPr>
            <w:tcW w:w="1065" w:type="dxa"/>
            <w:tcBorders>
              <w:top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5,12</w:t>
            </w:r>
          </w:p>
        </w:tc>
        <w:tc>
          <w:tcPr>
            <w:tcW w:w="1406" w:type="dxa"/>
            <w:tcBorders>
              <w:top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0,04</w:t>
            </w:r>
          </w:p>
        </w:tc>
        <w:tc>
          <w:tcPr>
            <w:tcW w:w="1014" w:type="dxa"/>
            <w:tcBorders>
              <w:top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0,050</w:t>
            </w:r>
          </w:p>
        </w:tc>
        <w:tc>
          <w:tcPr>
            <w:tcW w:w="1770" w:type="dxa"/>
            <w:tcBorders>
              <w:top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3,530</w:t>
            </w:r>
          </w:p>
        </w:tc>
        <w:tc>
          <w:tcPr>
            <w:tcW w:w="1163" w:type="dxa"/>
            <w:tcBorders>
              <w:top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3,580</w:t>
            </w:r>
          </w:p>
        </w:tc>
        <w:tc>
          <w:tcPr>
            <w:tcW w:w="1441" w:type="dxa"/>
            <w:tcBorders>
              <w:top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1,540</w:t>
            </w:r>
          </w:p>
        </w:tc>
        <w:tc>
          <w:tcPr>
            <w:tcW w:w="964" w:type="dxa"/>
            <w:tcBorders>
              <w:top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69,38</w:t>
            </w:r>
          </w:p>
        </w:tc>
      </w:tr>
      <w:tr>
        <w:trPr>
          <w:trHeight w:val="20" w:hRule="atLeast"/>
        </w:trPr>
        <w:tc>
          <w:tcPr>
            <w:tcW w:w="345" w:type="dxa"/>
            <w:vMerge w:val="continue"/>
            <w:tcBorders>
              <w:left w:val="single" w:sz="4" w:space="0" w:color="000000"/>
              <w:bottom w:val="single" w:sz="4" w:space="0" w:color="000000"/>
              <w:right w:val="single" w:sz="4" w:space="0" w:color="000000"/>
            </w:tcBorders>
            <w:shd w:color="auto" w:fill="auto" w:val="clear"/>
            <w:vAlign w:val="center"/>
          </w:tcPr>
          <w:p>
            <w:pPr>
              <w:pStyle w:val="Normal"/>
              <w:rPr>
                <w:sz w:val="20"/>
                <w:szCs w:val="20"/>
                <w:lang w:eastAsia="ru-RU"/>
              </w:rPr>
            </w:pPr>
            <w:r>
              <w:rPr>
                <w:sz w:val="20"/>
                <w:szCs w:val="20"/>
                <w:lang w:eastAsia="ru-RU"/>
              </w:rPr>
            </w:r>
          </w:p>
        </w:tc>
        <w:tc>
          <w:tcPr>
            <w:tcW w:w="1601" w:type="dxa"/>
            <w:vMerge w:val="continue"/>
            <w:tcBorders>
              <w:left w:val="single" w:sz="4" w:space="0" w:color="000000"/>
              <w:bottom w:val="single" w:sz="4" w:space="0" w:color="000000"/>
              <w:right w:val="single" w:sz="4" w:space="0" w:color="000000"/>
            </w:tcBorders>
            <w:shd w:color="auto" w:fill="auto" w:val="clear"/>
            <w:vAlign w:val="center"/>
          </w:tcPr>
          <w:p>
            <w:pPr>
              <w:pStyle w:val="Normal"/>
              <w:rPr>
                <w:sz w:val="20"/>
                <w:szCs w:val="20"/>
                <w:lang w:eastAsia="ru-RU"/>
              </w:rPr>
            </w:pPr>
            <w:r>
              <w:rPr>
                <w:sz w:val="20"/>
                <w:szCs w:val="20"/>
                <w:lang w:eastAsia="ru-RU"/>
              </w:rPr>
            </w:r>
          </w:p>
        </w:tc>
        <w:tc>
          <w:tcPr>
            <w:tcW w:w="586"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2026</w:t>
            </w:r>
          </w:p>
        </w:tc>
        <w:tc>
          <w:tcPr>
            <w:tcW w:w="1598"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5,16</w:t>
            </w:r>
          </w:p>
        </w:tc>
        <w:tc>
          <w:tcPr>
            <w:tcW w:w="1616"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5,16</w:t>
            </w:r>
          </w:p>
        </w:tc>
        <w:tc>
          <w:tcPr>
            <w:tcW w:w="1065"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5,12</w:t>
            </w:r>
          </w:p>
        </w:tc>
        <w:tc>
          <w:tcPr>
            <w:tcW w:w="1406"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0,04</w:t>
            </w:r>
          </w:p>
        </w:tc>
        <w:tc>
          <w:tcPr>
            <w:tcW w:w="1014"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0,050</w:t>
            </w:r>
          </w:p>
        </w:tc>
        <w:tc>
          <w:tcPr>
            <w:tcW w:w="1770"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3,530</w:t>
            </w:r>
          </w:p>
        </w:tc>
        <w:tc>
          <w:tcPr>
            <w:tcW w:w="1163"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3,580</w:t>
            </w:r>
          </w:p>
        </w:tc>
        <w:tc>
          <w:tcPr>
            <w:tcW w:w="1441"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1,540</w:t>
            </w:r>
          </w:p>
        </w:tc>
        <w:tc>
          <w:tcPr>
            <w:tcW w:w="964"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69,38</w:t>
            </w:r>
          </w:p>
        </w:tc>
      </w:tr>
      <w:tr>
        <w:trPr>
          <w:trHeight w:val="20" w:hRule="atLeast"/>
        </w:trPr>
        <w:tc>
          <w:tcPr>
            <w:tcW w:w="345" w:type="dxa"/>
            <w:vMerge w:val="continue"/>
            <w:tcBorders>
              <w:left w:val="single" w:sz="4" w:space="0" w:color="000000"/>
              <w:bottom w:val="single" w:sz="4" w:space="0" w:color="000000"/>
              <w:right w:val="single" w:sz="4" w:space="0" w:color="000000"/>
            </w:tcBorders>
            <w:shd w:color="auto" w:fill="auto" w:val="clear"/>
            <w:vAlign w:val="center"/>
          </w:tcPr>
          <w:p>
            <w:pPr>
              <w:pStyle w:val="Normal"/>
              <w:rPr>
                <w:sz w:val="20"/>
                <w:szCs w:val="20"/>
                <w:lang w:eastAsia="ru-RU"/>
              </w:rPr>
            </w:pPr>
            <w:r>
              <w:rPr>
                <w:sz w:val="20"/>
                <w:szCs w:val="20"/>
                <w:lang w:eastAsia="ru-RU"/>
              </w:rPr>
            </w:r>
          </w:p>
        </w:tc>
        <w:tc>
          <w:tcPr>
            <w:tcW w:w="1601" w:type="dxa"/>
            <w:vMerge w:val="continue"/>
            <w:tcBorders>
              <w:left w:val="single" w:sz="4" w:space="0" w:color="000000"/>
              <w:bottom w:val="single" w:sz="4" w:space="0" w:color="000000"/>
              <w:right w:val="single" w:sz="4" w:space="0" w:color="000000"/>
            </w:tcBorders>
            <w:shd w:color="auto" w:fill="auto" w:val="clear"/>
            <w:vAlign w:val="center"/>
          </w:tcPr>
          <w:p>
            <w:pPr>
              <w:pStyle w:val="Normal"/>
              <w:rPr>
                <w:sz w:val="20"/>
                <w:szCs w:val="20"/>
                <w:lang w:eastAsia="ru-RU"/>
              </w:rPr>
            </w:pPr>
            <w:r>
              <w:rPr>
                <w:sz w:val="20"/>
                <w:szCs w:val="20"/>
                <w:lang w:eastAsia="ru-RU"/>
              </w:rPr>
            </w:r>
          </w:p>
        </w:tc>
        <w:tc>
          <w:tcPr>
            <w:tcW w:w="586"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2027</w:t>
            </w:r>
          </w:p>
        </w:tc>
        <w:tc>
          <w:tcPr>
            <w:tcW w:w="1598"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5,16</w:t>
            </w:r>
          </w:p>
        </w:tc>
        <w:tc>
          <w:tcPr>
            <w:tcW w:w="1616"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5,16</w:t>
            </w:r>
          </w:p>
        </w:tc>
        <w:tc>
          <w:tcPr>
            <w:tcW w:w="1065"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5,12</w:t>
            </w:r>
          </w:p>
        </w:tc>
        <w:tc>
          <w:tcPr>
            <w:tcW w:w="1406"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0,04</w:t>
            </w:r>
          </w:p>
        </w:tc>
        <w:tc>
          <w:tcPr>
            <w:tcW w:w="1014"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0,050</w:t>
            </w:r>
          </w:p>
        </w:tc>
        <w:tc>
          <w:tcPr>
            <w:tcW w:w="1770"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3,530</w:t>
            </w:r>
          </w:p>
        </w:tc>
        <w:tc>
          <w:tcPr>
            <w:tcW w:w="1163"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3,580</w:t>
            </w:r>
          </w:p>
        </w:tc>
        <w:tc>
          <w:tcPr>
            <w:tcW w:w="1441"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1,540</w:t>
            </w:r>
          </w:p>
        </w:tc>
        <w:tc>
          <w:tcPr>
            <w:tcW w:w="964"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69,38</w:t>
            </w:r>
          </w:p>
        </w:tc>
      </w:tr>
      <w:tr>
        <w:trPr>
          <w:trHeight w:val="20" w:hRule="atLeast"/>
        </w:trPr>
        <w:tc>
          <w:tcPr>
            <w:tcW w:w="345" w:type="dxa"/>
            <w:vMerge w:val="continue"/>
            <w:tcBorders>
              <w:left w:val="single" w:sz="4" w:space="0" w:color="000000"/>
              <w:bottom w:val="single" w:sz="4" w:space="0" w:color="000000"/>
              <w:right w:val="single" w:sz="4" w:space="0" w:color="000000"/>
            </w:tcBorders>
            <w:shd w:color="auto" w:fill="auto" w:val="clear"/>
            <w:vAlign w:val="center"/>
          </w:tcPr>
          <w:p>
            <w:pPr>
              <w:pStyle w:val="Normal"/>
              <w:rPr>
                <w:sz w:val="20"/>
                <w:szCs w:val="20"/>
                <w:lang w:eastAsia="ru-RU"/>
              </w:rPr>
            </w:pPr>
            <w:r>
              <w:rPr>
                <w:sz w:val="20"/>
                <w:szCs w:val="20"/>
                <w:lang w:eastAsia="ru-RU"/>
              </w:rPr>
            </w:r>
          </w:p>
        </w:tc>
        <w:tc>
          <w:tcPr>
            <w:tcW w:w="1601" w:type="dxa"/>
            <w:vMerge w:val="continue"/>
            <w:tcBorders>
              <w:left w:val="single" w:sz="4" w:space="0" w:color="000000"/>
              <w:bottom w:val="single" w:sz="4" w:space="0" w:color="000000"/>
              <w:right w:val="single" w:sz="4" w:space="0" w:color="000000"/>
            </w:tcBorders>
            <w:shd w:color="auto" w:fill="auto" w:val="clear"/>
            <w:vAlign w:val="center"/>
          </w:tcPr>
          <w:p>
            <w:pPr>
              <w:pStyle w:val="Normal"/>
              <w:rPr>
                <w:sz w:val="20"/>
                <w:szCs w:val="20"/>
                <w:lang w:eastAsia="ru-RU"/>
              </w:rPr>
            </w:pPr>
            <w:r>
              <w:rPr>
                <w:sz w:val="20"/>
                <w:szCs w:val="20"/>
                <w:lang w:eastAsia="ru-RU"/>
              </w:rPr>
            </w:r>
          </w:p>
        </w:tc>
        <w:tc>
          <w:tcPr>
            <w:tcW w:w="586"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2028</w:t>
            </w:r>
          </w:p>
        </w:tc>
        <w:tc>
          <w:tcPr>
            <w:tcW w:w="1598"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5,16</w:t>
            </w:r>
          </w:p>
        </w:tc>
        <w:tc>
          <w:tcPr>
            <w:tcW w:w="1616"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5,16</w:t>
            </w:r>
          </w:p>
        </w:tc>
        <w:tc>
          <w:tcPr>
            <w:tcW w:w="1065"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5,12</w:t>
            </w:r>
          </w:p>
        </w:tc>
        <w:tc>
          <w:tcPr>
            <w:tcW w:w="1406"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0,04</w:t>
            </w:r>
          </w:p>
        </w:tc>
        <w:tc>
          <w:tcPr>
            <w:tcW w:w="1014"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0,050</w:t>
            </w:r>
          </w:p>
        </w:tc>
        <w:tc>
          <w:tcPr>
            <w:tcW w:w="1770"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3,530</w:t>
            </w:r>
          </w:p>
        </w:tc>
        <w:tc>
          <w:tcPr>
            <w:tcW w:w="1163"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3,580</w:t>
            </w:r>
          </w:p>
        </w:tc>
        <w:tc>
          <w:tcPr>
            <w:tcW w:w="1441"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1,540</w:t>
            </w:r>
          </w:p>
        </w:tc>
        <w:tc>
          <w:tcPr>
            <w:tcW w:w="964"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69,38</w:t>
            </w:r>
          </w:p>
        </w:tc>
      </w:tr>
      <w:tr>
        <w:trPr>
          <w:trHeight w:val="20" w:hRule="atLeast"/>
        </w:trPr>
        <w:tc>
          <w:tcPr>
            <w:tcW w:w="345" w:type="dxa"/>
            <w:vMerge w:val="continue"/>
            <w:tcBorders>
              <w:left w:val="single" w:sz="4" w:space="0" w:color="000000"/>
              <w:bottom w:val="single" w:sz="4" w:space="0" w:color="000000"/>
              <w:right w:val="single" w:sz="4" w:space="0" w:color="000000"/>
            </w:tcBorders>
            <w:shd w:color="auto" w:fill="auto" w:val="clear"/>
            <w:vAlign w:val="center"/>
          </w:tcPr>
          <w:p>
            <w:pPr>
              <w:pStyle w:val="Normal"/>
              <w:rPr>
                <w:sz w:val="20"/>
                <w:szCs w:val="20"/>
                <w:lang w:eastAsia="ru-RU"/>
              </w:rPr>
            </w:pPr>
            <w:r>
              <w:rPr>
                <w:sz w:val="20"/>
                <w:szCs w:val="20"/>
                <w:lang w:eastAsia="ru-RU"/>
              </w:rPr>
            </w:r>
          </w:p>
        </w:tc>
        <w:tc>
          <w:tcPr>
            <w:tcW w:w="1601" w:type="dxa"/>
            <w:vMerge w:val="continue"/>
            <w:tcBorders>
              <w:left w:val="single" w:sz="4" w:space="0" w:color="000000"/>
              <w:bottom w:val="single" w:sz="4" w:space="0" w:color="000000"/>
              <w:right w:val="single" w:sz="4" w:space="0" w:color="000000"/>
            </w:tcBorders>
            <w:shd w:color="auto" w:fill="auto" w:val="clear"/>
            <w:vAlign w:val="center"/>
          </w:tcPr>
          <w:p>
            <w:pPr>
              <w:pStyle w:val="Normal"/>
              <w:rPr>
                <w:sz w:val="20"/>
                <w:szCs w:val="20"/>
                <w:lang w:eastAsia="ru-RU"/>
              </w:rPr>
            </w:pPr>
            <w:r>
              <w:rPr>
                <w:sz w:val="20"/>
                <w:szCs w:val="20"/>
                <w:lang w:eastAsia="ru-RU"/>
              </w:rPr>
            </w:r>
          </w:p>
        </w:tc>
        <w:tc>
          <w:tcPr>
            <w:tcW w:w="586"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2029-2032</w:t>
            </w:r>
          </w:p>
        </w:tc>
        <w:tc>
          <w:tcPr>
            <w:tcW w:w="1598"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5,16</w:t>
            </w:r>
          </w:p>
        </w:tc>
        <w:tc>
          <w:tcPr>
            <w:tcW w:w="1616"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5,16</w:t>
            </w:r>
          </w:p>
        </w:tc>
        <w:tc>
          <w:tcPr>
            <w:tcW w:w="1065"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5,12</w:t>
            </w:r>
          </w:p>
        </w:tc>
        <w:tc>
          <w:tcPr>
            <w:tcW w:w="1406"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0,04</w:t>
            </w:r>
          </w:p>
        </w:tc>
        <w:tc>
          <w:tcPr>
            <w:tcW w:w="1014"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0,050</w:t>
            </w:r>
          </w:p>
        </w:tc>
        <w:tc>
          <w:tcPr>
            <w:tcW w:w="1770"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3,530</w:t>
            </w:r>
          </w:p>
        </w:tc>
        <w:tc>
          <w:tcPr>
            <w:tcW w:w="1163"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3,580</w:t>
            </w:r>
          </w:p>
        </w:tc>
        <w:tc>
          <w:tcPr>
            <w:tcW w:w="1441"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1,540</w:t>
            </w:r>
          </w:p>
        </w:tc>
        <w:tc>
          <w:tcPr>
            <w:tcW w:w="964"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69,38</w:t>
            </w:r>
          </w:p>
        </w:tc>
      </w:tr>
      <w:tr>
        <w:trPr>
          <w:trHeight w:val="20" w:hRule="atLeast"/>
        </w:trPr>
        <w:tc>
          <w:tcPr>
            <w:tcW w:w="345" w:type="dxa"/>
            <w:vMerge w:val="continue"/>
            <w:tcBorders>
              <w:left w:val="single" w:sz="4" w:space="0" w:color="000000"/>
              <w:bottom w:val="single" w:sz="4" w:space="0" w:color="000000"/>
              <w:right w:val="single" w:sz="4" w:space="0" w:color="000000"/>
            </w:tcBorders>
            <w:shd w:color="auto" w:fill="auto" w:val="clear"/>
            <w:vAlign w:val="center"/>
          </w:tcPr>
          <w:p>
            <w:pPr>
              <w:pStyle w:val="Normal"/>
              <w:rPr>
                <w:sz w:val="20"/>
                <w:szCs w:val="20"/>
                <w:lang w:eastAsia="ru-RU"/>
              </w:rPr>
            </w:pPr>
            <w:r>
              <w:rPr>
                <w:sz w:val="20"/>
                <w:szCs w:val="20"/>
                <w:lang w:eastAsia="ru-RU"/>
              </w:rPr>
            </w:r>
          </w:p>
        </w:tc>
        <w:tc>
          <w:tcPr>
            <w:tcW w:w="1601" w:type="dxa"/>
            <w:vMerge w:val="continue"/>
            <w:tcBorders>
              <w:left w:val="single" w:sz="4" w:space="0" w:color="000000"/>
              <w:bottom w:val="single" w:sz="4" w:space="0" w:color="000000"/>
              <w:right w:val="single" w:sz="4" w:space="0" w:color="000000"/>
            </w:tcBorders>
            <w:shd w:color="auto" w:fill="auto" w:val="clear"/>
            <w:vAlign w:val="center"/>
          </w:tcPr>
          <w:p>
            <w:pPr>
              <w:pStyle w:val="Normal"/>
              <w:rPr>
                <w:sz w:val="20"/>
                <w:szCs w:val="20"/>
                <w:lang w:eastAsia="ru-RU"/>
              </w:rPr>
            </w:pPr>
            <w:r>
              <w:rPr>
                <w:sz w:val="20"/>
                <w:szCs w:val="20"/>
                <w:lang w:eastAsia="ru-RU"/>
              </w:rPr>
            </w:r>
          </w:p>
        </w:tc>
        <w:tc>
          <w:tcPr>
            <w:tcW w:w="586"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2033-2035</w:t>
            </w:r>
          </w:p>
        </w:tc>
        <w:tc>
          <w:tcPr>
            <w:tcW w:w="1598"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5,16</w:t>
            </w:r>
          </w:p>
        </w:tc>
        <w:tc>
          <w:tcPr>
            <w:tcW w:w="1616"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5,16</w:t>
            </w:r>
          </w:p>
        </w:tc>
        <w:tc>
          <w:tcPr>
            <w:tcW w:w="1065"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5,12</w:t>
            </w:r>
          </w:p>
        </w:tc>
        <w:tc>
          <w:tcPr>
            <w:tcW w:w="1406"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0,04</w:t>
            </w:r>
          </w:p>
        </w:tc>
        <w:tc>
          <w:tcPr>
            <w:tcW w:w="1014"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0,050</w:t>
            </w:r>
          </w:p>
        </w:tc>
        <w:tc>
          <w:tcPr>
            <w:tcW w:w="1770"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3,530</w:t>
            </w:r>
          </w:p>
        </w:tc>
        <w:tc>
          <w:tcPr>
            <w:tcW w:w="1163"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3,580</w:t>
            </w:r>
          </w:p>
        </w:tc>
        <w:tc>
          <w:tcPr>
            <w:tcW w:w="1441"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1,540</w:t>
            </w:r>
          </w:p>
        </w:tc>
        <w:tc>
          <w:tcPr>
            <w:tcW w:w="964"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69,38</w:t>
            </w:r>
          </w:p>
        </w:tc>
      </w:tr>
      <w:tr>
        <w:trPr>
          <w:trHeight w:val="20" w:hRule="atLeast"/>
        </w:trPr>
        <w:tc>
          <w:tcPr>
            <w:tcW w:w="345" w:type="dxa"/>
            <w:vMerge w:val="restart"/>
            <w:tcBorders>
              <w:left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7</w:t>
            </w:r>
          </w:p>
        </w:tc>
        <w:tc>
          <w:tcPr>
            <w:tcW w:w="1601" w:type="dxa"/>
            <w:vMerge w:val="restart"/>
            <w:tcBorders>
              <w:left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котельная № 8, пгт.Октябрьское, ул.50 лет Победы, 38А</w:t>
            </w:r>
          </w:p>
        </w:tc>
        <w:tc>
          <w:tcPr>
            <w:tcW w:w="586"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2024</w:t>
            </w:r>
          </w:p>
        </w:tc>
        <w:tc>
          <w:tcPr>
            <w:tcW w:w="1598" w:type="dxa"/>
            <w:tcBorders>
              <w:bottom w:val="single" w:sz="4" w:space="0" w:color="000000"/>
              <w:right w:val="single" w:sz="4" w:space="0" w:color="000000"/>
            </w:tcBorders>
            <w:shd w:color="auto" w:fill="auto" w:val="clear"/>
            <w:vAlign w:val="center"/>
          </w:tcPr>
          <w:p>
            <w:pPr>
              <w:pStyle w:val="Normal"/>
              <w:jc w:val="center"/>
              <w:rPr>
                <w:sz w:val="20"/>
                <w:szCs w:val="20"/>
              </w:rPr>
            </w:pPr>
            <w:r>
              <w:rPr>
                <w:sz w:val="20"/>
                <w:szCs w:val="20"/>
              </w:rPr>
              <w:t>0,43</w:t>
            </w:r>
          </w:p>
        </w:tc>
        <w:tc>
          <w:tcPr>
            <w:tcW w:w="1616" w:type="dxa"/>
            <w:tcBorders>
              <w:bottom w:val="single" w:sz="4" w:space="0" w:color="000000"/>
              <w:right w:val="single" w:sz="4" w:space="0" w:color="000000"/>
            </w:tcBorders>
            <w:shd w:color="auto" w:fill="auto" w:val="clear"/>
            <w:vAlign w:val="center"/>
          </w:tcPr>
          <w:p>
            <w:pPr>
              <w:pStyle w:val="Normal"/>
              <w:jc w:val="center"/>
              <w:rPr>
                <w:sz w:val="20"/>
                <w:szCs w:val="20"/>
              </w:rPr>
            </w:pPr>
            <w:r>
              <w:rPr>
                <w:sz w:val="20"/>
                <w:szCs w:val="20"/>
              </w:rPr>
              <w:t>0,43</w:t>
            </w:r>
          </w:p>
        </w:tc>
        <w:tc>
          <w:tcPr>
            <w:tcW w:w="1065" w:type="dxa"/>
            <w:tcBorders>
              <w:bottom w:val="single" w:sz="4" w:space="0" w:color="000000"/>
              <w:right w:val="single" w:sz="4" w:space="0" w:color="000000"/>
            </w:tcBorders>
            <w:shd w:color="auto" w:fill="auto" w:val="clear"/>
            <w:vAlign w:val="center"/>
          </w:tcPr>
          <w:p>
            <w:pPr>
              <w:pStyle w:val="Normal"/>
              <w:jc w:val="center"/>
              <w:rPr>
                <w:sz w:val="20"/>
                <w:szCs w:val="20"/>
              </w:rPr>
            </w:pPr>
            <w:r>
              <w:rPr>
                <w:sz w:val="20"/>
                <w:szCs w:val="20"/>
              </w:rPr>
              <w:t>0,43</w:t>
            </w:r>
          </w:p>
        </w:tc>
        <w:tc>
          <w:tcPr>
            <w:tcW w:w="1406" w:type="dxa"/>
            <w:tcBorders>
              <w:bottom w:val="single" w:sz="4" w:space="0" w:color="000000"/>
              <w:right w:val="single" w:sz="4" w:space="0" w:color="000000"/>
            </w:tcBorders>
            <w:shd w:color="auto" w:fill="auto" w:val="clear"/>
            <w:vAlign w:val="center"/>
          </w:tcPr>
          <w:p>
            <w:pPr>
              <w:pStyle w:val="Normal"/>
              <w:jc w:val="center"/>
              <w:rPr>
                <w:sz w:val="20"/>
                <w:szCs w:val="20"/>
              </w:rPr>
            </w:pPr>
            <w:r>
              <w:rPr>
                <w:sz w:val="20"/>
                <w:szCs w:val="20"/>
              </w:rPr>
              <w:t>0,00</w:t>
            </w:r>
          </w:p>
        </w:tc>
        <w:tc>
          <w:tcPr>
            <w:tcW w:w="1014" w:type="dxa"/>
            <w:tcBorders>
              <w:bottom w:val="single" w:sz="4" w:space="0" w:color="000000"/>
              <w:right w:val="single" w:sz="4" w:space="0" w:color="000000"/>
            </w:tcBorders>
            <w:shd w:color="auto" w:fill="auto" w:val="clear"/>
            <w:vAlign w:val="center"/>
          </w:tcPr>
          <w:p>
            <w:pPr>
              <w:pStyle w:val="Normal"/>
              <w:jc w:val="center"/>
              <w:rPr>
                <w:sz w:val="20"/>
                <w:szCs w:val="20"/>
              </w:rPr>
            </w:pPr>
            <w:r>
              <w:rPr>
                <w:sz w:val="20"/>
                <w:szCs w:val="20"/>
              </w:rPr>
              <w:t>0,001</w:t>
            </w:r>
          </w:p>
        </w:tc>
        <w:tc>
          <w:tcPr>
            <w:tcW w:w="1770" w:type="dxa"/>
            <w:tcBorders>
              <w:bottom w:val="single" w:sz="4" w:space="0" w:color="000000"/>
              <w:right w:val="single" w:sz="4" w:space="0" w:color="000000"/>
            </w:tcBorders>
            <w:shd w:color="auto" w:fill="auto" w:val="clear"/>
            <w:vAlign w:val="center"/>
          </w:tcPr>
          <w:p>
            <w:pPr>
              <w:pStyle w:val="Normal"/>
              <w:jc w:val="center"/>
              <w:rPr>
                <w:sz w:val="20"/>
                <w:szCs w:val="20"/>
              </w:rPr>
            </w:pPr>
            <w:r>
              <w:rPr>
                <w:sz w:val="20"/>
                <w:szCs w:val="20"/>
              </w:rPr>
              <w:t>0,16</w:t>
            </w:r>
          </w:p>
        </w:tc>
        <w:tc>
          <w:tcPr>
            <w:tcW w:w="1163" w:type="dxa"/>
            <w:tcBorders>
              <w:bottom w:val="single" w:sz="4" w:space="0" w:color="000000"/>
              <w:right w:val="single" w:sz="4" w:space="0" w:color="000000"/>
            </w:tcBorders>
            <w:shd w:color="auto" w:fill="auto" w:val="clear"/>
            <w:vAlign w:val="center"/>
          </w:tcPr>
          <w:p>
            <w:pPr>
              <w:pStyle w:val="Normal"/>
              <w:jc w:val="center"/>
              <w:rPr>
                <w:sz w:val="20"/>
                <w:szCs w:val="20"/>
              </w:rPr>
            </w:pPr>
            <w:r>
              <w:rPr>
                <w:sz w:val="20"/>
                <w:szCs w:val="20"/>
              </w:rPr>
              <w:t>0,161</w:t>
            </w:r>
          </w:p>
        </w:tc>
        <w:tc>
          <w:tcPr>
            <w:tcW w:w="1441" w:type="dxa"/>
            <w:tcBorders>
              <w:bottom w:val="single" w:sz="4" w:space="0" w:color="000000"/>
              <w:right w:val="single" w:sz="4" w:space="0" w:color="000000"/>
            </w:tcBorders>
            <w:shd w:color="auto" w:fill="auto" w:val="clear"/>
            <w:vAlign w:val="center"/>
          </w:tcPr>
          <w:p>
            <w:pPr>
              <w:pStyle w:val="Normal"/>
              <w:jc w:val="center"/>
              <w:rPr>
                <w:sz w:val="20"/>
                <w:szCs w:val="20"/>
              </w:rPr>
            </w:pPr>
            <w:r>
              <w:rPr>
                <w:sz w:val="20"/>
                <w:szCs w:val="20"/>
              </w:rPr>
              <w:t>0,264</w:t>
            </w:r>
          </w:p>
        </w:tc>
        <w:tc>
          <w:tcPr>
            <w:tcW w:w="964" w:type="dxa"/>
            <w:tcBorders>
              <w:bottom w:val="single" w:sz="4" w:space="0" w:color="000000"/>
              <w:right w:val="single" w:sz="4" w:space="0" w:color="000000"/>
            </w:tcBorders>
            <w:shd w:color="auto" w:fill="auto" w:val="clear"/>
            <w:vAlign w:val="center"/>
          </w:tcPr>
          <w:p>
            <w:pPr>
              <w:pStyle w:val="Normal"/>
              <w:jc w:val="center"/>
              <w:rPr>
                <w:sz w:val="20"/>
                <w:szCs w:val="20"/>
              </w:rPr>
            </w:pPr>
            <w:r>
              <w:rPr>
                <w:sz w:val="20"/>
                <w:szCs w:val="20"/>
              </w:rPr>
              <w:t>37,54</w:t>
            </w:r>
          </w:p>
        </w:tc>
      </w:tr>
      <w:tr>
        <w:trPr>
          <w:trHeight w:val="106" w:hRule="atLeast"/>
        </w:trPr>
        <w:tc>
          <w:tcPr>
            <w:tcW w:w="345" w:type="dxa"/>
            <w:vMerge w:val="continue"/>
            <w:tcBorders>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r>
          </w:p>
        </w:tc>
        <w:tc>
          <w:tcPr>
            <w:tcW w:w="1601" w:type="dxa"/>
            <w:vMerge w:val="continue"/>
            <w:tcBorders>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r>
          </w:p>
        </w:tc>
        <w:tc>
          <w:tcPr>
            <w:tcW w:w="586" w:type="dxa"/>
            <w:tcBorders>
              <w:top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2025</w:t>
            </w:r>
          </w:p>
        </w:tc>
        <w:tc>
          <w:tcPr>
            <w:tcW w:w="12037" w:type="dxa"/>
            <w:gridSpan w:val="9"/>
            <w:tcBorders>
              <w:top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xml:space="preserve">Децентрализация системы теплоснабжения пгт.Октябрьское путем перехода на автономные источники теплоснабжения, </w:t>
            </w:r>
          </w:p>
          <w:p>
            <w:pPr>
              <w:pStyle w:val="Normal"/>
              <w:jc w:val="center"/>
              <w:rPr>
                <w:sz w:val="20"/>
                <w:szCs w:val="20"/>
                <w:lang w:eastAsia="ru-RU"/>
              </w:rPr>
            </w:pPr>
            <w:r>
              <w:rPr>
                <w:sz w:val="20"/>
                <w:szCs w:val="20"/>
                <w:lang w:eastAsia="ru-RU"/>
              </w:rPr>
              <w:t>отказ от эксплуатации тепловых сетей, вывод котельной № 8 пгт. Октябрьское, ул.50 лет Победы, 38а из эксплуатации.</w:t>
            </w:r>
          </w:p>
        </w:tc>
      </w:tr>
      <w:tr>
        <w:trPr>
          <w:trHeight w:val="158" w:hRule="atLeast"/>
        </w:trPr>
        <w:tc>
          <w:tcPr>
            <w:tcW w:w="345" w:type="dxa"/>
            <w:vMerge w:val="restart"/>
            <w:tcBorders>
              <w:left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8</w:t>
            </w:r>
          </w:p>
        </w:tc>
        <w:tc>
          <w:tcPr>
            <w:tcW w:w="1601" w:type="dxa"/>
            <w:vMerge w:val="restart"/>
            <w:tcBorders>
              <w:left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xml:space="preserve">перспективная котельная, </w:t>
            </w:r>
          </w:p>
          <w:p>
            <w:pPr>
              <w:pStyle w:val="Normal"/>
              <w:jc w:val="center"/>
              <w:rPr>
                <w:sz w:val="20"/>
                <w:szCs w:val="20"/>
                <w:lang w:eastAsia="ru-RU"/>
              </w:rPr>
            </w:pPr>
            <w:r>
              <w:rPr>
                <w:sz w:val="20"/>
                <w:szCs w:val="20"/>
                <w:lang w:eastAsia="ru-RU"/>
              </w:rPr>
              <w:t>пгт.Октябрьское, ул.Дзержинского, 14</w:t>
            </w:r>
          </w:p>
        </w:tc>
        <w:tc>
          <w:tcPr>
            <w:tcW w:w="586" w:type="dxa"/>
            <w:tcBorders>
              <w:top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2024</w:t>
            </w:r>
          </w:p>
        </w:tc>
        <w:tc>
          <w:tcPr>
            <w:tcW w:w="12037" w:type="dxa"/>
            <w:gridSpan w:val="9"/>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Строительство котельной по ул.Дзержинского, 14 в пгт.Октябрьское. Вывод из эксплуатации котельной № 2 по ул.Пионерская, 17Б и котельной № 6 по ул.Дзержинского, 2Б с переключением нагрузки на новую котельную по ул.Дзержинского, 14.</w:t>
            </w:r>
          </w:p>
        </w:tc>
      </w:tr>
      <w:tr>
        <w:trPr>
          <w:trHeight w:val="20" w:hRule="atLeast"/>
        </w:trPr>
        <w:tc>
          <w:tcPr>
            <w:tcW w:w="345" w:type="dxa"/>
            <w:vMerge w:val="continue"/>
            <w:tcBorders>
              <w:left w:val="single" w:sz="4" w:space="0" w:color="000000"/>
              <w:right w:val="single" w:sz="4" w:space="0" w:color="000000"/>
            </w:tcBorders>
            <w:shd w:color="auto" w:fill="auto" w:val="clear"/>
            <w:vAlign w:val="center"/>
          </w:tcPr>
          <w:p>
            <w:pPr>
              <w:pStyle w:val="Normal"/>
              <w:rPr>
                <w:sz w:val="20"/>
                <w:szCs w:val="20"/>
                <w:lang w:eastAsia="ru-RU"/>
              </w:rPr>
            </w:pPr>
            <w:r>
              <w:rPr>
                <w:sz w:val="20"/>
                <w:szCs w:val="20"/>
                <w:lang w:eastAsia="ru-RU"/>
              </w:rPr>
            </w:r>
          </w:p>
        </w:tc>
        <w:tc>
          <w:tcPr>
            <w:tcW w:w="1601" w:type="dxa"/>
            <w:vMerge w:val="continue"/>
            <w:tcBorders>
              <w:left w:val="single" w:sz="4" w:space="0" w:color="000000"/>
              <w:right w:val="single" w:sz="4" w:space="0" w:color="000000"/>
            </w:tcBorders>
            <w:shd w:color="auto" w:fill="auto" w:val="clear"/>
            <w:vAlign w:val="center"/>
          </w:tcPr>
          <w:p>
            <w:pPr>
              <w:pStyle w:val="Normal"/>
              <w:rPr>
                <w:sz w:val="20"/>
                <w:szCs w:val="20"/>
                <w:lang w:eastAsia="ru-RU"/>
              </w:rPr>
            </w:pPr>
            <w:r>
              <w:rPr>
                <w:sz w:val="20"/>
                <w:szCs w:val="20"/>
                <w:lang w:eastAsia="ru-RU"/>
              </w:rPr>
            </w:r>
          </w:p>
        </w:tc>
        <w:tc>
          <w:tcPr>
            <w:tcW w:w="586"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2025</w:t>
            </w:r>
          </w:p>
        </w:tc>
        <w:tc>
          <w:tcPr>
            <w:tcW w:w="1598"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11,13</w:t>
            </w:r>
          </w:p>
        </w:tc>
        <w:tc>
          <w:tcPr>
            <w:tcW w:w="1616"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11,13</w:t>
            </w:r>
          </w:p>
        </w:tc>
        <w:tc>
          <w:tcPr>
            <w:tcW w:w="1065"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11,00</w:t>
            </w:r>
          </w:p>
        </w:tc>
        <w:tc>
          <w:tcPr>
            <w:tcW w:w="1406"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0,13</w:t>
            </w:r>
          </w:p>
        </w:tc>
        <w:tc>
          <w:tcPr>
            <w:tcW w:w="1014"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0,080</w:t>
            </w:r>
          </w:p>
        </w:tc>
        <w:tc>
          <w:tcPr>
            <w:tcW w:w="1770"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8,890</w:t>
            </w:r>
          </w:p>
        </w:tc>
        <w:tc>
          <w:tcPr>
            <w:tcW w:w="1163"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8,970</w:t>
            </w:r>
          </w:p>
        </w:tc>
        <w:tc>
          <w:tcPr>
            <w:tcW w:w="1441"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2,030</w:t>
            </w:r>
          </w:p>
        </w:tc>
        <w:tc>
          <w:tcPr>
            <w:tcW w:w="964"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80,59</w:t>
            </w:r>
          </w:p>
        </w:tc>
      </w:tr>
      <w:tr>
        <w:trPr>
          <w:trHeight w:val="20" w:hRule="atLeast"/>
        </w:trPr>
        <w:tc>
          <w:tcPr>
            <w:tcW w:w="345" w:type="dxa"/>
            <w:vMerge w:val="continue"/>
            <w:tcBorders>
              <w:left w:val="single" w:sz="4" w:space="0" w:color="000000"/>
              <w:right w:val="single" w:sz="4" w:space="0" w:color="000000"/>
            </w:tcBorders>
            <w:shd w:color="auto" w:fill="auto" w:val="clear"/>
            <w:vAlign w:val="center"/>
          </w:tcPr>
          <w:p>
            <w:pPr>
              <w:pStyle w:val="Normal"/>
              <w:rPr>
                <w:sz w:val="20"/>
                <w:szCs w:val="20"/>
                <w:lang w:eastAsia="ru-RU"/>
              </w:rPr>
            </w:pPr>
            <w:r>
              <w:rPr>
                <w:sz w:val="20"/>
                <w:szCs w:val="20"/>
                <w:lang w:eastAsia="ru-RU"/>
              </w:rPr>
            </w:r>
          </w:p>
        </w:tc>
        <w:tc>
          <w:tcPr>
            <w:tcW w:w="1601" w:type="dxa"/>
            <w:vMerge w:val="continue"/>
            <w:tcBorders>
              <w:left w:val="single" w:sz="4" w:space="0" w:color="000000"/>
              <w:right w:val="single" w:sz="4" w:space="0" w:color="000000"/>
            </w:tcBorders>
            <w:shd w:color="auto" w:fill="auto" w:val="clear"/>
            <w:vAlign w:val="center"/>
          </w:tcPr>
          <w:p>
            <w:pPr>
              <w:pStyle w:val="Normal"/>
              <w:rPr>
                <w:sz w:val="20"/>
                <w:szCs w:val="20"/>
                <w:lang w:eastAsia="ru-RU"/>
              </w:rPr>
            </w:pPr>
            <w:r>
              <w:rPr>
                <w:sz w:val="20"/>
                <w:szCs w:val="20"/>
                <w:lang w:eastAsia="ru-RU"/>
              </w:rPr>
            </w:r>
          </w:p>
        </w:tc>
        <w:tc>
          <w:tcPr>
            <w:tcW w:w="586"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2026</w:t>
            </w:r>
          </w:p>
        </w:tc>
        <w:tc>
          <w:tcPr>
            <w:tcW w:w="1598"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11,13</w:t>
            </w:r>
          </w:p>
        </w:tc>
        <w:tc>
          <w:tcPr>
            <w:tcW w:w="1616"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11,13</w:t>
            </w:r>
          </w:p>
        </w:tc>
        <w:tc>
          <w:tcPr>
            <w:tcW w:w="1065"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11,00</w:t>
            </w:r>
          </w:p>
        </w:tc>
        <w:tc>
          <w:tcPr>
            <w:tcW w:w="1406"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0,13</w:t>
            </w:r>
          </w:p>
        </w:tc>
        <w:tc>
          <w:tcPr>
            <w:tcW w:w="1014"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0,080</w:t>
            </w:r>
          </w:p>
        </w:tc>
        <w:tc>
          <w:tcPr>
            <w:tcW w:w="1770"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8,890</w:t>
            </w:r>
          </w:p>
        </w:tc>
        <w:tc>
          <w:tcPr>
            <w:tcW w:w="1163"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8,970</w:t>
            </w:r>
          </w:p>
        </w:tc>
        <w:tc>
          <w:tcPr>
            <w:tcW w:w="1441"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2,030</w:t>
            </w:r>
          </w:p>
        </w:tc>
        <w:tc>
          <w:tcPr>
            <w:tcW w:w="964"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80,59</w:t>
            </w:r>
          </w:p>
        </w:tc>
      </w:tr>
      <w:tr>
        <w:trPr>
          <w:trHeight w:val="20" w:hRule="atLeast"/>
        </w:trPr>
        <w:tc>
          <w:tcPr>
            <w:tcW w:w="345" w:type="dxa"/>
            <w:vMerge w:val="continue"/>
            <w:tcBorders>
              <w:left w:val="single" w:sz="4" w:space="0" w:color="000000"/>
              <w:right w:val="single" w:sz="4" w:space="0" w:color="000000"/>
            </w:tcBorders>
            <w:shd w:color="auto" w:fill="auto" w:val="clear"/>
            <w:vAlign w:val="center"/>
          </w:tcPr>
          <w:p>
            <w:pPr>
              <w:pStyle w:val="Normal"/>
              <w:rPr>
                <w:sz w:val="20"/>
                <w:szCs w:val="20"/>
                <w:lang w:eastAsia="ru-RU"/>
              </w:rPr>
            </w:pPr>
            <w:r>
              <w:rPr>
                <w:sz w:val="20"/>
                <w:szCs w:val="20"/>
                <w:lang w:eastAsia="ru-RU"/>
              </w:rPr>
            </w:r>
          </w:p>
        </w:tc>
        <w:tc>
          <w:tcPr>
            <w:tcW w:w="1601" w:type="dxa"/>
            <w:vMerge w:val="continue"/>
            <w:tcBorders>
              <w:left w:val="single" w:sz="4" w:space="0" w:color="000000"/>
              <w:right w:val="single" w:sz="4" w:space="0" w:color="000000"/>
            </w:tcBorders>
            <w:shd w:color="auto" w:fill="auto" w:val="clear"/>
            <w:vAlign w:val="center"/>
          </w:tcPr>
          <w:p>
            <w:pPr>
              <w:pStyle w:val="Normal"/>
              <w:rPr>
                <w:sz w:val="20"/>
                <w:szCs w:val="20"/>
                <w:lang w:eastAsia="ru-RU"/>
              </w:rPr>
            </w:pPr>
            <w:r>
              <w:rPr>
                <w:sz w:val="20"/>
                <w:szCs w:val="20"/>
                <w:lang w:eastAsia="ru-RU"/>
              </w:rPr>
            </w:r>
          </w:p>
        </w:tc>
        <w:tc>
          <w:tcPr>
            <w:tcW w:w="586"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2027</w:t>
            </w:r>
          </w:p>
        </w:tc>
        <w:tc>
          <w:tcPr>
            <w:tcW w:w="1598"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11,13</w:t>
            </w:r>
          </w:p>
        </w:tc>
        <w:tc>
          <w:tcPr>
            <w:tcW w:w="1616"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11,13</w:t>
            </w:r>
          </w:p>
        </w:tc>
        <w:tc>
          <w:tcPr>
            <w:tcW w:w="1065"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11,00</w:t>
            </w:r>
          </w:p>
        </w:tc>
        <w:tc>
          <w:tcPr>
            <w:tcW w:w="1406"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0,13</w:t>
            </w:r>
          </w:p>
        </w:tc>
        <w:tc>
          <w:tcPr>
            <w:tcW w:w="1014"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0,080</w:t>
            </w:r>
          </w:p>
        </w:tc>
        <w:tc>
          <w:tcPr>
            <w:tcW w:w="1770"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8,890</w:t>
            </w:r>
          </w:p>
        </w:tc>
        <w:tc>
          <w:tcPr>
            <w:tcW w:w="1163"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8,970</w:t>
            </w:r>
          </w:p>
        </w:tc>
        <w:tc>
          <w:tcPr>
            <w:tcW w:w="1441"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2,030</w:t>
            </w:r>
          </w:p>
        </w:tc>
        <w:tc>
          <w:tcPr>
            <w:tcW w:w="964"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80,59</w:t>
            </w:r>
          </w:p>
        </w:tc>
      </w:tr>
      <w:tr>
        <w:trPr>
          <w:trHeight w:val="20" w:hRule="atLeast"/>
        </w:trPr>
        <w:tc>
          <w:tcPr>
            <w:tcW w:w="345" w:type="dxa"/>
            <w:vMerge w:val="continue"/>
            <w:tcBorders>
              <w:left w:val="single" w:sz="4" w:space="0" w:color="000000"/>
              <w:right w:val="single" w:sz="4" w:space="0" w:color="000000"/>
            </w:tcBorders>
            <w:shd w:color="auto" w:fill="auto" w:val="clear"/>
            <w:vAlign w:val="center"/>
          </w:tcPr>
          <w:p>
            <w:pPr>
              <w:pStyle w:val="Normal"/>
              <w:rPr>
                <w:sz w:val="20"/>
                <w:szCs w:val="20"/>
                <w:lang w:eastAsia="ru-RU"/>
              </w:rPr>
            </w:pPr>
            <w:r>
              <w:rPr>
                <w:sz w:val="20"/>
                <w:szCs w:val="20"/>
                <w:lang w:eastAsia="ru-RU"/>
              </w:rPr>
            </w:r>
          </w:p>
        </w:tc>
        <w:tc>
          <w:tcPr>
            <w:tcW w:w="1601" w:type="dxa"/>
            <w:vMerge w:val="continue"/>
            <w:tcBorders>
              <w:left w:val="single" w:sz="4" w:space="0" w:color="000000"/>
              <w:right w:val="single" w:sz="4" w:space="0" w:color="000000"/>
            </w:tcBorders>
            <w:shd w:color="auto" w:fill="auto" w:val="clear"/>
            <w:vAlign w:val="center"/>
          </w:tcPr>
          <w:p>
            <w:pPr>
              <w:pStyle w:val="Normal"/>
              <w:rPr>
                <w:sz w:val="20"/>
                <w:szCs w:val="20"/>
                <w:lang w:eastAsia="ru-RU"/>
              </w:rPr>
            </w:pPr>
            <w:r>
              <w:rPr>
                <w:sz w:val="20"/>
                <w:szCs w:val="20"/>
                <w:lang w:eastAsia="ru-RU"/>
              </w:rPr>
            </w:r>
          </w:p>
        </w:tc>
        <w:tc>
          <w:tcPr>
            <w:tcW w:w="586" w:type="dxa"/>
            <w:tcBorders>
              <w:right w:val="single" w:sz="4" w:space="0" w:color="000000"/>
            </w:tcBorders>
            <w:shd w:color="auto" w:fill="auto" w:val="clear"/>
            <w:vAlign w:val="center"/>
          </w:tcPr>
          <w:p>
            <w:pPr>
              <w:pStyle w:val="Normal"/>
              <w:jc w:val="center"/>
              <w:rPr>
                <w:sz w:val="20"/>
                <w:szCs w:val="20"/>
                <w:lang w:eastAsia="ru-RU"/>
              </w:rPr>
            </w:pPr>
            <w:r>
              <w:rPr>
                <w:sz w:val="20"/>
                <w:szCs w:val="20"/>
                <w:lang w:eastAsia="ru-RU"/>
              </w:rPr>
              <w:t>2028</w:t>
            </w:r>
          </w:p>
        </w:tc>
        <w:tc>
          <w:tcPr>
            <w:tcW w:w="1598" w:type="dxa"/>
            <w:tcBorders>
              <w:right w:val="single" w:sz="4" w:space="0" w:color="000000"/>
            </w:tcBorders>
            <w:shd w:color="auto" w:fill="auto" w:val="clear"/>
            <w:vAlign w:val="center"/>
          </w:tcPr>
          <w:p>
            <w:pPr>
              <w:pStyle w:val="Normal"/>
              <w:jc w:val="center"/>
              <w:rPr>
                <w:sz w:val="20"/>
                <w:szCs w:val="20"/>
                <w:lang w:eastAsia="ru-RU"/>
              </w:rPr>
            </w:pPr>
            <w:r>
              <w:rPr>
                <w:sz w:val="20"/>
                <w:szCs w:val="20"/>
              </w:rPr>
              <w:t>11,13</w:t>
            </w:r>
          </w:p>
        </w:tc>
        <w:tc>
          <w:tcPr>
            <w:tcW w:w="1616" w:type="dxa"/>
            <w:tcBorders>
              <w:right w:val="single" w:sz="4" w:space="0" w:color="000000"/>
            </w:tcBorders>
            <w:shd w:color="auto" w:fill="auto" w:val="clear"/>
            <w:vAlign w:val="center"/>
          </w:tcPr>
          <w:p>
            <w:pPr>
              <w:pStyle w:val="Normal"/>
              <w:jc w:val="center"/>
              <w:rPr>
                <w:sz w:val="20"/>
                <w:szCs w:val="20"/>
                <w:lang w:eastAsia="ru-RU"/>
              </w:rPr>
            </w:pPr>
            <w:r>
              <w:rPr>
                <w:sz w:val="20"/>
                <w:szCs w:val="20"/>
              </w:rPr>
              <w:t>11,13</w:t>
            </w:r>
          </w:p>
        </w:tc>
        <w:tc>
          <w:tcPr>
            <w:tcW w:w="1065" w:type="dxa"/>
            <w:tcBorders>
              <w:right w:val="single" w:sz="4" w:space="0" w:color="000000"/>
            </w:tcBorders>
            <w:shd w:color="auto" w:fill="auto" w:val="clear"/>
            <w:vAlign w:val="center"/>
          </w:tcPr>
          <w:p>
            <w:pPr>
              <w:pStyle w:val="Normal"/>
              <w:jc w:val="center"/>
              <w:rPr>
                <w:sz w:val="20"/>
                <w:szCs w:val="20"/>
                <w:lang w:eastAsia="ru-RU"/>
              </w:rPr>
            </w:pPr>
            <w:r>
              <w:rPr>
                <w:sz w:val="20"/>
                <w:szCs w:val="20"/>
              </w:rPr>
              <w:t>11,00</w:t>
            </w:r>
          </w:p>
        </w:tc>
        <w:tc>
          <w:tcPr>
            <w:tcW w:w="1406" w:type="dxa"/>
            <w:tcBorders>
              <w:right w:val="single" w:sz="4" w:space="0" w:color="000000"/>
            </w:tcBorders>
            <w:shd w:color="auto" w:fill="auto" w:val="clear"/>
            <w:vAlign w:val="center"/>
          </w:tcPr>
          <w:p>
            <w:pPr>
              <w:pStyle w:val="Normal"/>
              <w:jc w:val="center"/>
              <w:rPr>
                <w:sz w:val="20"/>
                <w:szCs w:val="20"/>
                <w:lang w:eastAsia="ru-RU"/>
              </w:rPr>
            </w:pPr>
            <w:r>
              <w:rPr>
                <w:sz w:val="20"/>
                <w:szCs w:val="20"/>
              </w:rPr>
              <w:t>0,13</w:t>
            </w:r>
          </w:p>
        </w:tc>
        <w:tc>
          <w:tcPr>
            <w:tcW w:w="1014" w:type="dxa"/>
            <w:tcBorders>
              <w:right w:val="single" w:sz="4" w:space="0" w:color="000000"/>
            </w:tcBorders>
            <w:shd w:color="auto" w:fill="auto" w:val="clear"/>
            <w:vAlign w:val="center"/>
          </w:tcPr>
          <w:p>
            <w:pPr>
              <w:pStyle w:val="Normal"/>
              <w:jc w:val="center"/>
              <w:rPr>
                <w:sz w:val="20"/>
                <w:szCs w:val="20"/>
                <w:lang w:eastAsia="ru-RU"/>
              </w:rPr>
            </w:pPr>
            <w:r>
              <w:rPr>
                <w:sz w:val="20"/>
                <w:szCs w:val="20"/>
              </w:rPr>
              <w:t>0,080</w:t>
            </w:r>
          </w:p>
        </w:tc>
        <w:tc>
          <w:tcPr>
            <w:tcW w:w="1770" w:type="dxa"/>
            <w:tcBorders>
              <w:right w:val="single" w:sz="4" w:space="0" w:color="000000"/>
            </w:tcBorders>
            <w:shd w:color="auto" w:fill="auto" w:val="clear"/>
            <w:vAlign w:val="center"/>
          </w:tcPr>
          <w:p>
            <w:pPr>
              <w:pStyle w:val="Normal"/>
              <w:jc w:val="center"/>
              <w:rPr>
                <w:sz w:val="20"/>
                <w:szCs w:val="20"/>
                <w:lang w:eastAsia="ru-RU"/>
              </w:rPr>
            </w:pPr>
            <w:r>
              <w:rPr>
                <w:sz w:val="20"/>
                <w:szCs w:val="20"/>
              </w:rPr>
              <w:t>8,890</w:t>
            </w:r>
          </w:p>
        </w:tc>
        <w:tc>
          <w:tcPr>
            <w:tcW w:w="1163" w:type="dxa"/>
            <w:tcBorders>
              <w:right w:val="single" w:sz="4" w:space="0" w:color="000000"/>
            </w:tcBorders>
            <w:shd w:color="auto" w:fill="auto" w:val="clear"/>
            <w:vAlign w:val="center"/>
          </w:tcPr>
          <w:p>
            <w:pPr>
              <w:pStyle w:val="Normal"/>
              <w:jc w:val="center"/>
              <w:rPr>
                <w:sz w:val="20"/>
                <w:szCs w:val="20"/>
                <w:lang w:eastAsia="ru-RU"/>
              </w:rPr>
            </w:pPr>
            <w:r>
              <w:rPr>
                <w:sz w:val="20"/>
                <w:szCs w:val="20"/>
              </w:rPr>
              <w:t>8,970</w:t>
            </w:r>
          </w:p>
        </w:tc>
        <w:tc>
          <w:tcPr>
            <w:tcW w:w="1441" w:type="dxa"/>
            <w:tcBorders>
              <w:right w:val="single" w:sz="4" w:space="0" w:color="000000"/>
            </w:tcBorders>
            <w:shd w:color="auto" w:fill="auto" w:val="clear"/>
            <w:vAlign w:val="center"/>
          </w:tcPr>
          <w:p>
            <w:pPr>
              <w:pStyle w:val="Normal"/>
              <w:jc w:val="center"/>
              <w:rPr>
                <w:sz w:val="20"/>
                <w:szCs w:val="20"/>
                <w:lang w:eastAsia="ru-RU"/>
              </w:rPr>
            </w:pPr>
            <w:r>
              <w:rPr>
                <w:sz w:val="20"/>
                <w:szCs w:val="20"/>
              </w:rPr>
              <w:t>2,030</w:t>
            </w:r>
          </w:p>
        </w:tc>
        <w:tc>
          <w:tcPr>
            <w:tcW w:w="964" w:type="dxa"/>
            <w:tcBorders>
              <w:right w:val="single" w:sz="4" w:space="0" w:color="000000"/>
            </w:tcBorders>
            <w:shd w:color="auto" w:fill="auto" w:val="clear"/>
            <w:vAlign w:val="center"/>
          </w:tcPr>
          <w:p>
            <w:pPr>
              <w:pStyle w:val="Normal"/>
              <w:jc w:val="center"/>
              <w:rPr>
                <w:sz w:val="20"/>
                <w:szCs w:val="20"/>
                <w:lang w:eastAsia="ru-RU"/>
              </w:rPr>
            </w:pPr>
            <w:r>
              <w:rPr>
                <w:sz w:val="20"/>
                <w:szCs w:val="20"/>
              </w:rPr>
              <w:t>80,59</w:t>
            </w:r>
          </w:p>
        </w:tc>
      </w:tr>
      <w:tr>
        <w:trPr>
          <w:trHeight w:val="20" w:hRule="atLeast"/>
        </w:trPr>
        <w:tc>
          <w:tcPr>
            <w:tcW w:w="345" w:type="dxa"/>
            <w:vMerge w:val="continue"/>
            <w:tcBorders>
              <w:left w:val="single" w:sz="4" w:space="0" w:color="000000"/>
              <w:right w:val="single" w:sz="4" w:space="0" w:color="000000"/>
            </w:tcBorders>
            <w:shd w:color="auto" w:fill="auto" w:val="clear"/>
            <w:vAlign w:val="center"/>
          </w:tcPr>
          <w:p>
            <w:pPr>
              <w:pStyle w:val="Normal"/>
              <w:rPr>
                <w:sz w:val="20"/>
                <w:szCs w:val="20"/>
                <w:lang w:eastAsia="ru-RU"/>
              </w:rPr>
            </w:pPr>
            <w:r>
              <w:rPr>
                <w:sz w:val="20"/>
                <w:szCs w:val="20"/>
                <w:lang w:eastAsia="ru-RU"/>
              </w:rPr>
            </w:r>
          </w:p>
        </w:tc>
        <w:tc>
          <w:tcPr>
            <w:tcW w:w="1601" w:type="dxa"/>
            <w:vMerge w:val="continue"/>
            <w:tcBorders>
              <w:left w:val="single" w:sz="4" w:space="0" w:color="000000"/>
              <w:right w:val="single" w:sz="4" w:space="0" w:color="000000"/>
            </w:tcBorders>
            <w:shd w:color="auto" w:fill="auto" w:val="clear"/>
            <w:vAlign w:val="center"/>
          </w:tcPr>
          <w:p>
            <w:pPr>
              <w:pStyle w:val="Normal"/>
              <w:rPr>
                <w:sz w:val="20"/>
                <w:szCs w:val="20"/>
                <w:lang w:eastAsia="ru-RU"/>
              </w:rPr>
            </w:pPr>
            <w:r>
              <w:rPr>
                <w:sz w:val="20"/>
                <w:szCs w:val="20"/>
                <w:lang w:eastAsia="ru-RU"/>
              </w:rPr>
            </w:r>
          </w:p>
        </w:tc>
        <w:tc>
          <w:tcPr>
            <w:tcW w:w="586"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2029-2032</w:t>
            </w:r>
          </w:p>
        </w:tc>
        <w:tc>
          <w:tcPr>
            <w:tcW w:w="1598"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11,13</w:t>
            </w:r>
          </w:p>
        </w:tc>
        <w:tc>
          <w:tcPr>
            <w:tcW w:w="1616"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11,13</w:t>
            </w:r>
          </w:p>
        </w:tc>
        <w:tc>
          <w:tcPr>
            <w:tcW w:w="1065"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11,00</w:t>
            </w:r>
          </w:p>
        </w:tc>
        <w:tc>
          <w:tcPr>
            <w:tcW w:w="1406"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0,13</w:t>
            </w:r>
          </w:p>
        </w:tc>
        <w:tc>
          <w:tcPr>
            <w:tcW w:w="1014"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0,080</w:t>
            </w:r>
          </w:p>
        </w:tc>
        <w:tc>
          <w:tcPr>
            <w:tcW w:w="1770"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8,890</w:t>
            </w:r>
          </w:p>
        </w:tc>
        <w:tc>
          <w:tcPr>
            <w:tcW w:w="1163"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8,970</w:t>
            </w:r>
          </w:p>
        </w:tc>
        <w:tc>
          <w:tcPr>
            <w:tcW w:w="1441"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2,030</w:t>
            </w:r>
          </w:p>
        </w:tc>
        <w:tc>
          <w:tcPr>
            <w:tcW w:w="964"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80,59</w:t>
            </w:r>
          </w:p>
        </w:tc>
      </w:tr>
      <w:tr>
        <w:trPr>
          <w:trHeight w:val="20" w:hRule="atLeast"/>
        </w:trPr>
        <w:tc>
          <w:tcPr>
            <w:tcW w:w="345" w:type="dxa"/>
            <w:vMerge w:val="continue"/>
            <w:tcBorders>
              <w:left w:val="single" w:sz="4" w:space="0" w:color="000000"/>
              <w:bottom w:val="single" w:sz="4" w:space="0" w:color="000000"/>
              <w:right w:val="single" w:sz="4" w:space="0" w:color="000000"/>
            </w:tcBorders>
            <w:shd w:color="auto" w:fill="auto" w:val="clear"/>
            <w:vAlign w:val="center"/>
          </w:tcPr>
          <w:p>
            <w:pPr>
              <w:pStyle w:val="Normal"/>
              <w:rPr>
                <w:sz w:val="20"/>
                <w:szCs w:val="20"/>
                <w:lang w:eastAsia="ru-RU"/>
              </w:rPr>
            </w:pPr>
            <w:r>
              <w:rPr>
                <w:sz w:val="20"/>
                <w:szCs w:val="20"/>
                <w:lang w:eastAsia="ru-RU"/>
              </w:rPr>
            </w:r>
          </w:p>
        </w:tc>
        <w:tc>
          <w:tcPr>
            <w:tcW w:w="1601" w:type="dxa"/>
            <w:vMerge w:val="continue"/>
            <w:tcBorders>
              <w:left w:val="single" w:sz="4" w:space="0" w:color="000000"/>
              <w:bottom w:val="single" w:sz="4" w:space="0" w:color="000000"/>
              <w:right w:val="single" w:sz="4" w:space="0" w:color="000000"/>
            </w:tcBorders>
            <w:shd w:color="auto" w:fill="auto" w:val="clear"/>
            <w:vAlign w:val="center"/>
          </w:tcPr>
          <w:p>
            <w:pPr>
              <w:pStyle w:val="Normal"/>
              <w:rPr>
                <w:sz w:val="20"/>
                <w:szCs w:val="20"/>
                <w:lang w:eastAsia="ru-RU"/>
              </w:rPr>
            </w:pPr>
            <w:r>
              <w:rPr>
                <w:sz w:val="20"/>
                <w:szCs w:val="20"/>
                <w:lang w:eastAsia="ru-RU"/>
              </w:rPr>
            </w:r>
          </w:p>
        </w:tc>
        <w:tc>
          <w:tcPr>
            <w:tcW w:w="586"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2033-2035</w:t>
            </w:r>
          </w:p>
        </w:tc>
        <w:tc>
          <w:tcPr>
            <w:tcW w:w="1598"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11,13</w:t>
            </w:r>
          </w:p>
        </w:tc>
        <w:tc>
          <w:tcPr>
            <w:tcW w:w="1616"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11,13</w:t>
            </w:r>
          </w:p>
        </w:tc>
        <w:tc>
          <w:tcPr>
            <w:tcW w:w="1065"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11,00</w:t>
            </w:r>
          </w:p>
        </w:tc>
        <w:tc>
          <w:tcPr>
            <w:tcW w:w="1406"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0,13</w:t>
            </w:r>
          </w:p>
        </w:tc>
        <w:tc>
          <w:tcPr>
            <w:tcW w:w="1014"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0,080</w:t>
            </w:r>
          </w:p>
        </w:tc>
        <w:tc>
          <w:tcPr>
            <w:tcW w:w="1770"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8,890</w:t>
            </w:r>
          </w:p>
        </w:tc>
        <w:tc>
          <w:tcPr>
            <w:tcW w:w="1163"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8,970</w:t>
            </w:r>
          </w:p>
        </w:tc>
        <w:tc>
          <w:tcPr>
            <w:tcW w:w="1441"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2,030</w:t>
            </w:r>
          </w:p>
        </w:tc>
        <w:tc>
          <w:tcPr>
            <w:tcW w:w="964"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80,59</w:t>
            </w:r>
            <w:bookmarkStart w:id="950" w:name="_Hlk50123773"/>
            <w:bookmarkStart w:id="951" w:name="_Hlk50123682"/>
            <w:bookmarkStart w:id="952" w:name="_Hlk34384689"/>
            <w:bookmarkStart w:id="953" w:name="_Hlk50123847"/>
            <w:bookmarkEnd w:id="950"/>
            <w:bookmarkEnd w:id="951"/>
            <w:bookmarkEnd w:id="952"/>
            <w:bookmarkEnd w:id="953"/>
          </w:p>
        </w:tc>
      </w:tr>
    </w:tbl>
    <w:p>
      <w:pPr>
        <w:sectPr>
          <w:headerReference w:type="default" r:id="rId55"/>
          <w:footerReference w:type="default" r:id="rId56"/>
          <w:type w:val="nextPage"/>
          <w:pgSz w:orient="landscape" w:w="16838" w:h="11906"/>
          <w:pgMar w:left="1701" w:right="567" w:header="708" w:top="1701" w:footer="708" w:bottom="850" w:gutter="0"/>
          <w:pgNumType w:fmt="decimal"/>
          <w:formProt w:val="false"/>
          <w:textDirection w:val="lrTb"/>
          <w:docGrid w:type="default" w:linePitch="360" w:charSpace="0"/>
        </w:sectPr>
      </w:pPr>
    </w:p>
    <w:p>
      <w:pPr>
        <w:pStyle w:val="Normal"/>
        <w:ind w:firstLine="709"/>
        <w:jc w:val="both"/>
        <w:rPr>
          <w:lang w:eastAsia="ru-RU"/>
        </w:rPr>
      </w:pPr>
      <w:bookmarkStart w:id="954" w:name="sub_1571"/>
      <w:bookmarkEnd w:id="954"/>
      <w:r>
        <w:rPr>
          <w:rFonts w:eastAsia="Calibri" w:cs="Calibri"/>
          <w:szCs w:val="22"/>
          <w:lang w:eastAsia="en-US"/>
        </w:rPr>
        <w:t>Перспективные балансы располагаемой тепловой мощности и присоединенной тепловой нагрузки выполнены по выбранному варианту в соответствии мастер-планом (Глава 5) и с учетом мероприятий на источниках (Глава 7) и реализации мероприятий по строительству и реконструкции тепловых сетей, подлежащих замене в связи с исчерпанием эксплуатационного ресурса (Глава 8).</w:t>
      </w:r>
    </w:p>
    <w:p>
      <w:pPr>
        <w:pStyle w:val="Normal"/>
        <w:ind w:firstLine="709"/>
        <w:jc w:val="both"/>
        <w:rPr>
          <w:lang w:eastAsia="ru-RU"/>
        </w:rPr>
      </w:pPr>
      <w:r>
        <w:rPr>
          <w:lang w:eastAsia="ru-RU"/>
        </w:rPr>
      </w:r>
    </w:p>
    <w:p>
      <w:pPr>
        <w:pStyle w:val="Normal"/>
        <w:keepNext w:val="true"/>
        <w:keepLines/>
        <w:numPr>
          <w:ilvl w:val="0"/>
          <w:numId w:val="0"/>
        </w:numPr>
        <w:ind w:left="0" w:firstLine="709"/>
        <w:jc w:val="both"/>
        <w:outlineLvl w:val="1"/>
        <w:rPr>
          <w:rFonts w:eastAsia="Calibri Light" w:cs="Calibri Light"/>
          <w:b/>
          <w:b/>
          <w:szCs w:val="26"/>
          <w:lang w:eastAsia="en-US"/>
        </w:rPr>
      </w:pPr>
      <w:bookmarkStart w:id="955" w:name="_Toc181340452"/>
      <w:bookmarkStart w:id="956" w:name="_Toc160529987"/>
      <w:bookmarkStart w:id="957" w:name="_Toc535409564"/>
      <w:r>
        <w:rPr>
          <w:rFonts w:eastAsia="Calibri Light" w:cs="Calibri Light"/>
          <w:b/>
          <w:szCs w:val="26"/>
          <w:lang w:eastAsia="en-US"/>
        </w:rPr>
        <w:t>4.2. Гидравлический расчет передачи теплоносителя для каждого магистрального вывода с целью определения возможности (невозможности) обеспечения тепловой энергией существующих и перспективных потребителей, присоединенных к тепловой сети от каждого источника тепловой энергии</w:t>
      </w:r>
      <w:bookmarkStart w:id="958" w:name="sub_1572"/>
      <w:bookmarkEnd w:id="955"/>
      <w:bookmarkEnd w:id="956"/>
      <w:bookmarkEnd w:id="957"/>
      <w:bookmarkEnd w:id="958"/>
    </w:p>
    <w:p>
      <w:pPr>
        <w:pStyle w:val="Normal"/>
        <w:keepNext w:val="true"/>
        <w:keepLines/>
        <w:numPr>
          <w:ilvl w:val="0"/>
          <w:numId w:val="0"/>
        </w:numPr>
        <w:ind w:left="0" w:firstLine="709"/>
        <w:jc w:val="both"/>
        <w:outlineLvl w:val="1"/>
        <w:rPr>
          <w:rFonts w:eastAsia="Calibri Light" w:cs="Calibri Light"/>
          <w:szCs w:val="26"/>
          <w:lang w:eastAsia="en-US"/>
        </w:rPr>
      </w:pPr>
      <w:r>
        <w:rPr/>
        <w:t>Анализ результатов гидравлического расчета показывает, что существующие тепловые сети поселения обеспечивают тепловой энергией потребителей в необходимых параметрах. При существующих теплогидравлических режимах, располагаемых перепадов давления имеется возможность обеспечения тепловой энергией существующих и перспективных потребителей качественной услугой теплоснабжения.</w:t>
      </w:r>
      <w:bookmarkStart w:id="959" w:name="_Toc535409565"/>
      <w:bookmarkStart w:id="960" w:name="_Toc160529988"/>
      <w:bookmarkStart w:id="961" w:name="_Toc181340453"/>
    </w:p>
    <w:p>
      <w:pPr>
        <w:pStyle w:val="Normal"/>
        <w:keepNext w:val="true"/>
        <w:keepLines/>
        <w:numPr>
          <w:ilvl w:val="0"/>
          <w:numId w:val="0"/>
        </w:numPr>
        <w:ind w:left="0" w:firstLine="709"/>
        <w:jc w:val="both"/>
        <w:outlineLvl w:val="1"/>
        <w:rPr>
          <w:rFonts w:eastAsia="Calibri Light" w:cs="Calibri Light"/>
          <w:szCs w:val="26"/>
          <w:lang w:eastAsia="en-US"/>
        </w:rPr>
      </w:pPr>
      <w:r>
        <w:rPr>
          <w:rFonts w:eastAsia="Calibri Light" w:cs="Calibri Light"/>
          <w:szCs w:val="26"/>
          <w:lang w:eastAsia="en-US"/>
        </w:rPr>
      </w:r>
    </w:p>
    <w:p>
      <w:pPr>
        <w:pStyle w:val="Normal"/>
        <w:keepNext w:val="true"/>
        <w:keepLines/>
        <w:numPr>
          <w:ilvl w:val="0"/>
          <w:numId w:val="0"/>
        </w:numPr>
        <w:ind w:left="0" w:firstLine="709"/>
        <w:jc w:val="both"/>
        <w:outlineLvl w:val="1"/>
        <w:rPr>
          <w:rFonts w:eastAsia="Calibri Light" w:cs="Calibri Light"/>
          <w:szCs w:val="26"/>
          <w:lang w:eastAsia="en-US"/>
        </w:rPr>
      </w:pPr>
      <w:r>
        <w:rPr>
          <w:rFonts w:eastAsia="Calibri Light" w:cs="Calibri Light"/>
          <w:b/>
          <w:szCs w:val="26"/>
          <w:lang w:eastAsia="en-US"/>
        </w:rPr>
        <w:t>4.3. Выводы о резервах (дефицитах) существующей системы теплоснабжения при обеспечении перспективной тепловой нагрузки потребителей</w:t>
      </w:r>
      <w:bookmarkEnd w:id="959"/>
      <w:bookmarkEnd w:id="960"/>
      <w:bookmarkEnd w:id="961"/>
    </w:p>
    <w:p>
      <w:pPr>
        <w:pStyle w:val="Normal"/>
        <w:keepNext w:val="true"/>
        <w:keepLines/>
        <w:numPr>
          <w:ilvl w:val="0"/>
          <w:numId w:val="0"/>
        </w:numPr>
        <w:ind w:left="0" w:firstLine="709"/>
        <w:jc w:val="both"/>
        <w:outlineLvl w:val="1"/>
        <w:rPr>
          <w:rFonts w:eastAsia="Calibri Light" w:cs="Calibri Light"/>
          <w:szCs w:val="26"/>
          <w:lang w:eastAsia="en-US"/>
        </w:rPr>
      </w:pPr>
      <w:r>
        <w:rPr>
          <w:rFonts w:eastAsia="Calibri" w:cs="Calibri"/>
          <w:szCs w:val="22"/>
          <w:lang w:eastAsia="ru-RU"/>
        </w:rPr>
        <w:t>В существующей системе теплоснабжения наличие дефицита тепловой энергии при обеспечении перспективной тепловой нагрузки не выявлено.</w:t>
      </w:r>
      <w:bookmarkStart w:id="962" w:name="_Toc160529989"/>
      <w:bookmarkStart w:id="963" w:name="_Toc49513870"/>
      <w:bookmarkStart w:id="964" w:name="_Toc181340454"/>
    </w:p>
    <w:p>
      <w:pPr>
        <w:pStyle w:val="Normal"/>
        <w:keepNext w:val="true"/>
        <w:keepLines/>
        <w:numPr>
          <w:ilvl w:val="0"/>
          <w:numId w:val="0"/>
        </w:numPr>
        <w:ind w:left="0" w:firstLine="709"/>
        <w:jc w:val="both"/>
        <w:outlineLvl w:val="1"/>
        <w:rPr>
          <w:rFonts w:eastAsia="Calibri Light" w:cs="Calibri Light"/>
          <w:szCs w:val="26"/>
          <w:lang w:eastAsia="en-US"/>
        </w:rPr>
      </w:pPr>
      <w:r>
        <w:rPr>
          <w:rFonts w:eastAsia="Calibri Light" w:cs="Calibri Light"/>
          <w:szCs w:val="26"/>
          <w:lang w:eastAsia="en-US"/>
        </w:rPr>
      </w:r>
    </w:p>
    <w:p>
      <w:pPr>
        <w:pStyle w:val="Normal"/>
        <w:keepNext w:val="true"/>
        <w:keepLines/>
        <w:numPr>
          <w:ilvl w:val="0"/>
          <w:numId w:val="0"/>
        </w:numPr>
        <w:ind w:left="0" w:firstLine="709"/>
        <w:jc w:val="both"/>
        <w:outlineLvl w:val="1"/>
        <w:rPr>
          <w:rFonts w:eastAsia="Calibri Light" w:cs="Calibri Light"/>
          <w:szCs w:val="26"/>
          <w:lang w:eastAsia="en-US"/>
        </w:rPr>
      </w:pPr>
      <w:r>
        <w:rPr>
          <w:rFonts w:eastAsia="Calibri Light" w:cs="Calibri Light"/>
          <w:b/>
          <w:szCs w:val="26"/>
          <w:lang w:eastAsia="en-US"/>
        </w:rPr>
        <w:t>4.4. Описание изменений существующих и перспективных балансов тепловой мощности источников тепловой энергии и тепловой нагрузки потребителей для каждой системы теплоснабжения за период, предшествующий актуализации схемы теплоснабжения</w:t>
      </w:r>
      <w:bookmarkEnd w:id="962"/>
      <w:bookmarkEnd w:id="963"/>
      <w:bookmarkEnd w:id="964"/>
    </w:p>
    <w:p>
      <w:pPr>
        <w:pStyle w:val="Normal"/>
        <w:keepNext w:val="true"/>
        <w:keepLines/>
        <w:numPr>
          <w:ilvl w:val="0"/>
          <w:numId w:val="0"/>
        </w:numPr>
        <w:ind w:left="0" w:firstLine="709"/>
        <w:jc w:val="both"/>
        <w:outlineLvl w:val="1"/>
        <w:rPr>
          <w:rFonts w:eastAsia="Calibri Light" w:cs="Calibri Light"/>
          <w:szCs w:val="26"/>
          <w:lang w:eastAsia="en-US"/>
        </w:rPr>
      </w:pPr>
      <w:r>
        <w:rPr>
          <w:rFonts w:eastAsia="Calibri" w:cs="Calibri"/>
          <w:szCs w:val="22"/>
          <w:lang w:eastAsia="en-US"/>
        </w:rPr>
        <w:t>Существующие и перспективные балансы приведены в соответствие с уровнем тепловых мощностей котельных и тепловых нагрузок потребителей, сложившихся на момент актуализации схемы теплоснабжения. Балансы сформированы с учетом актуализированного прогноза прироста тепловых нагрузок, представленного в Главе 2, а также мероприятий отраженных в Главе 5.</w:t>
      </w:r>
    </w:p>
    <w:p>
      <w:pPr>
        <w:pStyle w:val="Normal"/>
        <w:ind w:firstLine="709"/>
        <w:jc w:val="both"/>
        <w:rPr>
          <w:lang w:eastAsia="ru-RU"/>
        </w:rPr>
      </w:pPr>
      <w:r>
        <w:rPr>
          <w:lang w:eastAsia="ru-RU"/>
        </w:rPr>
      </w:r>
    </w:p>
    <w:p>
      <w:pPr>
        <w:pStyle w:val="Normal"/>
        <w:ind w:firstLine="709"/>
        <w:jc w:val="center"/>
        <w:rPr>
          <w:rFonts w:eastAsia="Calibri" w:cs="Calibri"/>
          <w:b/>
          <w:b/>
          <w:bCs/>
          <w:szCs w:val="22"/>
          <w:lang w:eastAsia="en-US"/>
        </w:rPr>
      </w:pPr>
      <w:bookmarkStart w:id="965" w:name="_Toc160455108"/>
      <w:bookmarkStart w:id="966" w:name="_Toc181340455"/>
      <w:bookmarkStart w:id="967" w:name="_Toc160529990"/>
      <w:r>
        <w:rPr>
          <w:rFonts w:eastAsia="Calibri" w:cs="Calibri"/>
          <w:b/>
          <w:bCs/>
          <w:lang w:eastAsia="en-US"/>
        </w:rPr>
        <w:t>Глава 5 «Мастер-план развития систем теплоснабжения поселения»</w:t>
      </w:r>
      <w:bookmarkEnd w:id="965"/>
      <w:bookmarkEnd w:id="966"/>
      <w:bookmarkEnd w:id="967"/>
    </w:p>
    <w:p>
      <w:pPr>
        <w:pStyle w:val="Normal"/>
        <w:keepNext w:val="true"/>
        <w:keepLines/>
        <w:numPr>
          <w:ilvl w:val="0"/>
          <w:numId w:val="0"/>
        </w:numPr>
        <w:spacing w:before="0" w:after="120"/>
        <w:ind w:left="0" w:hanging="0"/>
        <w:jc w:val="both"/>
        <w:outlineLvl w:val="1"/>
        <w:rPr>
          <w:rFonts w:eastAsia="Calibri" w:cs="Calibri"/>
          <w:lang w:eastAsia="en-US"/>
        </w:rPr>
      </w:pPr>
      <w:r>
        <w:rPr>
          <w:rFonts w:eastAsia="Calibri" w:cs="Calibri"/>
          <w:lang w:eastAsia="en-US"/>
        </w:rPr>
      </w:r>
    </w:p>
    <w:p>
      <w:pPr>
        <w:pStyle w:val="Normal"/>
        <w:keepNext w:val="true"/>
        <w:keepLines/>
        <w:numPr>
          <w:ilvl w:val="0"/>
          <w:numId w:val="0"/>
        </w:numPr>
        <w:ind w:left="0" w:firstLine="709"/>
        <w:jc w:val="both"/>
        <w:outlineLvl w:val="1"/>
        <w:rPr>
          <w:rFonts w:eastAsia="Calibri Light" w:cs="Calibri Light"/>
          <w:b/>
          <w:b/>
          <w:szCs w:val="26"/>
          <w:lang w:eastAsia="en-US"/>
        </w:rPr>
      </w:pPr>
      <w:bookmarkStart w:id="968" w:name="_Toc181340456"/>
      <w:bookmarkStart w:id="969" w:name="_Toc160529991"/>
      <w:bookmarkStart w:id="970" w:name="_Toc160455109"/>
      <w:bookmarkStart w:id="971" w:name="_Toc535409567"/>
      <w:r>
        <w:rPr>
          <w:rFonts w:eastAsia="Calibri Light" w:cs="Calibri Light"/>
          <w:b/>
          <w:szCs w:val="26"/>
          <w:lang w:eastAsia="en-US"/>
        </w:rPr>
        <w:t>5.1. Описание вариантов (не менее двух) перспективного развития систем теплоснабжения поселения (в случае их изменения относительно ранее принятого варианта развития систем теплоснабжения в утвержденной в установленном порядке схеме теплоснабжения)</w:t>
      </w:r>
      <w:bookmarkStart w:id="972" w:name="sub_1591"/>
      <w:bookmarkEnd w:id="968"/>
      <w:bookmarkEnd w:id="969"/>
      <w:bookmarkEnd w:id="970"/>
      <w:bookmarkEnd w:id="971"/>
      <w:bookmarkEnd w:id="972"/>
    </w:p>
    <w:p>
      <w:pPr>
        <w:pStyle w:val="Normal"/>
        <w:keepNext w:val="true"/>
        <w:keepLines/>
        <w:numPr>
          <w:ilvl w:val="0"/>
          <w:numId w:val="0"/>
        </w:numPr>
        <w:ind w:left="0" w:firstLine="709"/>
        <w:jc w:val="both"/>
        <w:outlineLvl w:val="1"/>
        <w:rPr>
          <w:bCs/>
        </w:rPr>
      </w:pPr>
      <w:r>
        <w:rPr>
          <w:bCs/>
        </w:rPr>
        <w:t>М</w:t>
      </w:r>
      <w:r>
        <w:rPr/>
        <w:t>астер-план схемы теплоснабжения разрабатывается в соответствии с пунктом 101</w:t>
      </w:r>
      <w:r>
        <w:rPr>
          <w:bCs/>
        </w:rPr>
        <w:t xml:space="preserve"> Методических указаний по разработке схем теплоснабжения, утвержденных приказом Минэнерго России от 05.03.2019 № 212.</w:t>
      </w:r>
    </w:p>
    <w:p>
      <w:pPr>
        <w:pStyle w:val="Normal"/>
        <w:keepNext w:val="true"/>
        <w:keepLines/>
        <w:numPr>
          <w:ilvl w:val="0"/>
          <w:numId w:val="0"/>
        </w:numPr>
        <w:ind w:left="0" w:firstLine="709"/>
        <w:jc w:val="both"/>
        <w:outlineLvl w:val="1"/>
        <w:rPr>
          <w:rFonts w:eastAsia="Calibri" w:cs="Calibri"/>
          <w:szCs w:val="22"/>
          <w:lang w:eastAsia="ru-RU"/>
        </w:rPr>
      </w:pPr>
      <w:r>
        <w:rPr/>
        <w:t xml:space="preserve">Для территории поселения основания, перечисленные в пункте 101 </w:t>
      </w:r>
      <w:r>
        <w:rPr>
          <w:bCs/>
        </w:rPr>
        <w:t xml:space="preserve">Методических указаний по разработке схем теплоснабжения, утвержденных приказом Минэнерго России     от 05.03.2019 № 212 </w:t>
      </w:r>
      <w:r>
        <w:rPr/>
        <w:t>отсутствуют. Планом развития поселения предусматривается новое жилищное строительство, размещаемое на территориях существующей застройки путем реконструкции и создания новой современной застройки, обеспечивающей комфортные условия проживания. В настоящее время строительство жилья на территории поселения представлено индивидуальной жилой застройкой.</w:t>
      </w:r>
    </w:p>
    <w:p>
      <w:pPr>
        <w:pStyle w:val="Normal"/>
        <w:keepNext w:val="true"/>
        <w:keepLines/>
        <w:numPr>
          <w:ilvl w:val="0"/>
          <w:numId w:val="0"/>
        </w:numPr>
        <w:ind w:left="0" w:firstLine="709"/>
        <w:jc w:val="both"/>
        <w:outlineLvl w:val="1"/>
        <w:rPr>
          <w:rFonts w:eastAsia="Calibri Light" w:cs="Calibri Light"/>
          <w:szCs w:val="26"/>
          <w:lang w:eastAsia="en-US"/>
        </w:rPr>
      </w:pPr>
      <w:r>
        <w:rPr/>
        <w:t xml:space="preserve">Отопление вновь строящихся зданий, за исключением индивидуального жилищного строительства, предусматривается от существующих источников теплоснабжения. Строительство новых источников централизованного теплоснабжения на территории поселения не планируется. </w:t>
      </w:r>
    </w:p>
    <w:p>
      <w:pPr>
        <w:pStyle w:val="Normal"/>
        <w:ind w:firstLine="709"/>
        <w:jc w:val="both"/>
        <w:rPr>
          <w:rFonts w:eastAsia="Calibri" w:cs="Calibri"/>
          <w:szCs w:val="22"/>
          <w:lang w:eastAsia="en-US"/>
        </w:rPr>
      </w:pPr>
      <w:r>
        <w:rPr>
          <w:rFonts w:eastAsia="Calibri" w:cs="Calibri"/>
          <w:szCs w:val="22"/>
          <w:lang w:eastAsia="en-US"/>
        </w:rPr>
      </w:r>
    </w:p>
    <w:p>
      <w:pPr>
        <w:pStyle w:val="2"/>
        <w:spacing w:before="0" w:after="0"/>
        <w:rPr>
          <w:b w:val="false"/>
          <w:b w:val="false"/>
        </w:rPr>
      </w:pPr>
      <w:r>
        <w:rPr>
          <w:b w:val="false"/>
        </w:rPr>
        <w:t>Для отопления и горячего водоснабжения, вновь строящихся индивидуальных домов рекомендуется использовать индивидуальные двухконтурные котлы. Для теплоснабжения строящихся зданий (группы зданий) с небольшим теплопотреблением и использовать автономные источники тепла, отдельностоящие и пристроенные блочно-модульные котельные малой мощности. Выбор индивидуальных источников тепла объясняется тем, что объекты имеют незначительную тепловую нагрузку и находятся на значительном расстоянии друг от друга, что влечет за собой большие потери в тепловых сетях и значительные капитальные вложения по их прокладке.</w:t>
      </w:r>
    </w:p>
    <w:p>
      <w:pPr>
        <w:pStyle w:val="2"/>
        <w:spacing w:before="0" w:after="0"/>
        <w:rPr>
          <w:b w:val="false"/>
          <w:b w:val="false"/>
        </w:rPr>
      </w:pPr>
      <w:r>
        <w:rPr>
          <w:b w:val="false"/>
        </w:rPr>
        <w:t>Для повышения эффективности работы централизованной системы теплоснабжения в составе настоящей Схеме рассматриваются следующие варианты ее развития:</w:t>
      </w:r>
    </w:p>
    <w:p>
      <w:pPr>
        <w:pStyle w:val="2"/>
        <w:spacing w:before="0" w:after="0"/>
        <w:rPr>
          <w:bCs/>
        </w:rPr>
      </w:pPr>
      <w:r>
        <w:rPr>
          <w:bCs/>
        </w:rPr>
        <w:t>Вариант 1</w:t>
      </w:r>
      <w:bookmarkStart w:id="973" w:name="_Hlk160710148"/>
      <w:bookmarkEnd w:id="973"/>
      <w:r>
        <w:rPr>
          <w:bCs/>
        </w:rPr>
        <w:t>:</w:t>
      </w:r>
    </w:p>
    <w:p>
      <w:pPr>
        <w:pStyle w:val="2"/>
        <w:spacing w:before="0" w:after="0"/>
        <w:rPr>
          <w:b w:val="false"/>
          <w:b w:val="false"/>
        </w:rPr>
      </w:pPr>
      <w:r>
        <w:rPr>
          <w:b w:val="false"/>
          <w:bCs/>
        </w:rPr>
        <w:t>- к</w:t>
      </w:r>
      <w:r>
        <w:rPr>
          <w:b w:val="false"/>
        </w:rPr>
        <w:t>апитальный ремонт (техническое перевооружение) котельной № 12 по ул.Медицинская, 3К в пгт.Октябрьское в части замены двух котлов на новые с увеличением установленной мощности с автоматизацией технологического процесса с переключением нагрузки на котельную № 12 по ул.Медицинская, 3К котельной № 7 по ул.Медицинская, 3Б и выводом ее из эксплуатации;</w:t>
      </w:r>
    </w:p>
    <w:p>
      <w:pPr>
        <w:pStyle w:val="2"/>
        <w:spacing w:before="0" w:after="0"/>
        <w:rPr>
          <w:b w:val="false"/>
          <w:b w:val="false"/>
        </w:rPr>
      </w:pPr>
      <w:r>
        <w:rPr>
          <w:b w:val="false"/>
        </w:rPr>
        <w:t>- строительство котельной по ул.Дзержинского, 14 в пгт.Октябрьское. Вывод из эксплуатации котельной № 2 по ул.Пионерская, 17Б и котельной № 6 по ул.Дзержинского, 2Б с переключением нагрузки на новую котельную по ул.Дзержинского, 14;</w:t>
      </w:r>
    </w:p>
    <w:p>
      <w:pPr>
        <w:pStyle w:val="2"/>
        <w:spacing w:before="0" w:after="0"/>
        <w:rPr>
          <w:b w:val="false"/>
          <w:b w:val="false"/>
        </w:rPr>
      </w:pPr>
      <w:r>
        <w:rPr>
          <w:b w:val="false"/>
        </w:rPr>
        <w:t>- децентрализация системы теплоснабжения пгт.Октябрьское путем перехода на автономные источники теплоснабжения, отказ от эксплуатации тепловых сетей, вывод котельной № 8 пгт.Октябрьское, ул.50 лет Победы, 38а из эксплуатации;</w:t>
      </w:r>
    </w:p>
    <w:p>
      <w:pPr>
        <w:pStyle w:val="2"/>
        <w:spacing w:before="0" w:after="0"/>
        <w:rPr>
          <w:b w:val="false"/>
          <w:b w:val="false"/>
        </w:rPr>
      </w:pPr>
      <w:r>
        <w:rPr>
          <w:b w:val="false"/>
        </w:rPr>
        <w:t>- капитальный ремонт (техническое перевооружение) котельной № 1 по ул.Сенькина, 46б в пгт.Октябрьское. Вывод из эксплуатации котельной № 3 по ул.Чапаева, 6Б с переключением нагрузки на котельную № 1 по ул.Сенькина, 46б;</w:t>
      </w:r>
    </w:p>
    <w:p>
      <w:pPr>
        <w:pStyle w:val="2"/>
        <w:spacing w:before="0" w:after="0"/>
        <w:rPr>
          <w:b w:val="false"/>
          <w:b w:val="false"/>
        </w:rPr>
      </w:pPr>
      <w:r>
        <w:rPr>
          <w:b w:val="false"/>
        </w:rPr>
        <w:t>- реконструкция (капитальный ремонт) сетей тепло-, водоснабжения по ул.Калинина, ул.Ленина в пгт.Октябрьское;</w:t>
      </w:r>
    </w:p>
    <w:p>
      <w:pPr>
        <w:pStyle w:val="2"/>
        <w:spacing w:before="0" w:after="0"/>
        <w:rPr>
          <w:b w:val="false"/>
          <w:b w:val="false"/>
        </w:rPr>
      </w:pPr>
      <w:r>
        <w:rPr>
          <w:b w:val="false"/>
        </w:rPr>
        <w:t>-</w:t>
      </w:r>
      <w:bookmarkStart w:id="974" w:name="_Hlk1610863121"/>
      <w:r>
        <w:rPr>
          <w:b w:val="false"/>
        </w:rPr>
        <w:t xml:space="preserve"> реконструкция (капитальный ремонт) сетей тепло-, водоснабжения по ул.</w:t>
      </w:r>
      <w:bookmarkEnd w:id="974"/>
      <w:r>
        <w:rPr>
          <w:b w:val="false"/>
        </w:rPr>
        <w:t>Чапаева в пгт.Октябрьское.</w:t>
      </w:r>
    </w:p>
    <w:p>
      <w:pPr>
        <w:pStyle w:val="2"/>
        <w:spacing w:before="0" w:after="0"/>
        <w:rPr>
          <w:bCs/>
        </w:rPr>
      </w:pPr>
      <w:r>
        <w:rPr>
          <w:bCs/>
        </w:rPr>
        <w:t>Вариант 2</w:t>
      </w:r>
      <w:bookmarkStart w:id="975" w:name="_Hlk161086327"/>
      <w:bookmarkEnd w:id="975"/>
      <w:r>
        <w:rPr>
          <w:bCs/>
        </w:rPr>
        <w:t>:</w:t>
      </w:r>
    </w:p>
    <w:p>
      <w:pPr>
        <w:pStyle w:val="2"/>
        <w:spacing w:before="0" w:after="0"/>
        <w:rPr>
          <w:b w:val="false"/>
          <w:b w:val="false"/>
        </w:rPr>
      </w:pPr>
      <w:r>
        <w:rPr>
          <w:b w:val="false"/>
          <w:bCs/>
        </w:rPr>
        <w:t xml:space="preserve">- </w:t>
      </w:r>
      <w:r>
        <w:rPr>
          <w:b w:val="false"/>
        </w:rPr>
        <w:t>проекты по строительству и реконструкции котельных не будут реализовываться (соответственно будет происходить износ системы теплоснабжения и как следствие будут ухудшаться показатели ее работы).</w:t>
      </w:r>
    </w:p>
    <w:p>
      <w:pPr>
        <w:pStyle w:val="Normal"/>
        <w:ind w:firstLine="709"/>
        <w:jc w:val="both"/>
        <w:rPr>
          <w:rFonts w:eastAsia="Calibri" w:cs="Calibri"/>
          <w:b/>
          <w:b/>
          <w:bCs/>
          <w:szCs w:val="22"/>
          <w:lang w:eastAsia="en-US"/>
        </w:rPr>
      </w:pPr>
      <w:r>
        <w:rPr>
          <w:rFonts w:eastAsia="Calibri" w:cs="Calibri"/>
          <w:b/>
          <w:bCs/>
          <w:szCs w:val="22"/>
          <w:lang w:eastAsia="en-US"/>
        </w:rPr>
      </w:r>
    </w:p>
    <w:p>
      <w:pPr>
        <w:pStyle w:val="Normal"/>
        <w:ind w:firstLine="709"/>
        <w:jc w:val="both"/>
        <w:rPr>
          <w:rFonts w:eastAsia="Calibri" w:cs="Calibri"/>
          <w:b/>
          <w:b/>
          <w:bCs/>
          <w:szCs w:val="22"/>
          <w:lang w:eastAsia="en-US"/>
        </w:rPr>
      </w:pPr>
      <w:bookmarkStart w:id="976" w:name="_Toc160529992"/>
      <w:bookmarkStart w:id="977" w:name="_Toc181340457"/>
      <w:r>
        <w:rPr>
          <w:rFonts w:eastAsia="Calibri Light" w:cs="Calibri Light"/>
          <w:b/>
          <w:szCs w:val="26"/>
          <w:lang w:eastAsia="en-US"/>
        </w:rPr>
        <w:t>5.2. Технико-экономическое сравнение вариантов перспективного развития систем теплоснабжения поселения</w:t>
      </w:r>
      <w:bookmarkEnd w:id="976"/>
      <w:bookmarkEnd w:id="977"/>
    </w:p>
    <w:p>
      <w:pPr>
        <w:pStyle w:val="Normal"/>
        <w:ind w:firstLine="709"/>
        <w:jc w:val="both"/>
        <w:rPr>
          <w:rFonts w:eastAsia="Calibri" w:cs="Calibri"/>
          <w:b/>
          <w:b/>
          <w:bCs/>
          <w:szCs w:val="22"/>
          <w:lang w:eastAsia="en-US"/>
        </w:rPr>
      </w:pPr>
      <w:r>
        <w:rPr>
          <w:rFonts w:eastAsia="Calibri" w:cs="Calibri"/>
          <w:szCs w:val="22"/>
          <w:lang w:eastAsia="en-US"/>
        </w:rPr>
        <w:t xml:space="preserve">При реализации мероприятий по варианту 1 планируется снижение расхода топлива на выработку тепловой энергии в результате увеличения КПД котлов по сравнению с существующим состоянием, а также в увеличении надежности теплоснабжения и сокращения эксплуатационных затрат. </w:t>
      </w:r>
    </w:p>
    <w:p>
      <w:pPr>
        <w:pStyle w:val="Normal"/>
        <w:ind w:firstLine="709"/>
        <w:jc w:val="both"/>
        <w:rPr>
          <w:rFonts w:eastAsia="Calibri" w:cs="Calibri"/>
          <w:b/>
          <w:b/>
          <w:bCs/>
          <w:szCs w:val="22"/>
          <w:lang w:eastAsia="en-US"/>
        </w:rPr>
      </w:pPr>
      <w:r>
        <w:rPr>
          <w:rFonts w:eastAsia="Calibri" w:cs="Calibri"/>
          <w:lang w:eastAsia="en-US"/>
        </w:rPr>
        <w:t>Экономическая эффективность реализации мероприятий по сохранению существующей схемы теплоснабжения с проведением работ по модернизации существующих объектов выражается в сокращении эксплуатационных издержек, уменьшению удельных расходов топлива на производство тепла, а также снижению потерь тепла при транспортировке. Для обеспечения надежного теплоснабжения необходимо регулярно проводить работы по замене изношенного и устаревшего оборудования, замене тепловых сетей.</w:t>
      </w:r>
    </w:p>
    <w:p>
      <w:pPr>
        <w:pStyle w:val="Normal"/>
        <w:ind w:firstLine="709"/>
        <w:jc w:val="both"/>
        <w:rPr>
          <w:rFonts w:eastAsia="Calibri" w:cs="Calibri"/>
          <w:b/>
          <w:b/>
          <w:bCs/>
          <w:szCs w:val="22"/>
          <w:lang w:eastAsia="en-US"/>
        </w:rPr>
      </w:pPr>
      <w:r>
        <w:rPr>
          <w:rFonts w:eastAsia="Calibri" w:cs="Calibri"/>
          <w:szCs w:val="22"/>
          <w:lang w:eastAsia="en-US"/>
        </w:rPr>
        <w:t>Сравнивая два варианта развития схемы теплоснабжения в первом варианте за счет вложенных инвестиций, мы получаем экономический эффект и увеличиваем надёжность системы теплоснабжения, во втором варианте мы не инвестируем средства соответственно организация не несет инвестиционных затрат, но надежность и эффективность система либо остаётся на неизменном уровне (в случае проведения своевременных ремонтов и регламентах работ) или ухудшается за счет морального и физического износа оборудования и тепловых сетей.</w:t>
      </w:r>
      <w:bookmarkStart w:id="978" w:name="_Toc181340458"/>
      <w:bookmarkStart w:id="979" w:name="_Toc160455111"/>
      <w:bookmarkStart w:id="980" w:name="_Toc160529993"/>
      <w:bookmarkStart w:id="981" w:name="_Toc535409569"/>
      <w:bookmarkStart w:id="982" w:name="sub_1593"/>
      <w:bookmarkEnd w:id="981"/>
      <w:bookmarkEnd w:id="982"/>
    </w:p>
    <w:p>
      <w:pPr>
        <w:pStyle w:val="Normal"/>
        <w:ind w:firstLine="709"/>
        <w:jc w:val="both"/>
        <w:rPr>
          <w:rFonts w:eastAsia="Calibri" w:cs="Calibri"/>
          <w:b/>
          <w:b/>
          <w:bCs/>
          <w:szCs w:val="22"/>
          <w:lang w:eastAsia="en-US"/>
        </w:rPr>
      </w:pPr>
      <w:r>
        <w:rPr>
          <w:rFonts w:eastAsia="Calibri" w:cs="Calibri"/>
          <w:b/>
          <w:bCs/>
          <w:szCs w:val="22"/>
          <w:lang w:eastAsia="en-US"/>
        </w:rPr>
      </w:r>
    </w:p>
    <w:p>
      <w:pPr>
        <w:pStyle w:val="Normal"/>
        <w:ind w:firstLine="709"/>
        <w:jc w:val="both"/>
        <w:rPr>
          <w:rFonts w:eastAsia="Calibri Light" w:cs="Calibri Light"/>
          <w:b/>
          <w:b/>
          <w:szCs w:val="26"/>
          <w:lang w:eastAsia="en-US"/>
        </w:rPr>
      </w:pPr>
      <w:r>
        <w:rPr>
          <w:rFonts w:eastAsia="Calibri Light" w:cs="Calibri Light"/>
          <w:b/>
          <w:szCs w:val="26"/>
          <w:lang w:eastAsia="en-US"/>
        </w:rPr>
        <w:t xml:space="preserve">5.3. </w:t>
      </w:r>
      <w:bookmarkEnd w:id="979"/>
      <w:bookmarkEnd w:id="980"/>
      <w:r>
        <w:rPr>
          <w:rFonts w:eastAsia="Calibri Light" w:cs="Calibri Light"/>
          <w:b/>
          <w:szCs w:val="26"/>
          <w:lang w:eastAsia="en-US"/>
        </w:rPr>
        <w:t>Обоснование выбора приоритетного варианта перспективного развития систем теплоснабжения поселения на основе анализа ценовых (тарифных) последствий для потребителей, а в ценовых зонах теплоснабжения – на основе анализа ценовых (тарифных) последствий для потребителей, возникших при осуществлении регулируемых видов деятельности, и индикаторов развития систем теплоснабжения поселения</w:t>
      </w:r>
      <w:bookmarkEnd w:id="978"/>
    </w:p>
    <w:p>
      <w:pPr>
        <w:pStyle w:val="Normal"/>
        <w:ind w:firstLine="709"/>
        <w:jc w:val="both"/>
        <w:rPr>
          <w:rFonts w:eastAsia="Calibri" w:cs="Calibri"/>
          <w:bCs/>
          <w:szCs w:val="22"/>
          <w:lang w:eastAsia="en-US"/>
        </w:rPr>
      </w:pPr>
      <w:r>
        <w:rPr/>
        <w:t>В настоящей Схеме теплоснабжения рекомендуется рассматривать вариант 1, так как при реализации мероприятий по данному варианту увеличивается надежность теплоснабжения за счет обновления оборудования, снижения расхода топлива на выработку тепловой энергии в результате увеличения КПД котлов по сравнению с существующим состоянием и сокращения эксплуатационных затрат. Снижение эксплуатационных издержек увеличивает НВВ ресурсоснабжающей организации, что в свою очередь может дать средства к дальнейшему развитию системы теплоснабжения (реализация мероприятий ТСО по обновлению оборудования) и поддержанию его в работоспособном состоянии.</w:t>
      </w:r>
      <w:bookmarkStart w:id="983" w:name="_Toc181340459"/>
      <w:bookmarkStart w:id="984" w:name="_Toc160529994"/>
      <w:bookmarkStart w:id="985" w:name="_Toc160455112"/>
    </w:p>
    <w:p>
      <w:pPr>
        <w:pStyle w:val="Normal"/>
        <w:ind w:firstLine="709"/>
        <w:jc w:val="both"/>
        <w:rPr>
          <w:rFonts w:eastAsia="Calibri" w:cs="Calibri"/>
          <w:bCs/>
          <w:szCs w:val="22"/>
          <w:lang w:eastAsia="en-US"/>
        </w:rPr>
      </w:pPr>
      <w:r>
        <w:rPr>
          <w:rFonts w:eastAsia="Calibri" w:cs="Calibri"/>
          <w:bCs/>
          <w:szCs w:val="22"/>
          <w:lang w:eastAsia="en-US"/>
        </w:rPr>
      </w:r>
    </w:p>
    <w:p>
      <w:pPr>
        <w:pStyle w:val="Normal"/>
        <w:ind w:firstLine="709"/>
        <w:jc w:val="both"/>
        <w:rPr>
          <w:rFonts w:eastAsia="Calibri" w:cs="Calibri"/>
          <w:bCs/>
          <w:szCs w:val="22"/>
          <w:lang w:eastAsia="en-US"/>
        </w:rPr>
      </w:pPr>
      <w:r>
        <w:rPr>
          <w:rFonts w:eastAsia="Calibri Light" w:cs="Calibri Light"/>
          <w:b/>
          <w:szCs w:val="26"/>
          <w:lang w:eastAsia="en-US"/>
        </w:rPr>
        <w:t>5.4. Описание изменений в мастер-плане развития системы теплоснабжения за период, предшествующий актуализации схемы теплоснабжения</w:t>
      </w:r>
      <w:bookmarkEnd w:id="983"/>
      <w:bookmarkEnd w:id="984"/>
      <w:bookmarkEnd w:id="985"/>
    </w:p>
    <w:p>
      <w:pPr>
        <w:pStyle w:val="Normal"/>
        <w:ind w:firstLine="709"/>
        <w:jc w:val="both"/>
        <w:rPr>
          <w:lang w:eastAsia="ru-RU"/>
        </w:rPr>
      </w:pPr>
      <w:bookmarkStart w:id="986" w:name="_Hlk160647245"/>
      <w:r>
        <w:rPr>
          <w:rFonts w:eastAsia="Calibri" w:cs="Calibri"/>
          <w:szCs w:val="22"/>
          <w:lang w:eastAsia="en-US"/>
        </w:rPr>
        <w:t>При актуализации Схемы теплоснабжения были уточнены перспективные сценарии развития системы теплоснабжения поселения.</w:t>
      </w:r>
      <w:bookmarkEnd w:id="986"/>
    </w:p>
    <w:p>
      <w:pPr>
        <w:pStyle w:val="Normal"/>
        <w:ind w:firstLine="709"/>
        <w:jc w:val="both"/>
        <w:rPr>
          <w:lang w:eastAsia="ru-RU"/>
        </w:rPr>
      </w:pPr>
      <w:r>
        <w:rPr>
          <w:lang w:eastAsia="ru-RU"/>
        </w:rPr>
      </w:r>
    </w:p>
    <w:p>
      <w:pPr>
        <w:pStyle w:val="Normal"/>
        <w:jc w:val="center"/>
        <w:rPr>
          <w:rFonts w:eastAsia="Calibri" w:cs="Calibri"/>
          <w:b/>
          <w:b/>
          <w:bCs/>
          <w:szCs w:val="22"/>
          <w:lang w:eastAsia="en-US"/>
        </w:rPr>
      </w:pPr>
      <w:bookmarkStart w:id="987" w:name="_Toc160529995"/>
      <w:bookmarkStart w:id="988" w:name="_Toc181340460"/>
      <w:r>
        <w:rPr>
          <w:rFonts w:eastAsia="Calibri" w:cs="Calibri"/>
          <w:b/>
          <w:bCs/>
          <w:szCs w:val="22"/>
          <w:lang w:eastAsia="en-US"/>
        </w:rPr>
        <w:t>Глава 6 «Существующие и перспективные балансы производительности водоподготовительных установок и максимального потребления теплоносителя теплопотребляющими установками потребителей, в том числе в аварийных режимах»</w:t>
      </w:r>
      <w:bookmarkEnd w:id="987"/>
      <w:bookmarkEnd w:id="988"/>
    </w:p>
    <w:p>
      <w:pPr>
        <w:pStyle w:val="2"/>
        <w:spacing w:before="0" w:after="0"/>
        <w:ind w:hanging="0"/>
        <w:rPr>
          <w:rFonts w:eastAsia="Calibri" w:cs="Calibri"/>
          <w:b w:val="false"/>
          <w:b w:val="false"/>
          <w:color w:val="auto"/>
          <w:szCs w:val="22"/>
        </w:rPr>
      </w:pPr>
      <w:r>
        <w:rPr>
          <w:rFonts w:eastAsia="Calibri" w:cs="Calibri"/>
          <w:b w:val="false"/>
          <w:color w:val="auto"/>
          <w:szCs w:val="22"/>
        </w:rPr>
      </w:r>
    </w:p>
    <w:p>
      <w:pPr>
        <w:pStyle w:val="2"/>
        <w:spacing w:before="0" w:after="0"/>
        <w:rPr>
          <w:color w:val="auto"/>
          <w:szCs w:val="24"/>
        </w:rPr>
      </w:pPr>
      <w:bookmarkStart w:id="989" w:name="_Toc535409571"/>
      <w:bookmarkStart w:id="990" w:name="_Toc160529996"/>
      <w:bookmarkStart w:id="991" w:name="_Toc181340461"/>
      <w:r>
        <w:rPr>
          <w:color w:val="auto"/>
          <w:szCs w:val="24"/>
        </w:rPr>
        <w:t>6.1. Расчетная величина нормативных потерь теплоносителя в тепловых сетях в зонах действия источников тепловой энергии в случаях, установленных пунктом 6 части 2 статьи 4 и пунктом 2 части 2 статьи 5 Федерального закона                                         «О теплоснабжении» (в ценовых зонах теплоснабжения – также расчетную величину плановых потерь, определяемых в соответствии с методическими указаниями по разработке схем теплоснабжения)</w:t>
      </w:r>
      <w:bookmarkEnd w:id="989"/>
      <w:bookmarkEnd w:id="990"/>
      <w:bookmarkEnd w:id="991"/>
    </w:p>
    <w:p>
      <w:pPr>
        <w:pStyle w:val="2"/>
        <w:spacing w:before="0" w:after="0"/>
        <w:rPr>
          <w:rFonts w:eastAsia="Calibri" w:cs="Calibri"/>
          <w:b w:val="false"/>
          <w:b w:val="false"/>
          <w:szCs w:val="22"/>
        </w:rPr>
      </w:pPr>
      <w:r>
        <w:rPr>
          <w:rFonts w:eastAsia="Calibri" w:cs="Calibri"/>
          <w:b w:val="false"/>
          <w:szCs w:val="22"/>
        </w:rPr>
        <w:t>Теплоноситель в системе теплоснабжения котельной, предназначен как для передачи теплоты (теплоносителя), так и для восполнения утечек теплоносителя, за счет подпитки тепловой сети.</w:t>
      </w:r>
    </w:p>
    <w:p>
      <w:pPr>
        <w:pStyle w:val="2"/>
        <w:spacing w:before="0" w:after="0"/>
        <w:rPr>
          <w:rFonts w:eastAsia="Calibri" w:cs="Calibri"/>
          <w:b w:val="false"/>
          <w:b w:val="false"/>
          <w:szCs w:val="22"/>
        </w:rPr>
      </w:pPr>
      <w:r>
        <w:rPr>
          <w:rFonts w:eastAsia="Calibri" w:cs="Calibri"/>
          <w:b w:val="false"/>
          <w:szCs w:val="22"/>
        </w:rPr>
        <w:t>При эксплуатации тепловых сетей утечка теплоносителя не должна превышать норму, которая составляет 0,25% среднегодового объема воды в тепловой сети и присоединенных к ней системах теплопотребления в час.</w:t>
      </w:r>
    </w:p>
    <w:p>
      <w:pPr>
        <w:pStyle w:val="2"/>
        <w:spacing w:before="0" w:after="0"/>
        <w:rPr>
          <w:rFonts w:eastAsia="Calibri" w:cs="Calibri"/>
          <w:b w:val="false"/>
          <w:b w:val="false"/>
          <w:szCs w:val="22"/>
        </w:rPr>
      </w:pPr>
      <w:r>
        <w:rPr>
          <w:rFonts w:eastAsia="Calibri" w:cs="Calibri"/>
          <w:b w:val="false"/>
          <w:szCs w:val="22"/>
        </w:rPr>
        <w:t>Для систем теплоснабжения должна предусматриваться дополнительно аварийная подпитка химически не обработанной и недеаэрированной водой, расход которой принимается в количестве 2% объема воды в трубопроводах тепловых сетей и присоединенных к ним системах отопления, вентиляции.</w:t>
      </w:r>
    </w:p>
    <w:p>
      <w:pPr>
        <w:pStyle w:val="2"/>
        <w:spacing w:before="0" w:after="0"/>
        <w:rPr>
          <w:b w:val="false"/>
          <w:b w:val="false"/>
          <w:color w:val="auto"/>
          <w:szCs w:val="24"/>
        </w:rPr>
      </w:pPr>
      <w:r>
        <w:rPr>
          <w:rFonts w:eastAsia="Calibri" w:cs="Calibri"/>
          <w:b w:val="false"/>
          <w:szCs w:val="22"/>
        </w:rPr>
        <w:t>Выполнен расчет нормативной и аварийной подпитки тепловых сетей источников. Перспективные балансы производительности водоподготовительных установок (далее – ВПУ) и подпитки тепловых сетей по существующему положению представлены в таблице 26.</w:t>
      </w:r>
    </w:p>
    <w:p>
      <w:pPr>
        <w:pStyle w:val="Normal"/>
        <w:jc w:val="right"/>
        <w:rPr>
          <w:rFonts w:eastAsia="Calibri" w:cs="Calibri"/>
          <w:szCs w:val="22"/>
          <w:lang w:eastAsia="ru-RU"/>
        </w:rPr>
      </w:pPr>
      <w:r>
        <w:rPr>
          <w:rFonts w:eastAsia="Calibri" w:cs="Calibri"/>
          <w:szCs w:val="22"/>
          <w:lang w:eastAsia="ru-RU"/>
        </w:rPr>
      </w:r>
    </w:p>
    <w:p>
      <w:pPr>
        <w:pStyle w:val="Normal"/>
        <w:jc w:val="right"/>
        <w:rPr>
          <w:rFonts w:eastAsia="Calibri" w:cs="Calibri"/>
          <w:szCs w:val="22"/>
          <w:lang w:eastAsia="ru-RU"/>
        </w:rPr>
      </w:pPr>
      <w:r>
        <w:rPr>
          <w:rFonts w:eastAsia="Calibri" w:cs="Calibri"/>
          <w:szCs w:val="22"/>
          <w:lang w:eastAsia="ru-RU"/>
        </w:rPr>
      </w:r>
    </w:p>
    <w:p>
      <w:pPr>
        <w:pStyle w:val="Normal"/>
        <w:jc w:val="right"/>
        <w:rPr>
          <w:rFonts w:eastAsia="Calibri" w:cs="Calibri"/>
          <w:szCs w:val="22"/>
          <w:lang w:eastAsia="ru-RU"/>
        </w:rPr>
      </w:pPr>
      <w:r>
        <w:rPr>
          <w:rFonts w:eastAsia="Calibri" w:cs="Calibri"/>
          <w:szCs w:val="22"/>
          <w:lang w:eastAsia="ru-RU"/>
        </w:rPr>
      </w:r>
    </w:p>
    <w:p>
      <w:pPr>
        <w:pStyle w:val="Normal"/>
        <w:jc w:val="right"/>
        <w:rPr>
          <w:rFonts w:eastAsia="Calibri" w:cs="Calibri"/>
          <w:szCs w:val="22"/>
          <w:lang w:eastAsia="ru-RU"/>
        </w:rPr>
      </w:pPr>
      <w:r>
        <w:rPr>
          <w:rFonts w:eastAsia="Calibri" w:cs="Calibri"/>
          <w:szCs w:val="22"/>
          <w:lang w:eastAsia="ru-RU"/>
        </w:rPr>
      </w:r>
    </w:p>
    <w:p>
      <w:pPr>
        <w:pStyle w:val="Normal"/>
        <w:jc w:val="right"/>
        <w:rPr>
          <w:rFonts w:eastAsia="Calibri" w:cs="Calibri"/>
          <w:szCs w:val="22"/>
          <w:lang w:eastAsia="ru-RU"/>
        </w:rPr>
      </w:pPr>
      <w:r>
        <w:rPr>
          <w:rFonts w:eastAsia="Calibri" w:cs="Calibri"/>
          <w:szCs w:val="22"/>
          <w:lang w:eastAsia="ru-RU"/>
        </w:rPr>
      </w:r>
    </w:p>
    <w:p>
      <w:pPr>
        <w:pStyle w:val="Normal"/>
        <w:jc w:val="right"/>
        <w:rPr>
          <w:rFonts w:eastAsia="Calibri" w:cs="Calibri"/>
          <w:szCs w:val="22"/>
          <w:lang w:eastAsia="ru-RU"/>
        </w:rPr>
      </w:pPr>
      <w:r>
        <w:rPr>
          <w:rFonts w:eastAsia="Calibri" w:cs="Calibri"/>
          <w:szCs w:val="22"/>
          <w:lang w:eastAsia="en-US"/>
        </w:rPr>
        <w:t xml:space="preserve">Таблица 26 – </w:t>
      </w:r>
      <w:r>
        <w:rPr/>
        <w:t xml:space="preserve">Существующие и перспективные балансы </w:t>
      </w:r>
    </w:p>
    <w:p>
      <w:pPr>
        <w:pStyle w:val="Normal"/>
        <w:jc w:val="right"/>
        <w:rPr>
          <w:rFonts w:eastAsia="Calibri" w:cs="Calibri"/>
          <w:szCs w:val="22"/>
          <w:lang w:eastAsia="ru-RU"/>
        </w:rPr>
      </w:pPr>
      <w:r>
        <w:rPr/>
        <w:t>производительности водоподготовительных установок</w:t>
      </w:r>
    </w:p>
    <w:tbl>
      <w:tblPr>
        <w:tblW w:w="5000" w:type="pct"/>
        <w:jc w:val="left"/>
        <w:tblInd w:w="0" w:type="dxa"/>
        <w:tblCellMar>
          <w:top w:w="0" w:type="dxa"/>
          <w:left w:w="108" w:type="dxa"/>
          <w:bottom w:w="0" w:type="dxa"/>
          <w:right w:w="108" w:type="dxa"/>
        </w:tblCellMar>
        <w:tblLook w:val="04a0" w:noVBand="1" w:noHBand="0" w:lastColumn="0" w:firstColumn="1" w:lastRow="0" w:firstRow="1"/>
      </w:tblPr>
      <w:tblGrid>
        <w:gridCol w:w="451"/>
        <w:gridCol w:w="1627"/>
        <w:gridCol w:w="1841"/>
        <w:gridCol w:w="1253"/>
        <w:gridCol w:w="1774"/>
        <w:gridCol w:w="1432"/>
        <w:gridCol w:w="1055"/>
        <w:gridCol w:w="203"/>
      </w:tblGrid>
      <w:tr>
        <w:trPr>
          <w:tblHeader w:val="true"/>
          <w:trHeight w:val="470" w:hRule="atLeast"/>
        </w:trPr>
        <w:tc>
          <w:tcPr>
            <w:tcW w:w="451"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xml:space="preserve">№ </w:t>
            </w:r>
            <w:r>
              <w:rPr>
                <w:sz w:val="20"/>
                <w:szCs w:val="20"/>
                <w:lang w:eastAsia="ru-RU"/>
              </w:rPr>
              <w:t>п/п</w:t>
            </w:r>
          </w:p>
        </w:tc>
        <w:tc>
          <w:tcPr>
            <w:tcW w:w="1627"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Наименование котельной</w:t>
            </w:r>
          </w:p>
        </w:tc>
        <w:tc>
          <w:tcPr>
            <w:tcW w:w="1841"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Расчетный часовой расход воды для определения производительности водоподготовки, м3/ч</w:t>
            </w:r>
          </w:p>
        </w:tc>
        <w:tc>
          <w:tcPr>
            <w:tcW w:w="1253"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Расход подпиточной воды в рабочем режиме, м3/ч</w:t>
            </w:r>
          </w:p>
        </w:tc>
        <w:tc>
          <w:tcPr>
            <w:tcW w:w="1774"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Расход воды на заполнение наибольшего по диаметру секционированного участка тепловой сети, м3/ч</w:t>
            </w:r>
          </w:p>
        </w:tc>
        <w:tc>
          <w:tcPr>
            <w:tcW w:w="1432"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Максимальный часовой расход подпиточной воды, м3/ч</w:t>
            </w:r>
          </w:p>
        </w:tc>
        <w:tc>
          <w:tcPr>
            <w:tcW w:w="1055"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Расчетный часовой расход аварийной подпитки, м3/ч</w:t>
            </w:r>
          </w:p>
        </w:tc>
        <w:tc>
          <w:tcPr>
            <w:tcW w:w="203" w:type="dxa"/>
            <w:tcBorders/>
          </w:tcPr>
          <w:p>
            <w:pPr>
              <w:pStyle w:val="Normal"/>
              <w:rPr>
                <w:rFonts w:eastAsia="Calibri" w:cs="Calibri"/>
                <w:szCs w:val="22"/>
                <w:lang w:eastAsia="ru-RU"/>
              </w:rPr>
            </w:pPr>
            <w:r>
              <w:rPr>
                <w:rFonts w:eastAsia="Calibri" w:cs="Calibri"/>
                <w:szCs w:val="22"/>
                <w:lang w:eastAsia="ru-RU"/>
              </w:rPr>
            </w:r>
          </w:p>
        </w:tc>
      </w:tr>
      <w:tr>
        <w:trPr>
          <w:tblHeader w:val="true"/>
          <w:trHeight w:val="710" w:hRule="atLeast"/>
        </w:trPr>
        <w:tc>
          <w:tcPr>
            <w:tcW w:w="45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r>
          </w:p>
        </w:tc>
        <w:tc>
          <w:tcPr>
            <w:tcW w:w="162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r>
          </w:p>
        </w:tc>
        <w:tc>
          <w:tcPr>
            <w:tcW w:w="184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r>
          </w:p>
        </w:tc>
        <w:tc>
          <w:tcPr>
            <w:tcW w:w="125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r>
          </w:p>
        </w:tc>
        <w:tc>
          <w:tcPr>
            <w:tcW w:w="177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r>
          </w:p>
        </w:tc>
        <w:tc>
          <w:tcPr>
            <w:tcW w:w="143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r>
          </w:p>
        </w:tc>
        <w:tc>
          <w:tcPr>
            <w:tcW w:w="105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r>
          </w:p>
        </w:tc>
        <w:tc>
          <w:tcPr>
            <w:tcW w:w="203" w:type="dxa"/>
            <w:tcBorders/>
          </w:tcPr>
          <w:p>
            <w:pPr>
              <w:pStyle w:val="Normal"/>
              <w:rPr>
                <w:rFonts w:eastAsia="Calibri" w:cs="Calibri"/>
                <w:szCs w:val="22"/>
                <w:lang w:eastAsia="ru-RU"/>
              </w:rPr>
            </w:pPr>
            <w:r>
              <w:rPr>
                <w:rFonts w:eastAsia="Calibri" w:cs="Calibri"/>
                <w:szCs w:val="22"/>
                <w:lang w:eastAsia="ru-RU"/>
              </w:rPr>
            </w:r>
          </w:p>
        </w:tc>
      </w:tr>
      <w:tr>
        <w:trPr>
          <w:trHeight w:val="20" w:hRule="atLeast"/>
        </w:trPr>
        <w:tc>
          <w:tcPr>
            <w:tcW w:w="9433" w:type="dxa"/>
            <w:gridSpan w:val="7"/>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Существующее положение</w:t>
            </w:r>
          </w:p>
        </w:tc>
        <w:tc>
          <w:tcPr>
            <w:tcW w:w="203" w:type="dxa"/>
            <w:tcBorders/>
          </w:tcPr>
          <w:p>
            <w:pPr>
              <w:pStyle w:val="Normal"/>
              <w:rPr>
                <w:rFonts w:eastAsia="Calibri" w:cs="Calibri"/>
                <w:szCs w:val="22"/>
                <w:lang w:eastAsia="ru-RU"/>
              </w:rPr>
            </w:pPr>
            <w:r>
              <w:rPr>
                <w:rFonts w:eastAsia="Calibri" w:cs="Calibri"/>
                <w:szCs w:val="22"/>
                <w:lang w:eastAsia="ru-RU"/>
              </w:rPr>
            </w:r>
          </w:p>
        </w:tc>
      </w:tr>
      <w:tr>
        <w:trPr>
          <w:trHeight w:val="20" w:hRule="atLeast"/>
        </w:trPr>
        <w:tc>
          <w:tcPr>
            <w:tcW w:w="4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w:t>
            </w:r>
          </w:p>
        </w:tc>
        <w:tc>
          <w:tcPr>
            <w:tcW w:w="162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 xml:space="preserve">котельная № 1, </w:t>
            </w:r>
          </w:p>
          <w:p>
            <w:pPr>
              <w:pStyle w:val="Normal"/>
              <w:jc w:val="center"/>
              <w:rPr>
                <w:sz w:val="20"/>
                <w:szCs w:val="20"/>
                <w:lang w:eastAsia="ru-RU"/>
              </w:rPr>
            </w:pPr>
            <w:r>
              <w:rPr>
                <w:sz w:val="20"/>
                <w:szCs w:val="20"/>
              </w:rPr>
              <w:t>пгт.Октябрьское, ул.Сенькина, 46б</w:t>
            </w:r>
          </w:p>
        </w:tc>
        <w:tc>
          <w:tcPr>
            <w:tcW w:w="184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4,74</w:t>
            </w:r>
          </w:p>
        </w:tc>
        <w:tc>
          <w:tcPr>
            <w:tcW w:w="12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1,58</w:t>
            </w:r>
          </w:p>
        </w:tc>
        <w:tc>
          <w:tcPr>
            <w:tcW w:w="17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25</w:t>
            </w:r>
          </w:p>
        </w:tc>
        <w:tc>
          <w:tcPr>
            <w:tcW w:w="143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26,58</w:t>
            </w:r>
          </w:p>
        </w:tc>
        <w:tc>
          <w:tcPr>
            <w:tcW w:w="105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12,6</w:t>
            </w:r>
          </w:p>
        </w:tc>
        <w:tc>
          <w:tcPr>
            <w:tcW w:w="203" w:type="dxa"/>
            <w:tcBorders/>
          </w:tcPr>
          <w:p>
            <w:pPr>
              <w:pStyle w:val="Normal"/>
              <w:rPr>
                <w:rFonts w:eastAsia="Calibri" w:cs="Calibri"/>
                <w:szCs w:val="22"/>
                <w:lang w:eastAsia="ru-RU"/>
              </w:rPr>
            </w:pPr>
            <w:r>
              <w:rPr>
                <w:rFonts w:eastAsia="Calibri" w:cs="Calibri"/>
                <w:szCs w:val="22"/>
                <w:lang w:eastAsia="ru-RU"/>
              </w:rPr>
            </w:r>
          </w:p>
        </w:tc>
      </w:tr>
      <w:tr>
        <w:trPr>
          <w:trHeight w:val="20" w:hRule="atLeast"/>
        </w:trPr>
        <w:tc>
          <w:tcPr>
            <w:tcW w:w="4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2</w:t>
            </w:r>
          </w:p>
        </w:tc>
        <w:tc>
          <w:tcPr>
            <w:tcW w:w="162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 xml:space="preserve">котельная № 2, </w:t>
            </w:r>
          </w:p>
          <w:p>
            <w:pPr>
              <w:pStyle w:val="Normal"/>
              <w:jc w:val="center"/>
              <w:rPr>
                <w:sz w:val="20"/>
                <w:szCs w:val="20"/>
                <w:lang w:eastAsia="ru-RU"/>
              </w:rPr>
            </w:pPr>
            <w:r>
              <w:rPr>
                <w:sz w:val="20"/>
                <w:szCs w:val="20"/>
              </w:rPr>
              <w:t>пгт.Октябрьское,</w:t>
            </w:r>
          </w:p>
          <w:p>
            <w:pPr>
              <w:pStyle w:val="Normal"/>
              <w:jc w:val="center"/>
              <w:rPr>
                <w:sz w:val="20"/>
                <w:szCs w:val="20"/>
                <w:lang w:eastAsia="ru-RU"/>
              </w:rPr>
            </w:pPr>
            <w:r>
              <w:rPr>
                <w:sz w:val="20"/>
                <w:szCs w:val="20"/>
              </w:rPr>
              <w:t xml:space="preserve"> </w:t>
            </w:r>
            <w:r>
              <w:rPr>
                <w:sz w:val="20"/>
                <w:szCs w:val="20"/>
              </w:rPr>
              <w:t>ул.Пионерская, 17б</w:t>
            </w:r>
          </w:p>
        </w:tc>
        <w:tc>
          <w:tcPr>
            <w:tcW w:w="184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3,19</w:t>
            </w:r>
          </w:p>
        </w:tc>
        <w:tc>
          <w:tcPr>
            <w:tcW w:w="12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1,06</w:t>
            </w:r>
          </w:p>
        </w:tc>
        <w:tc>
          <w:tcPr>
            <w:tcW w:w="17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25</w:t>
            </w:r>
          </w:p>
        </w:tc>
        <w:tc>
          <w:tcPr>
            <w:tcW w:w="143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26,06</w:t>
            </w:r>
          </w:p>
        </w:tc>
        <w:tc>
          <w:tcPr>
            <w:tcW w:w="105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8,5</w:t>
            </w:r>
          </w:p>
        </w:tc>
        <w:tc>
          <w:tcPr>
            <w:tcW w:w="203" w:type="dxa"/>
            <w:tcBorders/>
          </w:tcPr>
          <w:p>
            <w:pPr>
              <w:pStyle w:val="Normal"/>
              <w:rPr>
                <w:rFonts w:eastAsia="Calibri" w:cs="Calibri"/>
                <w:szCs w:val="22"/>
                <w:lang w:eastAsia="ru-RU"/>
              </w:rPr>
            </w:pPr>
            <w:r>
              <w:rPr>
                <w:rFonts w:eastAsia="Calibri" w:cs="Calibri"/>
                <w:szCs w:val="22"/>
                <w:lang w:eastAsia="ru-RU"/>
              </w:rPr>
            </w:r>
          </w:p>
        </w:tc>
      </w:tr>
      <w:tr>
        <w:trPr>
          <w:trHeight w:val="20" w:hRule="atLeast"/>
        </w:trPr>
        <w:tc>
          <w:tcPr>
            <w:tcW w:w="4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3</w:t>
            </w:r>
          </w:p>
        </w:tc>
        <w:tc>
          <w:tcPr>
            <w:tcW w:w="162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rPr>
              <w:t xml:space="preserve">котельная № 3, </w:t>
            </w:r>
          </w:p>
          <w:p>
            <w:pPr>
              <w:pStyle w:val="Normal"/>
              <w:jc w:val="center"/>
              <w:rPr>
                <w:sz w:val="20"/>
                <w:szCs w:val="20"/>
              </w:rPr>
            </w:pPr>
            <w:r>
              <w:rPr>
                <w:sz w:val="20"/>
                <w:szCs w:val="20"/>
              </w:rPr>
              <w:t xml:space="preserve">пгт.Октябрьское, </w:t>
            </w:r>
          </w:p>
          <w:p>
            <w:pPr>
              <w:pStyle w:val="Normal"/>
              <w:jc w:val="center"/>
              <w:rPr>
                <w:sz w:val="20"/>
                <w:szCs w:val="20"/>
              </w:rPr>
            </w:pPr>
            <w:r>
              <w:rPr>
                <w:sz w:val="20"/>
                <w:szCs w:val="20"/>
              </w:rPr>
              <w:t>ул.Чапаева, 6б</w:t>
            </w:r>
          </w:p>
        </w:tc>
        <w:tc>
          <w:tcPr>
            <w:tcW w:w="184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rPr>
              <w:t>2,95</w:t>
            </w:r>
          </w:p>
        </w:tc>
        <w:tc>
          <w:tcPr>
            <w:tcW w:w="12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rPr>
              <w:t>0,98</w:t>
            </w:r>
          </w:p>
        </w:tc>
        <w:tc>
          <w:tcPr>
            <w:tcW w:w="17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rPr>
              <w:t>25</w:t>
            </w:r>
          </w:p>
        </w:tc>
        <w:tc>
          <w:tcPr>
            <w:tcW w:w="143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rPr>
              <w:t>25,98</w:t>
            </w:r>
          </w:p>
        </w:tc>
        <w:tc>
          <w:tcPr>
            <w:tcW w:w="105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rPr>
              <w:t>7,9</w:t>
            </w:r>
          </w:p>
        </w:tc>
        <w:tc>
          <w:tcPr>
            <w:tcW w:w="203" w:type="dxa"/>
            <w:tcBorders/>
          </w:tcPr>
          <w:p>
            <w:pPr>
              <w:pStyle w:val="Normal"/>
              <w:rPr>
                <w:rFonts w:eastAsia="Calibri" w:cs="Calibri"/>
                <w:szCs w:val="22"/>
                <w:lang w:eastAsia="ru-RU"/>
              </w:rPr>
            </w:pPr>
            <w:r>
              <w:rPr>
                <w:rFonts w:eastAsia="Calibri" w:cs="Calibri"/>
                <w:szCs w:val="22"/>
                <w:lang w:eastAsia="ru-RU"/>
              </w:rPr>
            </w:r>
          </w:p>
        </w:tc>
      </w:tr>
      <w:tr>
        <w:trPr>
          <w:trHeight w:val="20" w:hRule="atLeast"/>
        </w:trPr>
        <w:tc>
          <w:tcPr>
            <w:tcW w:w="4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4</w:t>
            </w:r>
          </w:p>
        </w:tc>
        <w:tc>
          <w:tcPr>
            <w:tcW w:w="162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rPr>
              <w:t xml:space="preserve">котельная № 6, </w:t>
            </w:r>
          </w:p>
          <w:p>
            <w:pPr>
              <w:pStyle w:val="Normal"/>
              <w:jc w:val="center"/>
              <w:rPr>
                <w:sz w:val="20"/>
                <w:szCs w:val="20"/>
              </w:rPr>
            </w:pPr>
            <w:r>
              <w:rPr>
                <w:sz w:val="20"/>
                <w:szCs w:val="20"/>
              </w:rPr>
              <w:t xml:space="preserve">пгт.Октябрьское, </w:t>
            </w:r>
          </w:p>
          <w:p>
            <w:pPr>
              <w:pStyle w:val="Normal"/>
              <w:jc w:val="center"/>
              <w:rPr>
                <w:sz w:val="20"/>
                <w:szCs w:val="20"/>
              </w:rPr>
            </w:pPr>
            <w:r>
              <w:rPr>
                <w:sz w:val="20"/>
                <w:szCs w:val="20"/>
              </w:rPr>
              <w:t>ул.Дзержинского, 2б</w:t>
            </w:r>
          </w:p>
        </w:tc>
        <w:tc>
          <w:tcPr>
            <w:tcW w:w="184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rPr>
              <w:t>1,85</w:t>
            </w:r>
          </w:p>
        </w:tc>
        <w:tc>
          <w:tcPr>
            <w:tcW w:w="12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rPr>
              <w:t>0,62</w:t>
            </w:r>
          </w:p>
        </w:tc>
        <w:tc>
          <w:tcPr>
            <w:tcW w:w="17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rPr>
              <w:t>15</w:t>
            </w:r>
          </w:p>
        </w:tc>
        <w:tc>
          <w:tcPr>
            <w:tcW w:w="143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rPr>
              <w:t>15,62</w:t>
            </w:r>
          </w:p>
        </w:tc>
        <w:tc>
          <w:tcPr>
            <w:tcW w:w="105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rPr>
              <w:t>4,9</w:t>
            </w:r>
          </w:p>
        </w:tc>
        <w:tc>
          <w:tcPr>
            <w:tcW w:w="203" w:type="dxa"/>
            <w:tcBorders/>
          </w:tcPr>
          <w:p>
            <w:pPr>
              <w:pStyle w:val="Normal"/>
              <w:rPr>
                <w:rFonts w:eastAsia="Calibri" w:cs="Calibri"/>
                <w:szCs w:val="22"/>
                <w:lang w:eastAsia="ru-RU"/>
              </w:rPr>
            </w:pPr>
            <w:r>
              <w:rPr>
                <w:rFonts w:eastAsia="Calibri" w:cs="Calibri"/>
                <w:szCs w:val="22"/>
                <w:lang w:eastAsia="ru-RU"/>
              </w:rPr>
            </w:r>
          </w:p>
        </w:tc>
      </w:tr>
      <w:tr>
        <w:trPr>
          <w:trHeight w:val="20" w:hRule="atLeast"/>
        </w:trPr>
        <w:tc>
          <w:tcPr>
            <w:tcW w:w="4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5</w:t>
            </w:r>
          </w:p>
        </w:tc>
        <w:tc>
          <w:tcPr>
            <w:tcW w:w="162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rPr>
              <w:t>котельная № 7,</w:t>
            </w:r>
          </w:p>
          <w:p>
            <w:pPr>
              <w:pStyle w:val="Normal"/>
              <w:jc w:val="center"/>
              <w:rPr>
                <w:sz w:val="20"/>
                <w:szCs w:val="20"/>
              </w:rPr>
            </w:pPr>
            <w:r>
              <w:rPr>
                <w:sz w:val="20"/>
                <w:szCs w:val="20"/>
              </w:rPr>
              <w:t xml:space="preserve">пгт.Октябрьское, </w:t>
            </w:r>
          </w:p>
          <w:p>
            <w:pPr>
              <w:pStyle w:val="Normal"/>
              <w:jc w:val="center"/>
              <w:rPr>
                <w:sz w:val="20"/>
                <w:szCs w:val="20"/>
              </w:rPr>
            </w:pPr>
            <w:r>
              <w:rPr>
                <w:sz w:val="20"/>
                <w:szCs w:val="20"/>
              </w:rPr>
              <w:t>ул.Медицинская, 3Б</w:t>
            </w:r>
          </w:p>
        </w:tc>
        <w:tc>
          <w:tcPr>
            <w:tcW w:w="184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rPr>
              <w:t>0,49</w:t>
            </w:r>
          </w:p>
        </w:tc>
        <w:tc>
          <w:tcPr>
            <w:tcW w:w="12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rPr>
              <w:t>0,16</w:t>
            </w:r>
          </w:p>
        </w:tc>
        <w:tc>
          <w:tcPr>
            <w:tcW w:w="17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rPr>
              <w:t>25</w:t>
            </w:r>
          </w:p>
        </w:tc>
        <w:tc>
          <w:tcPr>
            <w:tcW w:w="143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rPr>
              <w:t>25,16</w:t>
            </w:r>
          </w:p>
        </w:tc>
        <w:tc>
          <w:tcPr>
            <w:tcW w:w="105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rPr>
              <w:t>1,3</w:t>
            </w:r>
          </w:p>
        </w:tc>
        <w:tc>
          <w:tcPr>
            <w:tcW w:w="203" w:type="dxa"/>
            <w:tcBorders/>
          </w:tcPr>
          <w:p>
            <w:pPr>
              <w:pStyle w:val="Normal"/>
              <w:rPr>
                <w:rFonts w:eastAsia="Calibri" w:cs="Calibri"/>
                <w:szCs w:val="22"/>
                <w:lang w:eastAsia="ru-RU"/>
              </w:rPr>
            </w:pPr>
            <w:r>
              <w:rPr>
                <w:rFonts w:eastAsia="Calibri" w:cs="Calibri"/>
                <w:szCs w:val="22"/>
                <w:lang w:eastAsia="ru-RU"/>
              </w:rPr>
            </w:r>
          </w:p>
        </w:tc>
      </w:tr>
      <w:tr>
        <w:trPr>
          <w:trHeight w:val="20" w:hRule="atLeast"/>
        </w:trPr>
        <w:tc>
          <w:tcPr>
            <w:tcW w:w="4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6</w:t>
            </w:r>
          </w:p>
        </w:tc>
        <w:tc>
          <w:tcPr>
            <w:tcW w:w="162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rPr>
              <w:t xml:space="preserve">котельная № 12, </w:t>
            </w:r>
          </w:p>
          <w:p>
            <w:pPr>
              <w:pStyle w:val="Normal"/>
              <w:jc w:val="center"/>
              <w:rPr>
                <w:sz w:val="20"/>
                <w:szCs w:val="20"/>
              </w:rPr>
            </w:pPr>
            <w:r>
              <w:rPr>
                <w:sz w:val="20"/>
                <w:szCs w:val="20"/>
              </w:rPr>
              <w:t xml:space="preserve">пгт.Октябрьское, </w:t>
            </w:r>
          </w:p>
          <w:p>
            <w:pPr>
              <w:pStyle w:val="Normal"/>
              <w:jc w:val="center"/>
              <w:rPr>
                <w:sz w:val="20"/>
                <w:szCs w:val="20"/>
              </w:rPr>
            </w:pPr>
            <w:r>
              <w:rPr>
                <w:sz w:val="20"/>
                <w:szCs w:val="20"/>
              </w:rPr>
              <w:t>ул.Медицинская, 3к</w:t>
            </w:r>
          </w:p>
        </w:tc>
        <w:tc>
          <w:tcPr>
            <w:tcW w:w="184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rPr>
              <w:t>1,51</w:t>
            </w:r>
          </w:p>
        </w:tc>
        <w:tc>
          <w:tcPr>
            <w:tcW w:w="12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rPr>
              <w:t>0,50</w:t>
            </w:r>
          </w:p>
        </w:tc>
        <w:tc>
          <w:tcPr>
            <w:tcW w:w="17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rPr>
              <w:t>25</w:t>
            </w:r>
          </w:p>
        </w:tc>
        <w:tc>
          <w:tcPr>
            <w:tcW w:w="143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rPr>
              <w:t>25,50</w:t>
            </w:r>
          </w:p>
        </w:tc>
        <w:tc>
          <w:tcPr>
            <w:tcW w:w="105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rPr>
              <w:t>4,0</w:t>
            </w:r>
          </w:p>
        </w:tc>
        <w:tc>
          <w:tcPr>
            <w:tcW w:w="203" w:type="dxa"/>
            <w:tcBorders/>
          </w:tcPr>
          <w:p>
            <w:pPr>
              <w:pStyle w:val="Normal"/>
              <w:rPr>
                <w:rFonts w:eastAsia="Calibri" w:cs="Calibri"/>
                <w:szCs w:val="22"/>
                <w:lang w:eastAsia="ru-RU"/>
              </w:rPr>
            </w:pPr>
            <w:r>
              <w:rPr>
                <w:rFonts w:eastAsia="Calibri" w:cs="Calibri"/>
                <w:szCs w:val="22"/>
                <w:lang w:eastAsia="ru-RU"/>
              </w:rPr>
            </w:r>
          </w:p>
        </w:tc>
      </w:tr>
      <w:tr>
        <w:trPr>
          <w:trHeight w:val="20" w:hRule="atLeast"/>
        </w:trPr>
        <w:tc>
          <w:tcPr>
            <w:tcW w:w="4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7</w:t>
            </w:r>
          </w:p>
        </w:tc>
        <w:tc>
          <w:tcPr>
            <w:tcW w:w="162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rPr>
              <w:t xml:space="preserve">котельная № 8, </w:t>
            </w:r>
          </w:p>
          <w:p>
            <w:pPr>
              <w:pStyle w:val="Normal"/>
              <w:jc w:val="center"/>
              <w:rPr>
                <w:sz w:val="20"/>
                <w:szCs w:val="20"/>
              </w:rPr>
            </w:pPr>
            <w:r>
              <w:rPr>
                <w:sz w:val="20"/>
                <w:szCs w:val="20"/>
              </w:rPr>
              <w:t>пгт.Октябрьское, ул.50 лет Победы, 38А</w:t>
            </w:r>
          </w:p>
        </w:tc>
        <w:tc>
          <w:tcPr>
            <w:tcW w:w="184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rPr>
              <w:t>0,09</w:t>
            </w:r>
          </w:p>
        </w:tc>
        <w:tc>
          <w:tcPr>
            <w:tcW w:w="12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rPr>
              <w:t>0,03</w:t>
            </w:r>
          </w:p>
        </w:tc>
        <w:tc>
          <w:tcPr>
            <w:tcW w:w="17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rPr>
              <w:t>15</w:t>
            </w:r>
          </w:p>
        </w:tc>
        <w:tc>
          <w:tcPr>
            <w:tcW w:w="143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rPr>
              <w:t>15,03</w:t>
            </w:r>
          </w:p>
        </w:tc>
        <w:tc>
          <w:tcPr>
            <w:tcW w:w="105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rPr>
              <w:t>0,2</w:t>
            </w:r>
          </w:p>
        </w:tc>
        <w:tc>
          <w:tcPr>
            <w:tcW w:w="203" w:type="dxa"/>
            <w:tcBorders/>
          </w:tcPr>
          <w:p>
            <w:pPr>
              <w:pStyle w:val="Normal"/>
              <w:rPr>
                <w:rFonts w:eastAsia="Calibri" w:cs="Calibri"/>
                <w:szCs w:val="22"/>
                <w:lang w:eastAsia="ru-RU"/>
              </w:rPr>
            </w:pPr>
            <w:r>
              <w:rPr>
                <w:rFonts w:eastAsia="Calibri" w:cs="Calibri"/>
                <w:szCs w:val="22"/>
                <w:lang w:eastAsia="ru-RU"/>
              </w:rPr>
            </w:r>
          </w:p>
        </w:tc>
      </w:tr>
      <w:tr>
        <w:trPr>
          <w:trHeight w:val="20" w:hRule="atLeast"/>
        </w:trPr>
        <w:tc>
          <w:tcPr>
            <w:tcW w:w="9433" w:type="dxa"/>
            <w:gridSpan w:val="7"/>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lang w:eastAsia="ru-RU"/>
              </w:rPr>
              <w:t>Перспективное положение (2035 г.)</w:t>
            </w:r>
          </w:p>
        </w:tc>
        <w:tc>
          <w:tcPr>
            <w:tcW w:w="203" w:type="dxa"/>
            <w:tcBorders/>
          </w:tcPr>
          <w:p>
            <w:pPr>
              <w:pStyle w:val="Normal"/>
              <w:rPr>
                <w:rFonts w:eastAsia="Calibri" w:cs="Calibri"/>
                <w:szCs w:val="22"/>
                <w:lang w:eastAsia="ru-RU"/>
              </w:rPr>
            </w:pPr>
            <w:r>
              <w:rPr>
                <w:rFonts w:eastAsia="Calibri" w:cs="Calibri"/>
                <w:szCs w:val="22"/>
                <w:lang w:eastAsia="ru-RU"/>
              </w:rPr>
            </w:r>
          </w:p>
        </w:tc>
      </w:tr>
      <w:tr>
        <w:trPr>
          <w:trHeight w:val="20" w:hRule="atLeast"/>
        </w:trPr>
        <w:tc>
          <w:tcPr>
            <w:tcW w:w="4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w:t>
            </w:r>
          </w:p>
        </w:tc>
        <w:tc>
          <w:tcPr>
            <w:tcW w:w="162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rPr>
              <w:t xml:space="preserve">котельная № 1, </w:t>
            </w:r>
          </w:p>
          <w:p>
            <w:pPr>
              <w:pStyle w:val="Normal"/>
              <w:jc w:val="center"/>
              <w:rPr>
                <w:sz w:val="20"/>
                <w:szCs w:val="20"/>
              </w:rPr>
            </w:pPr>
            <w:r>
              <w:rPr>
                <w:sz w:val="20"/>
                <w:szCs w:val="20"/>
              </w:rPr>
              <w:t>пгт.Октябрьское, ул.Сенькина, 46б</w:t>
            </w:r>
          </w:p>
        </w:tc>
        <w:tc>
          <w:tcPr>
            <w:tcW w:w="1841" w:type="dxa"/>
            <w:tcBorders>
              <w:bottom w:val="single" w:sz="8" w:space="0" w:color="000000"/>
              <w:right w:val="single" w:sz="8" w:space="0" w:color="000000"/>
            </w:tcBorders>
            <w:shd w:color="auto" w:fill="auto" w:val="clear"/>
            <w:vAlign w:val="center"/>
          </w:tcPr>
          <w:p>
            <w:pPr>
              <w:pStyle w:val="Normal"/>
              <w:jc w:val="center"/>
              <w:rPr>
                <w:sz w:val="20"/>
                <w:szCs w:val="20"/>
              </w:rPr>
            </w:pPr>
            <w:r>
              <w:rPr>
                <w:sz w:val="20"/>
                <w:szCs w:val="20"/>
              </w:rPr>
              <w:t>7,69</w:t>
            </w:r>
          </w:p>
        </w:tc>
        <w:tc>
          <w:tcPr>
            <w:tcW w:w="1253" w:type="dxa"/>
            <w:tcBorders>
              <w:bottom w:val="single" w:sz="8" w:space="0" w:color="000000"/>
              <w:right w:val="single" w:sz="8" w:space="0" w:color="000000"/>
            </w:tcBorders>
            <w:shd w:color="auto" w:fill="auto" w:val="clear"/>
            <w:vAlign w:val="center"/>
          </w:tcPr>
          <w:p>
            <w:pPr>
              <w:pStyle w:val="Normal"/>
              <w:jc w:val="center"/>
              <w:rPr>
                <w:sz w:val="20"/>
                <w:szCs w:val="20"/>
              </w:rPr>
            </w:pPr>
            <w:r>
              <w:rPr>
                <w:sz w:val="20"/>
                <w:szCs w:val="20"/>
              </w:rPr>
              <w:t>2,56</w:t>
            </w:r>
          </w:p>
        </w:tc>
        <w:tc>
          <w:tcPr>
            <w:tcW w:w="1774" w:type="dxa"/>
            <w:tcBorders>
              <w:bottom w:val="single" w:sz="8" w:space="0" w:color="000000"/>
              <w:right w:val="single" w:sz="8" w:space="0" w:color="000000"/>
            </w:tcBorders>
            <w:shd w:color="auto" w:fill="auto" w:val="clear"/>
            <w:vAlign w:val="center"/>
          </w:tcPr>
          <w:p>
            <w:pPr>
              <w:pStyle w:val="Normal"/>
              <w:jc w:val="center"/>
              <w:rPr>
                <w:sz w:val="20"/>
                <w:szCs w:val="20"/>
              </w:rPr>
            </w:pPr>
            <w:r>
              <w:rPr>
                <w:sz w:val="20"/>
                <w:szCs w:val="20"/>
              </w:rPr>
              <w:t>25</w:t>
            </w:r>
          </w:p>
        </w:tc>
        <w:tc>
          <w:tcPr>
            <w:tcW w:w="1432" w:type="dxa"/>
            <w:tcBorders>
              <w:bottom w:val="single" w:sz="8" w:space="0" w:color="000000"/>
              <w:right w:val="single" w:sz="8" w:space="0" w:color="000000"/>
            </w:tcBorders>
            <w:shd w:color="auto" w:fill="auto" w:val="clear"/>
            <w:vAlign w:val="center"/>
          </w:tcPr>
          <w:p>
            <w:pPr>
              <w:pStyle w:val="Normal"/>
              <w:jc w:val="center"/>
              <w:rPr>
                <w:sz w:val="20"/>
                <w:szCs w:val="20"/>
              </w:rPr>
            </w:pPr>
            <w:r>
              <w:rPr>
                <w:sz w:val="20"/>
                <w:szCs w:val="20"/>
              </w:rPr>
              <w:t>27,56</w:t>
            </w:r>
          </w:p>
        </w:tc>
        <w:tc>
          <w:tcPr>
            <w:tcW w:w="1055" w:type="dxa"/>
            <w:tcBorders>
              <w:bottom w:val="single" w:sz="8" w:space="0" w:color="000000"/>
              <w:right w:val="single" w:sz="8" w:space="0" w:color="000000"/>
            </w:tcBorders>
            <w:shd w:color="auto" w:fill="auto" w:val="clear"/>
            <w:vAlign w:val="center"/>
          </w:tcPr>
          <w:p>
            <w:pPr>
              <w:pStyle w:val="Normal"/>
              <w:jc w:val="center"/>
              <w:rPr>
                <w:sz w:val="20"/>
                <w:szCs w:val="20"/>
              </w:rPr>
            </w:pPr>
            <w:r>
              <w:rPr>
                <w:sz w:val="20"/>
                <w:szCs w:val="20"/>
              </w:rPr>
              <w:t>20,5</w:t>
            </w:r>
          </w:p>
        </w:tc>
        <w:tc>
          <w:tcPr>
            <w:tcW w:w="203" w:type="dxa"/>
            <w:tcBorders/>
          </w:tcPr>
          <w:p>
            <w:pPr>
              <w:pStyle w:val="Normal"/>
              <w:rPr>
                <w:rFonts w:eastAsia="Calibri" w:cs="Calibri"/>
                <w:szCs w:val="22"/>
                <w:lang w:eastAsia="ru-RU"/>
              </w:rPr>
            </w:pPr>
            <w:r>
              <w:rPr>
                <w:rFonts w:eastAsia="Calibri" w:cs="Calibri"/>
                <w:szCs w:val="22"/>
                <w:lang w:eastAsia="ru-RU"/>
              </w:rPr>
            </w:r>
          </w:p>
        </w:tc>
      </w:tr>
      <w:tr>
        <w:trPr>
          <w:trHeight w:val="20" w:hRule="atLeast"/>
        </w:trPr>
        <w:tc>
          <w:tcPr>
            <w:tcW w:w="4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2</w:t>
            </w:r>
          </w:p>
        </w:tc>
        <w:tc>
          <w:tcPr>
            <w:tcW w:w="162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rPr>
              <w:t xml:space="preserve">котельная № 2, </w:t>
            </w:r>
          </w:p>
          <w:p>
            <w:pPr>
              <w:pStyle w:val="Normal"/>
              <w:jc w:val="center"/>
              <w:rPr>
                <w:sz w:val="20"/>
                <w:szCs w:val="20"/>
              </w:rPr>
            </w:pPr>
            <w:r>
              <w:rPr>
                <w:sz w:val="20"/>
                <w:szCs w:val="20"/>
              </w:rPr>
              <w:t>пгт.Октябрьское, ул.Пионерская, 17б</w:t>
            </w:r>
          </w:p>
        </w:tc>
        <w:tc>
          <w:tcPr>
            <w:tcW w:w="7355" w:type="dxa"/>
            <w:gridSpan w:val="5"/>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xml:space="preserve">Строительство котельной по ул.Дзержинского, 14 в пгт.Октябрьское. </w:t>
            </w:r>
          </w:p>
          <w:p>
            <w:pPr>
              <w:pStyle w:val="Normal"/>
              <w:jc w:val="center"/>
              <w:rPr>
                <w:sz w:val="20"/>
                <w:szCs w:val="20"/>
                <w:lang w:eastAsia="ru-RU"/>
              </w:rPr>
            </w:pPr>
            <w:r>
              <w:rPr>
                <w:sz w:val="20"/>
                <w:szCs w:val="20"/>
                <w:lang w:eastAsia="ru-RU"/>
              </w:rPr>
              <w:t xml:space="preserve">Вывод из эксплуатации котельной № 2 по ул.Пионерская, 17Б и котельной № 6 </w:t>
            </w:r>
          </w:p>
          <w:p>
            <w:pPr>
              <w:pStyle w:val="Normal"/>
              <w:jc w:val="center"/>
              <w:rPr>
                <w:sz w:val="20"/>
                <w:szCs w:val="20"/>
                <w:lang w:eastAsia="ru-RU"/>
              </w:rPr>
            </w:pPr>
            <w:r>
              <w:rPr>
                <w:sz w:val="20"/>
                <w:szCs w:val="20"/>
                <w:lang w:eastAsia="ru-RU"/>
              </w:rPr>
              <w:t xml:space="preserve">по ул.Дзержинского, 2Б с переключением нагрузки на новую котельную </w:t>
            </w:r>
          </w:p>
          <w:p>
            <w:pPr>
              <w:pStyle w:val="Normal"/>
              <w:jc w:val="center"/>
              <w:rPr>
                <w:sz w:val="20"/>
                <w:szCs w:val="20"/>
              </w:rPr>
            </w:pPr>
            <w:r>
              <w:rPr>
                <w:sz w:val="20"/>
                <w:szCs w:val="20"/>
                <w:lang w:eastAsia="ru-RU"/>
              </w:rPr>
              <w:t>по ул.Дзержинского, 14</w:t>
            </w:r>
          </w:p>
        </w:tc>
        <w:tc>
          <w:tcPr>
            <w:tcW w:w="203" w:type="dxa"/>
            <w:tcBorders/>
          </w:tcPr>
          <w:p>
            <w:pPr>
              <w:pStyle w:val="Normal"/>
              <w:rPr>
                <w:rFonts w:eastAsia="Calibri" w:cs="Calibri"/>
                <w:szCs w:val="22"/>
                <w:lang w:eastAsia="ru-RU"/>
              </w:rPr>
            </w:pPr>
            <w:r>
              <w:rPr>
                <w:rFonts w:eastAsia="Calibri" w:cs="Calibri"/>
                <w:szCs w:val="22"/>
                <w:lang w:eastAsia="ru-RU"/>
              </w:rPr>
            </w:r>
          </w:p>
        </w:tc>
      </w:tr>
      <w:tr>
        <w:trPr>
          <w:trHeight w:val="20" w:hRule="atLeast"/>
        </w:trPr>
        <w:tc>
          <w:tcPr>
            <w:tcW w:w="4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3</w:t>
            </w:r>
          </w:p>
        </w:tc>
        <w:tc>
          <w:tcPr>
            <w:tcW w:w="162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rPr>
              <w:t xml:space="preserve">котельная № 3, </w:t>
            </w:r>
          </w:p>
          <w:p>
            <w:pPr>
              <w:pStyle w:val="Normal"/>
              <w:jc w:val="center"/>
              <w:rPr>
                <w:sz w:val="20"/>
                <w:szCs w:val="20"/>
              </w:rPr>
            </w:pPr>
            <w:r>
              <w:rPr>
                <w:sz w:val="20"/>
                <w:szCs w:val="20"/>
              </w:rPr>
              <w:t>пгт.Октябрьское, ул.Чапаева, 6б</w:t>
            </w:r>
          </w:p>
        </w:tc>
        <w:tc>
          <w:tcPr>
            <w:tcW w:w="7355" w:type="dxa"/>
            <w:gridSpan w:val="5"/>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xml:space="preserve">Вывод из эксплуатации котельной № 3 по ул.Чапаева, 6Б с переключением нагрузки </w:t>
            </w:r>
          </w:p>
          <w:p>
            <w:pPr>
              <w:pStyle w:val="Normal"/>
              <w:jc w:val="center"/>
              <w:rPr>
                <w:sz w:val="20"/>
                <w:szCs w:val="20"/>
              </w:rPr>
            </w:pPr>
            <w:r>
              <w:rPr>
                <w:sz w:val="20"/>
                <w:szCs w:val="20"/>
                <w:lang w:eastAsia="ru-RU"/>
              </w:rPr>
              <w:t>на котельную № 1 по ул.Сенькина, 46б</w:t>
            </w:r>
          </w:p>
        </w:tc>
        <w:tc>
          <w:tcPr>
            <w:tcW w:w="203" w:type="dxa"/>
            <w:tcBorders/>
          </w:tcPr>
          <w:p>
            <w:pPr>
              <w:pStyle w:val="Normal"/>
              <w:rPr>
                <w:rFonts w:eastAsia="Calibri" w:cs="Calibri"/>
                <w:szCs w:val="22"/>
                <w:lang w:eastAsia="ru-RU"/>
              </w:rPr>
            </w:pPr>
            <w:r>
              <w:rPr>
                <w:rFonts w:eastAsia="Calibri" w:cs="Calibri"/>
                <w:szCs w:val="22"/>
                <w:lang w:eastAsia="ru-RU"/>
              </w:rPr>
            </w:r>
          </w:p>
        </w:tc>
      </w:tr>
      <w:tr>
        <w:trPr>
          <w:trHeight w:val="20" w:hRule="atLeast"/>
        </w:trPr>
        <w:tc>
          <w:tcPr>
            <w:tcW w:w="4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4</w:t>
            </w:r>
          </w:p>
        </w:tc>
        <w:tc>
          <w:tcPr>
            <w:tcW w:w="162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rPr>
              <w:t xml:space="preserve">котельная № 6, </w:t>
            </w:r>
          </w:p>
          <w:p>
            <w:pPr>
              <w:pStyle w:val="Normal"/>
              <w:jc w:val="center"/>
              <w:rPr>
                <w:sz w:val="20"/>
                <w:szCs w:val="20"/>
              </w:rPr>
            </w:pPr>
            <w:r>
              <w:rPr>
                <w:sz w:val="20"/>
                <w:szCs w:val="20"/>
              </w:rPr>
              <w:t>пгт.Октябрьское, ул.Дзержинского, 2б</w:t>
            </w:r>
          </w:p>
        </w:tc>
        <w:tc>
          <w:tcPr>
            <w:tcW w:w="7355" w:type="dxa"/>
            <w:gridSpan w:val="5"/>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xml:space="preserve">Строительство котельной по ул.Дзержинского, 14 в пгт.Октябрьское. </w:t>
            </w:r>
          </w:p>
          <w:p>
            <w:pPr>
              <w:pStyle w:val="Normal"/>
              <w:jc w:val="center"/>
              <w:rPr>
                <w:sz w:val="20"/>
                <w:szCs w:val="20"/>
                <w:lang w:eastAsia="ru-RU"/>
              </w:rPr>
            </w:pPr>
            <w:r>
              <w:rPr>
                <w:sz w:val="20"/>
                <w:szCs w:val="20"/>
                <w:lang w:eastAsia="ru-RU"/>
              </w:rPr>
              <w:t xml:space="preserve">Вывод из эксплуатации котельной № 2 по ул.Пионерская, 17Б и котельной № 6 </w:t>
            </w:r>
          </w:p>
          <w:p>
            <w:pPr>
              <w:pStyle w:val="Normal"/>
              <w:jc w:val="center"/>
              <w:rPr>
                <w:sz w:val="20"/>
                <w:szCs w:val="20"/>
                <w:lang w:eastAsia="ru-RU"/>
              </w:rPr>
            </w:pPr>
            <w:r>
              <w:rPr>
                <w:sz w:val="20"/>
                <w:szCs w:val="20"/>
                <w:lang w:eastAsia="ru-RU"/>
              </w:rPr>
              <w:t xml:space="preserve">по ул.Дзержинского, 2Б с переключением нагрузки на новую котельную </w:t>
            </w:r>
          </w:p>
          <w:p>
            <w:pPr>
              <w:pStyle w:val="Normal"/>
              <w:jc w:val="center"/>
              <w:rPr>
                <w:sz w:val="20"/>
                <w:szCs w:val="20"/>
              </w:rPr>
            </w:pPr>
            <w:r>
              <w:rPr>
                <w:sz w:val="20"/>
                <w:szCs w:val="20"/>
                <w:lang w:eastAsia="ru-RU"/>
              </w:rPr>
              <w:t>по ул.Дзержинского, 14</w:t>
            </w:r>
          </w:p>
        </w:tc>
        <w:tc>
          <w:tcPr>
            <w:tcW w:w="203" w:type="dxa"/>
            <w:tcBorders/>
          </w:tcPr>
          <w:p>
            <w:pPr>
              <w:pStyle w:val="Normal"/>
              <w:rPr>
                <w:rFonts w:eastAsia="Calibri" w:cs="Calibri"/>
                <w:szCs w:val="22"/>
                <w:lang w:eastAsia="ru-RU"/>
              </w:rPr>
            </w:pPr>
            <w:r>
              <w:rPr>
                <w:rFonts w:eastAsia="Calibri" w:cs="Calibri"/>
                <w:szCs w:val="22"/>
                <w:lang w:eastAsia="ru-RU"/>
              </w:rPr>
            </w:r>
          </w:p>
        </w:tc>
      </w:tr>
      <w:tr>
        <w:trPr>
          <w:trHeight w:val="20" w:hRule="atLeast"/>
        </w:trPr>
        <w:tc>
          <w:tcPr>
            <w:tcW w:w="4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5</w:t>
            </w:r>
          </w:p>
        </w:tc>
        <w:tc>
          <w:tcPr>
            <w:tcW w:w="162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rPr>
              <w:t>котельная № 7,</w:t>
            </w:r>
          </w:p>
          <w:p>
            <w:pPr>
              <w:pStyle w:val="Normal"/>
              <w:jc w:val="center"/>
              <w:rPr>
                <w:sz w:val="20"/>
                <w:szCs w:val="20"/>
              </w:rPr>
            </w:pPr>
            <w:r>
              <w:rPr>
                <w:sz w:val="20"/>
                <w:szCs w:val="20"/>
              </w:rPr>
              <w:t>пгт.Октябрьское, ул.Медицинская, 3Б</w:t>
            </w:r>
          </w:p>
        </w:tc>
        <w:tc>
          <w:tcPr>
            <w:tcW w:w="7355" w:type="dxa"/>
            <w:gridSpan w:val="5"/>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lang w:eastAsia="ru-RU"/>
              </w:rPr>
              <w:t>Вывод из эксплуатации котельной № 7 по ул.Медицинская, 3Б с переключением нагрузки на котельную № 12 по ул.Медицинская, 3К</w:t>
            </w:r>
          </w:p>
        </w:tc>
        <w:tc>
          <w:tcPr>
            <w:tcW w:w="203" w:type="dxa"/>
            <w:tcBorders/>
          </w:tcPr>
          <w:p>
            <w:pPr>
              <w:pStyle w:val="Normal"/>
              <w:rPr>
                <w:rFonts w:eastAsia="Calibri" w:cs="Calibri"/>
                <w:szCs w:val="22"/>
                <w:lang w:eastAsia="ru-RU"/>
              </w:rPr>
            </w:pPr>
            <w:r>
              <w:rPr>
                <w:rFonts w:eastAsia="Calibri" w:cs="Calibri"/>
                <w:szCs w:val="22"/>
                <w:lang w:eastAsia="ru-RU"/>
              </w:rPr>
            </w:r>
          </w:p>
        </w:tc>
      </w:tr>
      <w:tr>
        <w:trPr>
          <w:trHeight w:val="20" w:hRule="atLeast"/>
        </w:trPr>
        <w:tc>
          <w:tcPr>
            <w:tcW w:w="4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6</w:t>
            </w:r>
          </w:p>
        </w:tc>
        <w:tc>
          <w:tcPr>
            <w:tcW w:w="162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rPr>
              <w:t xml:space="preserve">котельная № 12, </w:t>
            </w:r>
          </w:p>
          <w:p>
            <w:pPr>
              <w:pStyle w:val="Normal"/>
              <w:jc w:val="center"/>
              <w:rPr>
                <w:sz w:val="20"/>
                <w:szCs w:val="20"/>
              </w:rPr>
            </w:pPr>
            <w:r>
              <w:rPr>
                <w:sz w:val="20"/>
                <w:szCs w:val="20"/>
              </w:rPr>
              <w:t>пгт.Октябрьское, ул.Медицинская, 3к</w:t>
            </w:r>
          </w:p>
        </w:tc>
        <w:tc>
          <w:tcPr>
            <w:tcW w:w="184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2,00</w:t>
            </w:r>
          </w:p>
        </w:tc>
        <w:tc>
          <w:tcPr>
            <w:tcW w:w="12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lang w:eastAsia="ru-RU"/>
              </w:rPr>
              <w:t>0,67</w:t>
            </w:r>
          </w:p>
        </w:tc>
        <w:tc>
          <w:tcPr>
            <w:tcW w:w="17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lang w:eastAsia="ru-RU"/>
              </w:rPr>
              <w:t>25</w:t>
            </w:r>
          </w:p>
        </w:tc>
        <w:tc>
          <w:tcPr>
            <w:tcW w:w="143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lang w:eastAsia="ru-RU"/>
              </w:rPr>
              <w:t>25,67</w:t>
            </w:r>
          </w:p>
        </w:tc>
        <w:tc>
          <w:tcPr>
            <w:tcW w:w="105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lang w:eastAsia="ru-RU"/>
              </w:rPr>
              <w:t>5,3</w:t>
            </w:r>
          </w:p>
        </w:tc>
        <w:tc>
          <w:tcPr>
            <w:tcW w:w="203" w:type="dxa"/>
            <w:tcBorders/>
          </w:tcPr>
          <w:p>
            <w:pPr>
              <w:pStyle w:val="Normal"/>
              <w:rPr>
                <w:rFonts w:eastAsia="Calibri" w:cs="Calibri"/>
                <w:szCs w:val="22"/>
                <w:lang w:eastAsia="ru-RU"/>
              </w:rPr>
            </w:pPr>
            <w:r>
              <w:rPr>
                <w:rFonts w:eastAsia="Calibri" w:cs="Calibri"/>
                <w:szCs w:val="22"/>
                <w:lang w:eastAsia="ru-RU"/>
              </w:rPr>
            </w:r>
          </w:p>
        </w:tc>
      </w:tr>
      <w:tr>
        <w:trPr>
          <w:trHeight w:val="20" w:hRule="atLeast"/>
        </w:trPr>
        <w:tc>
          <w:tcPr>
            <w:tcW w:w="4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7</w:t>
            </w:r>
          </w:p>
        </w:tc>
        <w:tc>
          <w:tcPr>
            <w:tcW w:w="162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rPr>
              <w:t xml:space="preserve">котельная № 8, </w:t>
            </w:r>
          </w:p>
          <w:p>
            <w:pPr>
              <w:pStyle w:val="Normal"/>
              <w:jc w:val="center"/>
              <w:rPr>
                <w:sz w:val="20"/>
                <w:szCs w:val="20"/>
              </w:rPr>
            </w:pPr>
            <w:r>
              <w:rPr>
                <w:sz w:val="20"/>
                <w:szCs w:val="20"/>
              </w:rPr>
              <w:t>пгт.Октябрьское, ул.50 лет</w:t>
            </w:r>
          </w:p>
          <w:p>
            <w:pPr>
              <w:pStyle w:val="Normal"/>
              <w:jc w:val="center"/>
              <w:rPr>
                <w:sz w:val="20"/>
                <w:szCs w:val="20"/>
              </w:rPr>
            </w:pPr>
            <w:r>
              <w:rPr>
                <w:sz w:val="20"/>
                <w:szCs w:val="20"/>
              </w:rPr>
              <w:t>Победы, 38А</w:t>
            </w:r>
          </w:p>
        </w:tc>
        <w:tc>
          <w:tcPr>
            <w:tcW w:w="7355" w:type="dxa"/>
            <w:gridSpan w:val="5"/>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xml:space="preserve">Децентрализация системы теплоснабжения пгт.Октябрьское путем перехода </w:t>
            </w:r>
          </w:p>
          <w:p>
            <w:pPr>
              <w:pStyle w:val="Normal"/>
              <w:jc w:val="center"/>
              <w:rPr>
                <w:sz w:val="20"/>
                <w:szCs w:val="20"/>
              </w:rPr>
            </w:pPr>
            <w:r>
              <w:rPr>
                <w:sz w:val="20"/>
                <w:szCs w:val="20"/>
                <w:lang w:eastAsia="ru-RU"/>
              </w:rPr>
              <w:t>на автономные источники теплоснабжения, отказ от эксплуатации тепловых сетей, вывод котельной № 8 пгт.Октябрьское, ул.50 лет Победы, 38а из эксплуатации</w:t>
            </w:r>
          </w:p>
        </w:tc>
        <w:tc>
          <w:tcPr>
            <w:tcW w:w="203" w:type="dxa"/>
            <w:tcBorders/>
          </w:tcPr>
          <w:p>
            <w:pPr>
              <w:pStyle w:val="Normal"/>
              <w:rPr>
                <w:rFonts w:eastAsia="Calibri" w:cs="Calibri"/>
                <w:szCs w:val="22"/>
                <w:lang w:eastAsia="ru-RU"/>
              </w:rPr>
            </w:pPr>
            <w:r>
              <w:rPr>
                <w:rFonts w:eastAsia="Calibri" w:cs="Calibri"/>
                <w:szCs w:val="22"/>
                <w:lang w:eastAsia="ru-RU"/>
              </w:rPr>
            </w:r>
          </w:p>
        </w:tc>
      </w:tr>
      <w:tr>
        <w:trPr>
          <w:trHeight w:val="20" w:hRule="atLeast"/>
        </w:trPr>
        <w:tc>
          <w:tcPr>
            <w:tcW w:w="4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8</w:t>
            </w:r>
          </w:p>
        </w:tc>
        <w:tc>
          <w:tcPr>
            <w:tcW w:w="162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lang w:eastAsia="ru-RU"/>
              </w:rPr>
              <w:t>перспективная котельная, пгт.Октябрьское, ул.Дзержинского, 14</w:t>
            </w:r>
          </w:p>
        </w:tc>
        <w:tc>
          <w:tcPr>
            <w:tcW w:w="184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5,04</w:t>
            </w:r>
          </w:p>
        </w:tc>
        <w:tc>
          <w:tcPr>
            <w:tcW w:w="12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lang w:eastAsia="ru-RU"/>
              </w:rPr>
              <w:t>1,68</w:t>
            </w:r>
          </w:p>
        </w:tc>
        <w:tc>
          <w:tcPr>
            <w:tcW w:w="17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lang w:eastAsia="ru-RU"/>
              </w:rPr>
              <w:t>16</w:t>
            </w:r>
          </w:p>
        </w:tc>
        <w:tc>
          <w:tcPr>
            <w:tcW w:w="143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lang w:eastAsia="ru-RU"/>
              </w:rPr>
              <w:t>17,68</w:t>
            </w:r>
          </w:p>
        </w:tc>
        <w:tc>
          <w:tcPr>
            <w:tcW w:w="105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lang w:eastAsia="ru-RU"/>
              </w:rPr>
              <w:t>13,4</w:t>
            </w:r>
          </w:p>
        </w:tc>
        <w:tc>
          <w:tcPr>
            <w:tcW w:w="203" w:type="dxa"/>
            <w:tcBorders/>
          </w:tcPr>
          <w:p>
            <w:pPr>
              <w:pStyle w:val="Normal"/>
              <w:rPr>
                <w:rFonts w:eastAsia="Calibri" w:cs="Calibri"/>
                <w:szCs w:val="22"/>
                <w:lang w:eastAsia="ru-RU"/>
              </w:rPr>
            </w:pPr>
            <w:r>
              <w:rPr>
                <w:rFonts w:eastAsia="Calibri" w:cs="Calibri"/>
                <w:szCs w:val="22"/>
                <w:lang w:eastAsia="ru-RU"/>
              </w:rPr>
            </w:r>
            <w:bookmarkStart w:id="992" w:name="_Hlk161086297"/>
            <w:bookmarkStart w:id="993" w:name="_Hlk161086297"/>
            <w:bookmarkEnd w:id="993"/>
          </w:p>
        </w:tc>
      </w:tr>
    </w:tbl>
    <w:p>
      <w:pPr>
        <w:pStyle w:val="Normal"/>
        <w:jc w:val="right"/>
        <w:rPr>
          <w:rFonts w:eastAsia="Calibri" w:cs="Calibri"/>
          <w:szCs w:val="22"/>
          <w:lang w:eastAsia="ru-RU"/>
        </w:rPr>
      </w:pPr>
      <w:r>
        <w:rPr/>
        <w:t xml:space="preserve"> </w:t>
      </w:r>
    </w:p>
    <w:p>
      <w:pPr>
        <w:pStyle w:val="Normal"/>
        <w:keepNext w:val="true"/>
        <w:keepLines/>
        <w:numPr>
          <w:ilvl w:val="0"/>
          <w:numId w:val="0"/>
        </w:numPr>
        <w:ind w:left="0" w:firstLine="709"/>
        <w:jc w:val="both"/>
        <w:outlineLvl w:val="1"/>
        <w:rPr>
          <w:rFonts w:eastAsia="Calibri Light" w:cs="Calibri Light"/>
          <w:b/>
          <w:b/>
          <w:szCs w:val="26"/>
          <w:lang w:eastAsia="en-US"/>
        </w:rPr>
      </w:pPr>
      <w:bookmarkStart w:id="994" w:name="_Toc181340462"/>
      <w:bookmarkStart w:id="995" w:name="_Toc160529997"/>
      <w:bookmarkStart w:id="996" w:name="_Toc160455115"/>
      <w:bookmarkStart w:id="997" w:name="sub_1611"/>
      <w:bookmarkStart w:id="998" w:name="_Hlk34385576"/>
      <w:bookmarkStart w:id="999" w:name="_Hlk160647293"/>
      <w:bookmarkEnd w:id="997"/>
      <w:bookmarkEnd w:id="998"/>
      <w:bookmarkEnd w:id="999"/>
      <w:r>
        <w:rPr>
          <w:rFonts w:eastAsia="Calibri Light" w:cs="Calibri Light"/>
          <w:b/>
          <w:szCs w:val="26"/>
          <w:lang w:eastAsia="en-US"/>
        </w:rPr>
        <w:t xml:space="preserve">6.2. </w:t>
      </w:r>
      <w:bookmarkEnd w:id="995"/>
      <w:bookmarkEnd w:id="996"/>
      <w:r>
        <w:rPr>
          <w:rFonts w:eastAsia="Calibri Light" w:cs="Calibri Light"/>
          <w:b/>
          <w:szCs w:val="26"/>
          <w:lang w:eastAsia="en-US"/>
        </w:rPr>
        <w:t>Максимальный и среднечасовой расход теплоносителя (расход сетевой воды) на горячее водоснабжение потребителей с использованием открытой системы теплоснабжения в зоне действия каждого источника тепловой энергии, рассчитываемый с учетом прогнозных сроков перевода потребителей, подключенных к открытой системе теплоснабжения (горячего водоснабжения), отдельным участкам такой системы, на закрытую систему горячего водоснабжения</w:t>
      </w:r>
      <w:bookmarkEnd w:id="994"/>
    </w:p>
    <w:p>
      <w:pPr>
        <w:pStyle w:val="Normal"/>
        <w:ind w:firstLine="709"/>
        <w:jc w:val="both"/>
        <w:rPr>
          <w:rFonts w:eastAsia="Calibri"/>
          <w:lang w:eastAsia="en-US"/>
        </w:rPr>
      </w:pPr>
      <w:r>
        <w:rPr>
          <w:rFonts w:eastAsia="Calibri" w:cs="Calibri"/>
          <w:szCs w:val="22"/>
          <w:lang w:eastAsia="en-US"/>
        </w:rPr>
        <w:t>Сведения о расходах теплоносителя на горячее водоснабжение потребителей с использованием открытой системы теплоснабжения отсутствуют.</w:t>
      </w:r>
    </w:p>
    <w:p>
      <w:pPr>
        <w:pStyle w:val="Normal"/>
        <w:ind w:firstLine="709"/>
        <w:jc w:val="both"/>
        <w:rPr>
          <w:rFonts w:eastAsia="Calibri"/>
          <w:lang w:eastAsia="en-US"/>
        </w:rPr>
      </w:pPr>
      <w:r>
        <w:rPr>
          <w:rFonts w:eastAsia="Calibri"/>
          <w:lang w:eastAsia="en-US"/>
        </w:rPr>
      </w:r>
    </w:p>
    <w:p>
      <w:pPr>
        <w:pStyle w:val="Normal"/>
        <w:keepNext w:val="true"/>
        <w:keepLines/>
        <w:numPr>
          <w:ilvl w:val="0"/>
          <w:numId w:val="0"/>
        </w:numPr>
        <w:ind w:left="0" w:firstLine="709"/>
        <w:jc w:val="both"/>
        <w:outlineLvl w:val="1"/>
        <w:rPr>
          <w:rFonts w:eastAsia="Calibri Light" w:cs="Calibri Light"/>
          <w:b/>
          <w:b/>
          <w:szCs w:val="26"/>
          <w:lang w:eastAsia="en-US"/>
        </w:rPr>
      </w:pPr>
      <w:bookmarkStart w:id="1000" w:name="_Toc160529998"/>
      <w:bookmarkStart w:id="1001" w:name="_Toc181340463"/>
      <w:bookmarkStart w:id="1002" w:name="_Toc535409573"/>
      <w:bookmarkStart w:id="1003" w:name="sub_1612"/>
      <w:bookmarkEnd w:id="1003"/>
      <w:r>
        <w:rPr>
          <w:rFonts w:eastAsia="Calibri Light" w:cs="Calibri Light"/>
          <w:b/>
          <w:szCs w:val="26"/>
          <w:lang w:eastAsia="en-US"/>
        </w:rPr>
        <w:t>6.3. Сведения о наличии баков-аккумуляторов</w:t>
      </w:r>
      <w:bookmarkEnd w:id="1000"/>
      <w:bookmarkEnd w:id="1001"/>
      <w:bookmarkEnd w:id="1002"/>
    </w:p>
    <w:p>
      <w:pPr>
        <w:pStyle w:val="Normal"/>
        <w:ind w:firstLine="709"/>
        <w:jc w:val="both"/>
        <w:rPr>
          <w:rFonts w:eastAsia="Calibri"/>
          <w:lang w:eastAsia="en-US"/>
        </w:rPr>
      </w:pPr>
      <w:bookmarkStart w:id="1004" w:name="sub_1613"/>
      <w:bookmarkEnd w:id="1004"/>
      <w:r>
        <w:rPr>
          <w:rFonts w:eastAsia="Calibri" w:cs="Calibri"/>
          <w:szCs w:val="22"/>
          <w:lang w:eastAsia="en-US"/>
        </w:rPr>
        <w:t>Информация о наличии и объеме баков-аккумуляторов на тепловых сетях источников теплоснабжения не представлена.</w:t>
      </w:r>
    </w:p>
    <w:p>
      <w:pPr>
        <w:pStyle w:val="Normal"/>
        <w:ind w:firstLine="709"/>
        <w:jc w:val="both"/>
        <w:rPr>
          <w:rFonts w:eastAsia="Calibri"/>
          <w:lang w:eastAsia="en-US"/>
        </w:rPr>
      </w:pPr>
      <w:r>
        <w:rPr>
          <w:rFonts w:eastAsia="Calibri"/>
          <w:lang w:eastAsia="en-US"/>
        </w:rPr>
      </w:r>
    </w:p>
    <w:p>
      <w:pPr>
        <w:pStyle w:val="Normal"/>
        <w:keepNext w:val="true"/>
        <w:keepLines/>
        <w:numPr>
          <w:ilvl w:val="0"/>
          <w:numId w:val="0"/>
        </w:numPr>
        <w:ind w:left="0" w:firstLine="709"/>
        <w:jc w:val="both"/>
        <w:outlineLvl w:val="1"/>
        <w:rPr>
          <w:rFonts w:eastAsia="Calibri Light" w:cs="Calibri Light"/>
          <w:b/>
          <w:b/>
          <w:szCs w:val="26"/>
          <w:lang w:eastAsia="en-US"/>
        </w:rPr>
      </w:pPr>
      <w:bookmarkStart w:id="1005" w:name="_Toc181340464"/>
      <w:bookmarkStart w:id="1006" w:name="_Toc160529999"/>
      <w:bookmarkStart w:id="1007" w:name="_Toc160455117"/>
      <w:bookmarkStart w:id="1008" w:name="sub_1614"/>
      <w:bookmarkStart w:id="1009" w:name="_Toc535409574"/>
      <w:bookmarkEnd w:id="1008"/>
      <w:bookmarkEnd w:id="1009"/>
      <w:r>
        <w:rPr>
          <w:rFonts w:eastAsia="Calibri Light" w:cs="Calibri Light"/>
          <w:b/>
          <w:szCs w:val="26"/>
          <w:lang w:eastAsia="en-US"/>
        </w:rPr>
        <w:t>6.4. Нормативный и фактический (для эксплуатационного и аварийного режимов) часовой расход подпиточной воды в зоне действия источников тепловой энергии</w:t>
      </w:r>
      <w:bookmarkEnd w:id="1005"/>
      <w:bookmarkEnd w:id="1006"/>
      <w:bookmarkEnd w:id="1007"/>
    </w:p>
    <w:p>
      <w:pPr>
        <w:pStyle w:val="Normal"/>
        <w:ind w:firstLine="709"/>
        <w:jc w:val="both"/>
        <w:rPr>
          <w:rFonts w:eastAsia="Calibri"/>
          <w:lang w:eastAsia="en-US"/>
        </w:rPr>
      </w:pPr>
      <w:r>
        <w:rPr>
          <w:rFonts w:eastAsia="Calibri" w:cs="Calibri"/>
          <w:szCs w:val="22"/>
          <w:lang w:eastAsia="en-US"/>
        </w:rPr>
        <w:t>Нормативный и фактический (для эксплуатационного и аварийного режимов) часовой расход подпиточной воды в зоне действия источников тепловой энергии представлены в таблице 26.</w:t>
      </w:r>
      <w:bookmarkStart w:id="1010" w:name="_Toc181340465"/>
      <w:bookmarkStart w:id="1011" w:name="_Toc160530000"/>
      <w:bookmarkStart w:id="1012" w:name="_Toc160455118"/>
      <w:bookmarkStart w:id="1013" w:name="_Toc535409575"/>
    </w:p>
    <w:p>
      <w:pPr>
        <w:pStyle w:val="Normal"/>
        <w:ind w:firstLine="709"/>
        <w:jc w:val="both"/>
        <w:rPr>
          <w:rFonts w:eastAsia="Calibri"/>
          <w:lang w:eastAsia="en-US"/>
        </w:rPr>
      </w:pPr>
      <w:r>
        <w:rPr>
          <w:rFonts w:eastAsia="Calibri"/>
          <w:lang w:eastAsia="en-US"/>
        </w:rPr>
      </w:r>
    </w:p>
    <w:p>
      <w:pPr>
        <w:pStyle w:val="Normal"/>
        <w:ind w:firstLine="709"/>
        <w:jc w:val="both"/>
        <w:rPr>
          <w:rFonts w:eastAsia="Calibri"/>
          <w:lang w:eastAsia="en-US"/>
        </w:rPr>
      </w:pPr>
      <w:r>
        <w:rPr>
          <w:rFonts w:eastAsia="Calibri Light" w:cs="Calibri Light"/>
          <w:b/>
          <w:szCs w:val="26"/>
          <w:lang w:eastAsia="en-US"/>
        </w:rPr>
        <w:t>6.5. Существующий и перспективный баланс производительности водоподготовительных установок и потерь теплоносителя с учетом развития системы теплоснабжения</w:t>
      </w:r>
      <w:bookmarkEnd w:id="1010"/>
      <w:bookmarkEnd w:id="1011"/>
      <w:bookmarkEnd w:id="1012"/>
      <w:bookmarkEnd w:id="1013"/>
    </w:p>
    <w:p>
      <w:pPr>
        <w:pStyle w:val="Normal"/>
        <w:ind w:firstLine="709"/>
        <w:jc w:val="both"/>
        <w:rPr>
          <w:rFonts w:eastAsia="Calibri"/>
          <w:lang w:eastAsia="en-US"/>
        </w:rPr>
      </w:pPr>
      <w:r>
        <w:rPr>
          <w:rFonts w:eastAsia="Calibri" w:cs="Calibri"/>
          <w:szCs w:val="22"/>
          <w:lang w:eastAsia="en-US"/>
        </w:rPr>
        <w:t>Существующий и перспективный баланс производительности водоподготовительных установок и потерь теплоносителя с учетом развития систем теплоснабжения приведен в таблице 26.</w:t>
      </w:r>
      <w:bookmarkStart w:id="1014" w:name="_Toc49513882"/>
      <w:bookmarkStart w:id="1015" w:name="_Toc160455119"/>
      <w:bookmarkStart w:id="1016" w:name="_Toc160530001"/>
      <w:bookmarkStart w:id="1017" w:name="_Toc181340466"/>
    </w:p>
    <w:p>
      <w:pPr>
        <w:pStyle w:val="Normal"/>
        <w:ind w:firstLine="709"/>
        <w:jc w:val="both"/>
        <w:rPr>
          <w:rFonts w:eastAsia="Calibri"/>
          <w:lang w:eastAsia="en-US"/>
        </w:rPr>
      </w:pPr>
      <w:r>
        <w:rPr>
          <w:rFonts w:eastAsia="Calibri"/>
          <w:lang w:eastAsia="en-US"/>
        </w:rPr>
      </w:r>
    </w:p>
    <w:p>
      <w:pPr>
        <w:pStyle w:val="Normal"/>
        <w:ind w:firstLine="709"/>
        <w:jc w:val="both"/>
        <w:rPr>
          <w:rFonts w:eastAsia="Calibri"/>
          <w:lang w:eastAsia="en-US"/>
        </w:rPr>
      </w:pPr>
      <w:r>
        <w:rPr>
          <w:rFonts w:eastAsia="Calibri Light" w:cs="Calibri Light"/>
          <w:b/>
          <w:szCs w:val="26"/>
          <w:lang w:eastAsia="en-US"/>
        </w:rPr>
        <w:t>6.6. Описание изменений в существующих и перспективных балансах производительности водоподготовительных установок и максимального потребления теплоносителя теплопотребляющими установками потребителей, в том числе в аварийных режимах, за период, предшествующий актуализации схемы теплоснабжения</w:t>
      </w:r>
      <w:bookmarkEnd w:id="1014"/>
      <w:bookmarkEnd w:id="1015"/>
      <w:bookmarkEnd w:id="1016"/>
      <w:bookmarkEnd w:id="1017"/>
    </w:p>
    <w:p>
      <w:pPr>
        <w:pStyle w:val="Normal"/>
        <w:ind w:firstLine="709"/>
        <w:jc w:val="both"/>
        <w:rPr>
          <w:rFonts w:eastAsia="Calibri"/>
          <w:lang w:eastAsia="en-US"/>
        </w:rPr>
      </w:pPr>
      <w:r>
        <w:rPr>
          <w:rFonts w:cs="Calibri"/>
          <w:lang w:eastAsia="ru-RU"/>
        </w:rPr>
        <w:t xml:space="preserve">За период с момента утверждения ранее актуализированной Схемы теплоснабжения </w:t>
      </w:r>
      <w:r>
        <w:rPr>
          <w:rFonts w:eastAsia="Calibri" w:cs="Calibri"/>
          <w:szCs w:val="22"/>
          <w:lang w:eastAsia="en-US"/>
        </w:rPr>
        <w:t>изменений в существующих и перспективных балансах производительности водоподготовительных установок и максимального потребления теплоносителя теплопотребляющими установками потребителей</w:t>
      </w:r>
      <w:r>
        <w:rPr>
          <w:rFonts w:cs="Calibri"/>
          <w:lang w:eastAsia="ru-RU"/>
        </w:rPr>
        <w:t xml:space="preserve"> не зафиксировано.</w:t>
      </w:r>
    </w:p>
    <w:p>
      <w:pPr>
        <w:pStyle w:val="Normal"/>
        <w:ind w:firstLine="709"/>
        <w:jc w:val="both"/>
        <w:rPr>
          <w:rFonts w:cs="Calibri"/>
          <w:lang w:eastAsia="ru-RU"/>
        </w:rPr>
      </w:pPr>
      <w:r>
        <w:rPr>
          <w:rFonts w:cs="Calibri"/>
          <w:lang w:eastAsia="ru-RU"/>
        </w:rPr>
      </w:r>
    </w:p>
    <w:p>
      <w:pPr>
        <w:pStyle w:val="Normal"/>
        <w:keepNext w:val="true"/>
        <w:keepLines/>
        <w:numPr>
          <w:ilvl w:val="0"/>
          <w:numId w:val="0"/>
        </w:numPr>
        <w:ind w:left="0" w:firstLine="709"/>
        <w:jc w:val="both"/>
        <w:outlineLvl w:val="2"/>
        <w:rPr>
          <w:rFonts w:eastAsia="Calibri Light" w:cs="Calibri Light"/>
          <w:b/>
          <w:b/>
          <w:lang w:eastAsia="en-US"/>
        </w:rPr>
      </w:pPr>
      <w:bookmarkStart w:id="1018" w:name="_Toc160455120"/>
      <w:bookmarkStart w:id="1019" w:name="_Toc49513883"/>
      <w:bookmarkStart w:id="1020" w:name="_Toc160530002"/>
      <w:bookmarkStart w:id="1021" w:name="_Toc181340467"/>
      <w:r>
        <w:rPr>
          <w:rFonts w:eastAsia="Calibri Light" w:cs="Calibri Light"/>
          <w:b/>
          <w:lang w:eastAsia="en-US"/>
        </w:rPr>
        <w:t>6.7. Сравнительный анализ расчетных и фактических потерь теплоносителя для всех зон действия источников тепловой энергии за период, предшествующий актуализации схемы теплоснабжения</w:t>
      </w:r>
      <w:bookmarkEnd w:id="1018"/>
      <w:bookmarkEnd w:id="1019"/>
      <w:bookmarkEnd w:id="1020"/>
      <w:bookmarkEnd w:id="1021"/>
    </w:p>
    <w:p>
      <w:pPr>
        <w:pStyle w:val="Normal"/>
        <w:ind w:firstLine="709"/>
        <w:jc w:val="both"/>
        <w:rPr>
          <w:rFonts w:eastAsia="Calibri"/>
          <w:lang w:eastAsia="en-US"/>
        </w:rPr>
      </w:pPr>
      <w:bookmarkStart w:id="1022" w:name="_Hlk160647315"/>
      <w:r>
        <w:rPr>
          <w:rFonts w:eastAsia="Calibri" w:cs="Calibri"/>
          <w:szCs w:val="22"/>
          <w:lang w:eastAsia="en-US"/>
        </w:rPr>
        <w:t>Расчетные тепловые потери по системам теплоснабжения поселения в целом соответствуют фактическим значениям тепловых потерь, зафиксированных за 2024 год.</w:t>
      </w:r>
      <w:bookmarkStart w:id="1023" w:name="_Hlk160710216"/>
      <w:bookmarkEnd w:id="1022"/>
      <w:bookmarkEnd w:id="1023"/>
    </w:p>
    <w:p>
      <w:pPr>
        <w:pStyle w:val="Normal"/>
        <w:spacing w:before="240" w:after="240"/>
        <w:ind w:firstLine="709"/>
        <w:contextualSpacing/>
        <w:jc w:val="both"/>
        <w:rPr>
          <w:rFonts w:eastAsia="Calibri Light"/>
          <w:b/>
          <w:b/>
          <w:sz w:val="28"/>
          <w:szCs w:val="32"/>
          <w:lang w:eastAsia="en-US"/>
        </w:rPr>
      </w:pPr>
      <w:r>
        <w:rPr>
          <w:rFonts w:eastAsia="Calibri Light"/>
          <w:b/>
          <w:sz w:val="28"/>
          <w:szCs w:val="32"/>
          <w:lang w:eastAsia="en-US"/>
        </w:rPr>
      </w:r>
      <w:r>
        <w:br w:type="page"/>
      </w:r>
    </w:p>
    <w:p>
      <w:pPr>
        <w:pStyle w:val="Normal"/>
        <w:keepNext w:val="true"/>
        <w:keepLines/>
        <w:numPr>
          <w:ilvl w:val="0"/>
          <w:numId w:val="0"/>
        </w:numPr>
        <w:ind w:left="0" w:hanging="0"/>
        <w:jc w:val="center"/>
        <w:outlineLvl w:val="0"/>
        <w:rPr>
          <w:rFonts w:eastAsia="Calibri Light" w:cs="Calibri Light"/>
          <w:b/>
          <w:b/>
          <w:lang w:eastAsia="en-US"/>
        </w:rPr>
      </w:pPr>
      <w:r>
        <w:rPr>
          <w:rFonts w:eastAsia="Calibri Light" w:cs="Calibri Light"/>
          <w:b/>
          <w:lang w:eastAsia="en-US"/>
        </w:rPr>
        <w:t xml:space="preserve">Глава 7 «Предложения по строительству, реконструкции </w:t>
      </w:r>
    </w:p>
    <w:p>
      <w:pPr>
        <w:pStyle w:val="Normal"/>
        <w:keepNext w:val="true"/>
        <w:keepLines/>
        <w:numPr>
          <w:ilvl w:val="0"/>
          <w:numId w:val="0"/>
        </w:numPr>
        <w:ind w:left="0" w:hanging="0"/>
        <w:jc w:val="center"/>
        <w:outlineLvl w:val="0"/>
        <w:rPr>
          <w:rFonts w:eastAsia="Calibri Light" w:cs="Calibri Light"/>
          <w:b/>
          <w:b/>
          <w:color w:val="000000"/>
          <w:lang w:eastAsia="en-US"/>
        </w:rPr>
      </w:pPr>
      <w:bookmarkStart w:id="1024" w:name="_Toc181340468"/>
      <w:bookmarkStart w:id="1025" w:name="_Toc160530003"/>
      <w:r>
        <w:rPr>
          <w:rFonts w:eastAsia="Calibri Light" w:cs="Calibri Light"/>
          <w:b/>
          <w:lang w:eastAsia="en-US"/>
        </w:rPr>
        <w:t>и техническому перевооружению и (или) модернизации источников тепловой энергии»</w:t>
      </w:r>
      <w:bookmarkStart w:id="1026" w:name="_Hlk160710225"/>
      <w:bookmarkEnd w:id="1024"/>
      <w:bookmarkEnd w:id="1025"/>
      <w:bookmarkEnd w:id="1026"/>
    </w:p>
    <w:p>
      <w:pPr>
        <w:pStyle w:val="Normal"/>
        <w:ind w:firstLine="709"/>
        <w:jc w:val="both"/>
        <w:rPr>
          <w:rFonts w:eastAsia="Calibri" w:cs="Calibri"/>
          <w:szCs w:val="22"/>
          <w:lang w:eastAsia="ru-RU"/>
        </w:rPr>
      </w:pPr>
      <w:r>
        <w:rPr>
          <w:lang w:eastAsia="ru-RU"/>
        </w:rPr>
        <w:t xml:space="preserve">В рамках обеспечения эффективного и надежного теплоснабжения потребителей городского поселения рекомендуется рассмотреть варианты реализации мероприятий по строительству </w:t>
      </w:r>
      <w:r>
        <w:rPr/>
        <w:t>котельной по ул.Дзержинского, 14 в пгт.Октябрьское с выводом из эксплуатации котельной № 2 по ул.Пионерская, 17Б и котельной № 6 по ул.Дзержинского, 2Б с переключением нагрузки на новую котельную по ул.Дзержинского, 14. Реализация данного мероприятия запланирована на 2026 год и позволит сократить затраты на топливо за счет увеличения КПД котельной, а также обеспечить надежность теплоснабжения путем использования природного газа.</w:t>
      </w:r>
    </w:p>
    <w:p>
      <w:pPr>
        <w:pStyle w:val="Normal"/>
        <w:ind w:firstLine="709"/>
        <w:jc w:val="both"/>
        <w:rPr>
          <w:rFonts w:eastAsia="Calibri"/>
          <w:lang w:eastAsia="en-US"/>
        </w:rPr>
      </w:pPr>
      <w:r>
        <w:rPr>
          <w:rFonts w:eastAsia="Calibri"/>
          <w:lang w:eastAsia="en-US"/>
        </w:rPr>
      </w:r>
      <w:bookmarkStart w:id="1027" w:name="_Toc181340469"/>
      <w:bookmarkStart w:id="1028" w:name="_Toc181340469"/>
    </w:p>
    <w:p>
      <w:pPr>
        <w:pStyle w:val="Normal"/>
        <w:ind w:firstLine="709"/>
        <w:jc w:val="both"/>
        <w:rPr>
          <w:rFonts w:eastAsia="Calibri"/>
          <w:lang w:eastAsia="en-US"/>
        </w:rPr>
      </w:pPr>
      <w:bookmarkStart w:id="1029" w:name="_Toc160530004"/>
      <w:r>
        <w:rPr>
          <w:rFonts w:eastAsia="Calibri Light" w:cs="Calibri Light"/>
          <w:b/>
          <w:szCs w:val="26"/>
          <w:lang w:eastAsia="en-US"/>
        </w:rPr>
        <w:t xml:space="preserve">7.1. </w:t>
      </w:r>
      <w:bookmarkEnd w:id="1029"/>
      <w:r>
        <w:rPr>
          <w:rFonts w:eastAsia="Calibri Light" w:cs="Calibri Light"/>
          <w:b/>
          <w:szCs w:val="26"/>
          <w:lang w:eastAsia="en-US"/>
        </w:rPr>
        <w:t>Описание условий организации централизованного теплоснабжения, индивидуального теплоснабжения, а также поквартирного отопления, которое должно содержать в том числе определение целесообразности или нецелесообразности подключения (технологического присоединения) теплопотребляющей установки                       к существующей системе централизованного теплоснабжения исходя из недопущения увеличения совокупных расходов в такой системе централизованного теплоснабжения, расчет которых выполняется в порядке, установленном методическими указаниями по разработке схем теплоснабжения</w:t>
      </w:r>
      <w:bookmarkEnd w:id="1028"/>
    </w:p>
    <w:p>
      <w:pPr>
        <w:pStyle w:val="Normal"/>
        <w:ind w:firstLine="709"/>
        <w:jc w:val="both"/>
        <w:rPr>
          <w:rFonts w:eastAsia="Calibri"/>
          <w:lang w:eastAsia="en-US"/>
        </w:rPr>
      </w:pPr>
      <w:r>
        <w:rPr>
          <w:rFonts w:eastAsia="Calibri" w:cs="Calibri"/>
          <w:szCs w:val="22"/>
          <w:lang w:eastAsia="en-US"/>
        </w:rPr>
        <w:t>Согласно статье 14 Федерального закона от 27.07.2010 № 190-ФЗ                                           «О теплоснабжении», подключение теплопотребляющих установок и тепловых сетей потребителей тепловой энергии, в том числе застройщиков к системе теплоснабжения осуществляется в порядке, установленном законодательством о градостроительной деятельности для подключения объектов капитального строительства к сетям инженерно-технического обеспечения, с учетом особенностей, предусмотренных Федерального закона от 27.07.2010 № 190-ФЗ «О теплоснабжении» и Правилами подключения к системам теплоснабжения, утвержденными Постановлением Правительством РФ от 05.07.2018 № 787 «О подключении (технологическом присоединении) к системам теплоснабжения, недискриминационном доступе к услугам в сфере теплоснабжения, изменении и признании утратившими силу некоторых актов Правительства Российской Федерации» (далее – Правила подключения к системам теплоснабжения).</w:t>
      </w:r>
    </w:p>
    <w:p>
      <w:pPr>
        <w:pStyle w:val="Normal"/>
        <w:ind w:firstLine="709"/>
        <w:jc w:val="both"/>
        <w:rPr>
          <w:rFonts w:eastAsia="Calibri"/>
          <w:lang w:eastAsia="en-US"/>
        </w:rPr>
      </w:pPr>
      <w:r>
        <w:rPr>
          <w:rFonts w:eastAsia="Calibri" w:cs="Calibri"/>
          <w:szCs w:val="22"/>
          <w:lang w:eastAsia="en-US"/>
        </w:rPr>
        <w:t>Подключение осуществляется на основании договора на подключение к системе теплоснабжения, который является публичным для теплоснабжающей организации, теплосетевой организации. Правила выбора теплоснабжающей организации или теплосетевой организации, к которой следует обращаться заинтересованным в подключении к системе теплоснабжения лицам, и которая не вправе отказать им в услуге по такому подключению и заключению соответствующего договора, устанавливаются Правилами подключения к системам теплоснабжения.</w:t>
      </w:r>
    </w:p>
    <w:p>
      <w:pPr>
        <w:pStyle w:val="Normal"/>
        <w:ind w:firstLine="709"/>
        <w:jc w:val="both"/>
        <w:rPr>
          <w:rFonts w:eastAsia="Calibri"/>
          <w:lang w:eastAsia="en-US"/>
        </w:rPr>
      </w:pPr>
      <w:r>
        <w:rPr>
          <w:rFonts w:eastAsia="Calibri" w:cs="Calibri"/>
          <w:szCs w:val="22"/>
          <w:lang w:eastAsia="en-US"/>
        </w:rPr>
        <w:t xml:space="preserve">При наличии технической возможности подключения к системе теплоснабжения и при наличии свободной мощности в соответствующей точке подключения отказ потребителю, в том числе застройщику, в заключении договора на подключение объекта капитального строительства, находящегося в границах определенного схемой теплоснабжения радиуса эффективного теплоснабжения, не допускается. </w:t>
      </w:r>
    </w:p>
    <w:p>
      <w:pPr>
        <w:pStyle w:val="Normal"/>
        <w:ind w:firstLine="709"/>
        <w:jc w:val="both"/>
        <w:rPr>
          <w:rFonts w:eastAsia="Calibri" w:cs="Calibri"/>
          <w:szCs w:val="22"/>
          <w:lang w:eastAsia="en-US"/>
        </w:rPr>
      </w:pPr>
      <w:r>
        <w:rPr>
          <w:rFonts w:eastAsia="Calibri" w:cs="Calibri"/>
          <w:szCs w:val="22"/>
          <w:lang w:eastAsia="en-US"/>
        </w:rPr>
        <w:t>В случае технической невозможности подключения к системе теплоснабжения объекта капитального строительства вследствие отсутствия свободной мощности в соответствующей точке подключения на момент обращения соответствующего потребителя, в том числе застройщика, но при наличии в утвержденной в установленном порядке инвестиционной программе теплоснабжающей организации или теплосетевой организации мероприятий по развитию системы теплоснабжения и снятию технических ограничений, позволяющих обеспечить техническую возможность подключения к системе теплоснабжения объекта капитального строительства, отказ в заключении договора на его подключение не допускается. Нормативные сроки его подключения к системе теплоснабжения устанавливаются в соответствии с инвестиционной программой теплоснабжающей организации или теплосетевой организации в пределах нормативных сроков подключения к системе теплоснабжения, установленных Правилами подключения к системам теплоснабжения.</w:t>
      </w:r>
    </w:p>
    <w:p>
      <w:pPr>
        <w:pStyle w:val="Normal"/>
        <w:ind w:firstLine="709"/>
        <w:jc w:val="both"/>
        <w:rPr>
          <w:rFonts w:eastAsia="Calibri" w:cs="Calibri"/>
          <w:szCs w:val="22"/>
          <w:lang w:eastAsia="en-US"/>
        </w:rPr>
      </w:pPr>
      <w:r>
        <w:rPr/>
        <w:t>Вновь вводимые потребители, обратившиеся соответствующим образом в теплоснабжающую организацию, должны быть подключены к централизованному теплоснабжению, если такое подсоединение возможно в перспективе.</w:t>
      </w:r>
    </w:p>
    <w:p>
      <w:pPr>
        <w:pStyle w:val="Normal"/>
        <w:ind w:firstLine="709"/>
        <w:jc w:val="both"/>
        <w:rPr>
          <w:rFonts w:eastAsia="Calibri" w:cs="Calibri"/>
          <w:szCs w:val="22"/>
          <w:lang w:eastAsia="en-US"/>
        </w:rPr>
      </w:pPr>
      <w:r>
        <w:rPr/>
        <w:t xml:space="preserve">С потребителями, находящимися за границей радиуса эффективного теплоснабжения, могут быть заключены договоры долгосрочного теплоснабжения по свободной (обоюдно приемлемой) цене, в целях компенсации затрат на строительство новых и реконструкцию существующих тепловых сетей, и увеличению радиуса эффективного теплоснабжения. </w:t>
      </w:r>
    </w:p>
    <w:p>
      <w:pPr>
        <w:pStyle w:val="Normal"/>
        <w:ind w:firstLine="709"/>
        <w:jc w:val="both"/>
        <w:rPr>
          <w:rFonts w:eastAsia="Calibri" w:cs="Calibri"/>
          <w:szCs w:val="22"/>
          <w:lang w:eastAsia="en-US"/>
        </w:rPr>
      </w:pPr>
      <w:r>
        <w:rPr>
          <w:rFonts w:eastAsia="Calibri" w:cs="Calibri"/>
          <w:szCs w:val="22"/>
          <w:lang w:eastAsia="en-US"/>
        </w:rPr>
        <w:t>Существующие и планируемые к застройке потребители, вправе использовать для отопления индивидуальные источники теплоснабжения. Использование автономных источников теплоснабжения целесообразно в случаях:</w:t>
      </w:r>
    </w:p>
    <w:p>
      <w:pPr>
        <w:pStyle w:val="Normal"/>
        <w:ind w:firstLine="709"/>
        <w:jc w:val="both"/>
        <w:rPr>
          <w:rFonts w:eastAsia="Calibri" w:cs="Calibri"/>
          <w:szCs w:val="22"/>
          <w:lang w:eastAsia="en-US"/>
        </w:rPr>
      </w:pPr>
      <w:r>
        <w:rPr>
          <w:rFonts w:eastAsia="Calibri" w:cs="Calibri"/>
          <w:szCs w:val="22"/>
          <w:lang w:eastAsia="en-US"/>
        </w:rPr>
        <w:t>- значительной удаленности от существующих и перспективных тепловых сетей;</w:t>
      </w:r>
    </w:p>
    <w:p>
      <w:pPr>
        <w:pStyle w:val="Normal"/>
        <w:ind w:firstLine="709"/>
        <w:jc w:val="both"/>
        <w:rPr>
          <w:rFonts w:eastAsia="Calibri" w:cs="Calibri"/>
          <w:szCs w:val="22"/>
          <w:lang w:eastAsia="en-US"/>
        </w:rPr>
      </w:pPr>
      <w:r>
        <w:rPr>
          <w:rFonts w:eastAsia="Calibri" w:cs="Calibri"/>
          <w:szCs w:val="22"/>
          <w:lang w:eastAsia="en-US"/>
        </w:rPr>
        <w:t>- малой подключаемой нагрузки (менее 0,01 Гкал/ч);</w:t>
      </w:r>
    </w:p>
    <w:p>
      <w:pPr>
        <w:pStyle w:val="Normal"/>
        <w:ind w:firstLine="709"/>
        <w:jc w:val="both"/>
        <w:rPr>
          <w:rFonts w:eastAsia="Calibri" w:cs="Calibri"/>
          <w:szCs w:val="22"/>
          <w:lang w:eastAsia="en-US"/>
        </w:rPr>
      </w:pPr>
      <w:r>
        <w:rPr>
          <w:rFonts w:eastAsia="Calibri" w:cs="Calibri"/>
          <w:szCs w:val="22"/>
          <w:lang w:eastAsia="en-US"/>
        </w:rPr>
        <w:t>- отсутствия резервов тепловой мощности в границах застройки на данный момент и в рассматриваемой перспективе;</w:t>
      </w:r>
    </w:p>
    <w:p>
      <w:pPr>
        <w:pStyle w:val="Normal"/>
        <w:ind w:firstLine="709"/>
        <w:jc w:val="both"/>
        <w:rPr>
          <w:rFonts w:eastAsia="Calibri" w:cs="Calibri"/>
          <w:szCs w:val="22"/>
          <w:lang w:eastAsia="en-US"/>
        </w:rPr>
      </w:pPr>
      <w:r>
        <w:rPr>
          <w:rFonts w:eastAsia="Calibri" w:cs="Calibri"/>
          <w:szCs w:val="22"/>
          <w:lang w:eastAsia="en-US"/>
        </w:rPr>
        <w:t xml:space="preserve">- использования тепловой энергии в технологических целях. </w:t>
      </w:r>
    </w:p>
    <w:p>
      <w:pPr>
        <w:pStyle w:val="Normal"/>
        <w:ind w:firstLine="709"/>
        <w:jc w:val="both"/>
        <w:rPr>
          <w:rFonts w:eastAsia="Calibri" w:cs="Calibri"/>
          <w:szCs w:val="22"/>
          <w:lang w:eastAsia="en-US"/>
        </w:rPr>
      </w:pPr>
      <w:r>
        <w:rPr>
          <w:rFonts w:eastAsia="Calibri" w:cs="Calibri"/>
          <w:szCs w:val="22"/>
          <w:lang w:eastAsia="en-US"/>
        </w:rPr>
        <w:t>Потребители, отопление которых осуществляется от индивидуальных источников, могут быть подключены к централизованному теплоснабжению на условиях организации централизованного теплоснабжения.</w:t>
      </w:r>
    </w:p>
    <w:p>
      <w:pPr>
        <w:pStyle w:val="Normal"/>
        <w:ind w:firstLine="709"/>
        <w:jc w:val="both"/>
        <w:rPr>
          <w:rFonts w:eastAsia="Calibri"/>
          <w:lang w:eastAsia="en-US"/>
        </w:rPr>
      </w:pPr>
      <w:r>
        <w:rPr/>
        <w:t>В соответствии с пунктом 15 статьи 14 Федерального закона от 27.07.2010 № 190-ФЗ «О теплоснабжении» запрещается переход на отопление жилых помещений в многоквартирных домах с использованием индивидуальных квартирных источников тепловой энергии, перечень которых определяется Правилами подключения к системам теплоснабжения, при наличии осуществленного в надлежащем порядке подключения к системам теплоснабжения многоквартирных домов.</w:t>
      </w:r>
    </w:p>
    <w:p>
      <w:pPr>
        <w:pStyle w:val="Normal"/>
        <w:ind w:firstLine="709"/>
        <w:jc w:val="both"/>
        <w:rPr>
          <w:rFonts w:eastAsia="Calibri"/>
          <w:lang w:eastAsia="en-US"/>
        </w:rPr>
      </w:pPr>
      <w:r>
        <w:rPr>
          <w:rFonts w:eastAsia="Calibri" w:cs="Calibri"/>
          <w:szCs w:val="22"/>
          <w:lang w:eastAsia="en-US"/>
        </w:rPr>
        <w:t>Обоснование организации индивидуального теплоснабжения в зонах застройки поселения малоэтажными жилыми зданиям приведено в п. 7.11 настоящей Главы.</w:t>
      </w:r>
      <w:bookmarkStart w:id="1030" w:name="_Toc160530005"/>
      <w:bookmarkStart w:id="1031" w:name="_Toc181340470"/>
      <w:bookmarkStart w:id="1032" w:name="_Hlk160710236"/>
      <w:bookmarkStart w:id="1033" w:name="sub_1632"/>
      <w:bookmarkStart w:id="1034" w:name="_Toc535409578"/>
      <w:bookmarkEnd w:id="1032"/>
      <w:bookmarkEnd w:id="1033"/>
      <w:bookmarkEnd w:id="1034"/>
    </w:p>
    <w:p>
      <w:pPr>
        <w:pStyle w:val="Normal"/>
        <w:ind w:firstLine="709"/>
        <w:jc w:val="both"/>
        <w:rPr>
          <w:rFonts w:eastAsia="Calibri"/>
          <w:lang w:eastAsia="en-US"/>
        </w:rPr>
      </w:pPr>
      <w:r>
        <w:rPr>
          <w:rFonts w:eastAsia="Calibri"/>
          <w:lang w:eastAsia="en-US"/>
        </w:rPr>
      </w:r>
    </w:p>
    <w:p>
      <w:pPr>
        <w:pStyle w:val="Normal"/>
        <w:ind w:firstLine="709"/>
        <w:jc w:val="both"/>
        <w:rPr>
          <w:rFonts w:eastAsia="Calibri"/>
          <w:lang w:eastAsia="en-US"/>
        </w:rPr>
      </w:pPr>
      <w:r>
        <w:rPr>
          <w:rFonts w:eastAsia="Calibri Light" w:cs="Calibri Light"/>
          <w:b/>
          <w:szCs w:val="26"/>
          <w:lang w:eastAsia="en-US"/>
        </w:rPr>
        <w:t>7.2. Описание текущей ситуации, связанной с ранее принятыми в соответствии               с законодательством Российской Федерации об электроэнергетике решениями                об отнесении генерирующих объектов к генерирующим объектам, мощность которых поставляется в вынужденном режиме в целях обеспечения надежного теплоснабжения потребителей</w:t>
      </w:r>
      <w:bookmarkEnd w:id="1030"/>
      <w:bookmarkEnd w:id="1031"/>
    </w:p>
    <w:p>
      <w:pPr>
        <w:pStyle w:val="Normal"/>
        <w:ind w:firstLine="709"/>
        <w:jc w:val="both"/>
        <w:rPr>
          <w:rFonts w:eastAsia="Calibri"/>
          <w:lang w:eastAsia="en-US"/>
        </w:rPr>
      </w:pPr>
      <w:r>
        <w:rPr>
          <w:rFonts w:eastAsia="Calibri" w:cs="Calibri"/>
          <w:szCs w:val="22"/>
          <w:lang w:eastAsia="en-US"/>
        </w:rPr>
        <w:t>В поселении по состоянию на 2024 г. отсутствуют генерирующие объекты, мощность которых поставляется в вынужденном режиме в целях обеспечения надежного теплоснабжения потребителей.</w:t>
      </w:r>
      <w:bookmarkStart w:id="1035" w:name="_Toc181340471"/>
      <w:bookmarkStart w:id="1036" w:name="_Toc160530006"/>
      <w:bookmarkStart w:id="1037" w:name="sub_1633"/>
      <w:bookmarkStart w:id="1038" w:name="_Hlk160648146"/>
      <w:bookmarkStart w:id="1039" w:name="_Toc535409579"/>
      <w:bookmarkEnd w:id="1037"/>
      <w:bookmarkEnd w:id="1038"/>
      <w:bookmarkEnd w:id="1039"/>
    </w:p>
    <w:p>
      <w:pPr>
        <w:pStyle w:val="Normal"/>
        <w:ind w:firstLine="709"/>
        <w:jc w:val="both"/>
        <w:rPr>
          <w:rFonts w:eastAsia="Calibri"/>
          <w:lang w:eastAsia="en-US"/>
        </w:rPr>
      </w:pPr>
      <w:r>
        <w:rPr>
          <w:rFonts w:eastAsia="Calibri"/>
          <w:lang w:eastAsia="en-US"/>
        </w:rPr>
      </w:r>
    </w:p>
    <w:p>
      <w:pPr>
        <w:pStyle w:val="Normal"/>
        <w:ind w:firstLine="709"/>
        <w:jc w:val="both"/>
        <w:rPr>
          <w:rFonts w:eastAsia="Calibri"/>
          <w:lang w:eastAsia="en-US"/>
        </w:rPr>
      </w:pPr>
      <w:r>
        <w:rPr>
          <w:rFonts w:eastAsia="Calibri Light" w:cs="Calibri Light"/>
          <w:b/>
          <w:szCs w:val="26"/>
          <w:lang w:eastAsia="en-US"/>
        </w:rPr>
        <w:t>7.3. Анализ надежности и качества теплоснабжения для случаев отнесения генерирующего объекта к объектам, вывод которых из эксплуатации может привести к нарушению надежности теплоснабжения (при отнесении такого генерирующего объекта к объектам, электрическая мощность которых поставляется в вынужденном режиме в целях обеспечения надежного теплоснабжения потребителей, в соответствующем году долгосрочного конкурентного отбора мощности на оптовом рынке электрической энергии (мощности) на соответствующий период), в соответствии с методическими указаниями по разработке схем теплоснабжения</w:t>
      </w:r>
      <w:bookmarkEnd w:id="1035"/>
      <w:bookmarkEnd w:id="1036"/>
    </w:p>
    <w:p>
      <w:pPr>
        <w:pStyle w:val="Normal"/>
        <w:ind w:firstLine="709"/>
        <w:jc w:val="both"/>
        <w:rPr>
          <w:rFonts w:eastAsia="Calibri"/>
          <w:lang w:eastAsia="en-US"/>
        </w:rPr>
      </w:pPr>
      <w:r>
        <w:rPr>
          <w:rFonts w:eastAsia="Calibri" w:cs="Calibri"/>
          <w:szCs w:val="22"/>
          <w:lang w:eastAsia="ru-RU"/>
        </w:rPr>
        <w:t>В городском поселении в рассматриваемом периоде отсутствуют генерирующие объекты, вывод которых из эксплуатации может привести к нарушению надежности теплоснабжения (при отнесении такого генерирующего объекта к объектам, электрическая мощность которых поставляется в вынужденном режиме в целях обеспечения надежного теплоснабжения потребителей).</w:t>
      </w:r>
      <w:bookmarkStart w:id="1040" w:name="_Toc181340472"/>
      <w:bookmarkStart w:id="1041" w:name="_Toc160530007"/>
      <w:bookmarkStart w:id="1042" w:name="_Toc535409580"/>
      <w:bookmarkStart w:id="1043" w:name="_Hlk160648154"/>
      <w:bookmarkEnd w:id="1043"/>
    </w:p>
    <w:p>
      <w:pPr>
        <w:pStyle w:val="Normal"/>
        <w:ind w:firstLine="709"/>
        <w:jc w:val="both"/>
        <w:rPr>
          <w:rFonts w:eastAsia="Calibri"/>
          <w:lang w:eastAsia="en-US"/>
        </w:rPr>
      </w:pPr>
      <w:r>
        <w:rPr>
          <w:rFonts w:eastAsia="Calibri"/>
          <w:lang w:eastAsia="en-US"/>
        </w:rPr>
      </w:r>
    </w:p>
    <w:p>
      <w:pPr>
        <w:pStyle w:val="Normal"/>
        <w:ind w:firstLine="709"/>
        <w:jc w:val="both"/>
        <w:rPr>
          <w:rFonts w:eastAsia="Calibri"/>
          <w:lang w:eastAsia="en-US"/>
        </w:rPr>
      </w:pPr>
      <w:r>
        <w:rPr>
          <w:rFonts w:eastAsia="Calibri Light" w:cs="Calibri Light"/>
          <w:b/>
          <w:szCs w:val="26"/>
          <w:lang w:eastAsia="en-US"/>
        </w:rPr>
        <w:t xml:space="preserve">7.4. </w:t>
      </w:r>
      <w:bookmarkEnd w:id="1041"/>
      <w:bookmarkEnd w:id="1042"/>
      <w:r>
        <w:rPr>
          <w:rFonts w:eastAsia="Calibri Light" w:cs="Calibri Light"/>
          <w:b/>
          <w:szCs w:val="26"/>
          <w:lang w:eastAsia="en-US"/>
        </w:rPr>
        <w:t>Обоснование предлагаемых для строительства источников тепловой энергии, функционирующих в режиме комбинированной выработки электрической и тепловой энергии, для обеспечения перспективных тепловых нагрузок, выполненное в порядке, установленном методическими указаниями по разработке схем теплоснабжения</w:t>
      </w:r>
      <w:bookmarkEnd w:id="1040"/>
    </w:p>
    <w:p>
      <w:pPr>
        <w:pStyle w:val="Normal"/>
        <w:ind w:firstLine="709"/>
        <w:jc w:val="both"/>
        <w:rPr>
          <w:rFonts w:eastAsia="Calibri"/>
          <w:lang w:eastAsia="en-US"/>
        </w:rPr>
      </w:pPr>
      <w:r>
        <w:rPr>
          <w:rFonts w:eastAsia="Calibri" w:cs="Calibri"/>
          <w:szCs w:val="22"/>
          <w:lang w:eastAsia="en-US"/>
        </w:rPr>
        <w:t>Настоящей Схемой строительство источников тепловой энергии, функционирующих в режиме комбинированной выработки электрической и тепловой энергии, для обеспечения перспективных тепловых нагрузок, не предусматривается.</w:t>
      </w:r>
      <w:bookmarkStart w:id="1044" w:name="_Toc181340473"/>
      <w:bookmarkStart w:id="1045" w:name="_Toc535409581"/>
      <w:bookmarkStart w:id="1046" w:name="_Toc160530008"/>
      <w:bookmarkStart w:id="1047" w:name="_Hlk160710262"/>
      <w:bookmarkStart w:id="1048" w:name="_Hlk160648164"/>
      <w:bookmarkStart w:id="1049" w:name="sub_1634"/>
      <w:bookmarkEnd w:id="1047"/>
      <w:bookmarkEnd w:id="1048"/>
      <w:bookmarkEnd w:id="1049"/>
    </w:p>
    <w:p>
      <w:pPr>
        <w:pStyle w:val="Normal"/>
        <w:ind w:firstLine="709"/>
        <w:jc w:val="both"/>
        <w:rPr>
          <w:rFonts w:eastAsia="Calibri"/>
          <w:lang w:eastAsia="en-US"/>
        </w:rPr>
      </w:pPr>
      <w:r>
        <w:rPr>
          <w:rFonts w:eastAsia="Calibri"/>
          <w:lang w:eastAsia="en-US"/>
        </w:rPr>
      </w:r>
    </w:p>
    <w:p>
      <w:pPr>
        <w:pStyle w:val="Normal"/>
        <w:ind w:firstLine="709"/>
        <w:jc w:val="both"/>
        <w:rPr>
          <w:rFonts w:eastAsia="Calibri"/>
          <w:lang w:eastAsia="en-US"/>
        </w:rPr>
      </w:pPr>
      <w:r>
        <w:rPr>
          <w:rFonts w:eastAsia="Calibri Light" w:cs="Calibri Light"/>
          <w:b/>
          <w:szCs w:val="26"/>
          <w:lang w:eastAsia="en-US"/>
        </w:rPr>
        <w:t xml:space="preserve">7.5. </w:t>
      </w:r>
      <w:bookmarkEnd w:id="1045"/>
      <w:bookmarkEnd w:id="1046"/>
      <w:r>
        <w:rPr>
          <w:rFonts w:eastAsia="Calibri Light" w:cs="Calibri Light"/>
          <w:b/>
          <w:szCs w:val="26"/>
          <w:lang w:eastAsia="en-US"/>
        </w:rPr>
        <w:t>Обоснование предлагаемых для реконструкции и (или) модернизации действующих источников тепловой энергии, функционирующих в режиме комбинированной выработки электрической и тепловой энергии, для обеспечения перспективных приростов тепловых нагрузок, выполненное в порядке, установленном методическими указаниями по разработке схем теплоснабжения</w:t>
      </w:r>
      <w:bookmarkEnd w:id="1044"/>
    </w:p>
    <w:p>
      <w:pPr>
        <w:pStyle w:val="Normal"/>
        <w:ind w:firstLine="709"/>
        <w:jc w:val="both"/>
        <w:rPr>
          <w:rFonts w:eastAsia="Calibri"/>
          <w:lang w:eastAsia="en-US"/>
        </w:rPr>
      </w:pPr>
      <w:r>
        <w:rPr>
          <w:rFonts w:eastAsia="Calibri" w:cs="Calibri"/>
          <w:szCs w:val="22"/>
          <w:lang w:eastAsia="en-US"/>
        </w:rPr>
        <w:t>Настоящей Схемой реконструкция источников тепловой энергии, функционирующих в режиме комбинированной выработки электрической и тепловой энергии, для обеспечения перспективных тепловых нагрузок, не предусматривается.</w:t>
      </w:r>
      <w:bookmarkStart w:id="1050" w:name="_Toc160530009"/>
      <w:bookmarkStart w:id="1051" w:name="_Toc181340474"/>
      <w:bookmarkStart w:id="1052" w:name="_Toc535409582"/>
      <w:bookmarkStart w:id="1053" w:name="sub_1636"/>
      <w:bookmarkStart w:id="1054" w:name="sub_1635"/>
      <w:bookmarkEnd w:id="1052"/>
      <w:bookmarkEnd w:id="1053"/>
      <w:bookmarkEnd w:id="1054"/>
    </w:p>
    <w:p>
      <w:pPr>
        <w:pStyle w:val="Normal"/>
        <w:ind w:firstLine="709"/>
        <w:jc w:val="both"/>
        <w:rPr>
          <w:rFonts w:eastAsia="Calibri"/>
          <w:lang w:eastAsia="en-US"/>
        </w:rPr>
      </w:pPr>
      <w:r>
        <w:rPr>
          <w:rFonts w:eastAsia="Calibri"/>
          <w:lang w:eastAsia="en-US"/>
        </w:rPr>
      </w:r>
    </w:p>
    <w:p>
      <w:pPr>
        <w:pStyle w:val="Normal"/>
        <w:ind w:firstLine="709"/>
        <w:jc w:val="both"/>
        <w:rPr>
          <w:rFonts w:eastAsia="Calibri"/>
          <w:lang w:eastAsia="en-US"/>
        </w:rPr>
      </w:pPr>
      <w:r>
        <w:rPr>
          <w:rFonts w:eastAsia="Calibri Light" w:cs="Calibri Light"/>
          <w:b/>
          <w:szCs w:val="26"/>
          <w:lang w:eastAsia="en-US"/>
        </w:rPr>
        <w:t xml:space="preserve">7.6. </w:t>
      </w:r>
      <w:bookmarkStart w:id="1055" w:name="_Hlk18342337"/>
      <w:r>
        <w:rPr>
          <w:rFonts w:eastAsia="Calibri Light" w:cs="Calibri Light"/>
          <w:b/>
          <w:szCs w:val="26"/>
          <w:lang w:eastAsia="en-US"/>
        </w:rPr>
        <w:t>Обоснование предложений по переоборудованию котельных в источники тепловой энергии, функционирующие в режиме комбинированной выработки электрической и тепловой энергии, с выработкой электроэнергии на собственные нужды теплоснабжающей организации в отношении источника тепловой энергии, на базе существующих и перспективных тепловых нагрузок</w:t>
      </w:r>
      <w:bookmarkEnd w:id="1050"/>
      <w:bookmarkEnd w:id="1051"/>
      <w:bookmarkEnd w:id="1055"/>
    </w:p>
    <w:p>
      <w:pPr>
        <w:pStyle w:val="Normal"/>
        <w:ind w:firstLine="709"/>
        <w:jc w:val="both"/>
        <w:rPr>
          <w:rFonts w:eastAsia="Calibri"/>
          <w:lang w:eastAsia="en-US"/>
        </w:rPr>
      </w:pPr>
      <w:r>
        <w:rPr>
          <w:rFonts w:eastAsia="Calibri" w:cs="Calibri"/>
          <w:szCs w:val="22"/>
          <w:lang w:eastAsia="en-US"/>
        </w:rPr>
        <w:t>Проведение реконструкции для перевода котельных в комбинированный режим выработки требует высоких капиталовложений. Настоящей Схемой не предусмотрен перевод котельных в режим комбинированной выработки тепловой и электрической энергии.</w:t>
      </w:r>
      <w:bookmarkStart w:id="1056" w:name="_Toc160530010"/>
      <w:bookmarkStart w:id="1057" w:name="_Toc181340475"/>
      <w:bookmarkStart w:id="1058" w:name="_Toc535409583"/>
      <w:bookmarkStart w:id="1059" w:name="_Hlk160648184"/>
      <w:bookmarkEnd w:id="1059"/>
    </w:p>
    <w:p>
      <w:pPr>
        <w:pStyle w:val="Normal"/>
        <w:ind w:firstLine="709"/>
        <w:jc w:val="both"/>
        <w:rPr>
          <w:rFonts w:eastAsia="Calibri"/>
          <w:lang w:eastAsia="en-US"/>
        </w:rPr>
      </w:pPr>
      <w:r>
        <w:rPr>
          <w:rFonts w:eastAsia="Calibri"/>
          <w:lang w:eastAsia="en-US"/>
        </w:rPr>
      </w:r>
    </w:p>
    <w:p>
      <w:pPr>
        <w:pStyle w:val="Normal"/>
        <w:ind w:firstLine="709"/>
        <w:jc w:val="both"/>
        <w:rPr>
          <w:rFonts w:eastAsia="Calibri"/>
          <w:lang w:eastAsia="en-US"/>
        </w:rPr>
      </w:pPr>
      <w:r>
        <w:rPr>
          <w:rFonts w:eastAsia="Calibri Light" w:cs="Calibri Light"/>
          <w:b/>
          <w:szCs w:val="26"/>
          <w:lang w:eastAsia="en-US"/>
        </w:rPr>
        <w:t xml:space="preserve">7.7. </w:t>
      </w:r>
      <w:bookmarkEnd w:id="1058"/>
      <w:r>
        <w:rPr>
          <w:rFonts w:eastAsia="Calibri Light" w:cs="Calibri Light"/>
          <w:b/>
          <w:szCs w:val="26"/>
          <w:lang w:eastAsia="en-US"/>
        </w:rPr>
        <w:t>Обоснование предлагаемых для реконструкции и (или) модернизации котельных с увеличением зоны их действия путем включения в нее зон действия, существующих источников тепловой энергии</w:t>
      </w:r>
      <w:bookmarkStart w:id="1060" w:name="sub_1637"/>
      <w:bookmarkEnd w:id="1056"/>
      <w:bookmarkEnd w:id="1057"/>
      <w:bookmarkEnd w:id="1060"/>
    </w:p>
    <w:p>
      <w:pPr>
        <w:pStyle w:val="Normal"/>
        <w:ind w:firstLine="709"/>
        <w:jc w:val="both"/>
        <w:rPr>
          <w:rFonts w:eastAsia="Calibri"/>
          <w:lang w:eastAsia="en-US"/>
        </w:rPr>
      </w:pPr>
      <w:r>
        <w:rPr/>
        <w:t xml:space="preserve">Настоящей Схемой предусматривается </w:t>
      </w:r>
      <w:r>
        <w:rPr>
          <w:rFonts w:eastAsia="Calibri Light" w:cs="Calibri Light"/>
          <w:szCs w:val="26"/>
          <w:lang w:eastAsia="en-US"/>
        </w:rPr>
        <w:t>реконструкция и модернизация</w:t>
      </w:r>
      <w:r>
        <w:rPr>
          <w:rFonts w:eastAsia="Calibri Light" w:cs="Calibri Light"/>
          <w:b/>
          <w:szCs w:val="26"/>
          <w:lang w:eastAsia="en-US"/>
        </w:rPr>
        <w:t xml:space="preserve"> </w:t>
      </w:r>
      <w:r>
        <w:rPr/>
        <w:t>котельных                     с увеличением зоны их действия путем включения в нее зон действия, существующих источников тепловой энергии:</w:t>
      </w:r>
    </w:p>
    <w:p>
      <w:pPr>
        <w:pStyle w:val="Normal"/>
        <w:ind w:firstLine="709"/>
        <w:jc w:val="both"/>
        <w:rPr>
          <w:rFonts w:eastAsia="Calibri" w:cs="Calibri"/>
          <w:szCs w:val="22"/>
          <w:lang w:eastAsia="ru-RU"/>
        </w:rPr>
      </w:pPr>
      <w:r>
        <w:rPr>
          <w:rFonts w:eastAsia="Calibri"/>
          <w:lang w:eastAsia="en-US"/>
        </w:rPr>
        <w:t>- т</w:t>
      </w:r>
      <w:r>
        <w:rPr/>
        <w:t>ехническое перевооружение котельной № 12 по ул.Медицинская, 3К                                    в пгт.Октябрьское в части замены двух котлов на новые с увеличением установленной мощности с автоматизацией технологического процесса;</w:t>
      </w:r>
    </w:p>
    <w:p>
      <w:pPr>
        <w:pStyle w:val="Normal"/>
        <w:ind w:firstLine="709"/>
        <w:jc w:val="both"/>
        <w:rPr>
          <w:rFonts w:eastAsia="Calibri"/>
          <w:lang w:eastAsia="en-US"/>
        </w:rPr>
      </w:pPr>
      <w:r>
        <w:rPr/>
        <w:t>-</w:t>
      </w:r>
      <w:r>
        <w:rPr>
          <w:rFonts w:eastAsia="Calibri"/>
          <w:lang w:eastAsia="en-US"/>
        </w:rPr>
        <w:t xml:space="preserve"> к</w:t>
      </w:r>
      <w:r>
        <w:rPr/>
        <w:t>апитальный ремонт (техническое перевооружение) котельной № 1 по ул.Сенькина, 46б в пгт.Октябрьское. Вывод из эксплуатации котельной № 3 по ул.Чапаева, 6Б                               с переключением нагрузки на котельную № 1 по ул.Сенькина, 46б.</w:t>
      </w:r>
    </w:p>
    <w:p>
      <w:pPr>
        <w:pStyle w:val="Normal"/>
        <w:ind w:firstLine="709"/>
        <w:jc w:val="both"/>
        <w:rPr>
          <w:rFonts w:eastAsia="Calibri"/>
          <w:lang w:eastAsia="en-US"/>
        </w:rPr>
      </w:pPr>
      <w:r>
        <w:rPr/>
        <w:t>Реализация данных мероприятий запланирована на 2024 – 2027 годы и позволит сократить затраты на топливо за счет увеличения КПД котельной, а также обеспечить надежность теплоснабжения.</w:t>
      </w:r>
    </w:p>
    <w:p>
      <w:pPr>
        <w:pStyle w:val="Normal"/>
        <w:jc w:val="both"/>
        <w:rPr>
          <w:rFonts w:eastAsia="Calibri"/>
          <w:lang w:eastAsia="en-US"/>
        </w:rPr>
      </w:pPr>
      <w:r>
        <w:rPr>
          <w:rFonts w:eastAsia="Calibri"/>
          <w:lang w:eastAsia="en-US"/>
        </w:rPr>
      </w:r>
    </w:p>
    <w:p>
      <w:pPr>
        <w:pStyle w:val="Normal"/>
        <w:ind w:firstLine="709"/>
        <w:jc w:val="both"/>
        <w:rPr>
          <w:rFonts w:eastAsia="Calibri"/>
          <w:lang w:eastAsia="en-US"/>
        </w:rPr>
      </w:pPr>
      <w:bookmarkStart w:id="1061" w:name="_Toc181340476"/>
      <w:bookmarkStart w:id="1062" w:name="_Toc160530011"/>
      <w:bookmarkStart w:id="1063" w:name="_Toc535409584"/>
      <w:r>
        <w:rPr>
          <w:rFonts w:eastAsia="Calibri Light" w:cs="Calibri Light"/>
          <w:b/>
          <w:szCs w:val="26"/>
          <w:lang w:eastAsia="en-US"/>
        </w:rPr>
        <w:t>7.8. Обоснование предлагаемых для перевода в пиковый режим работы котельных по отношению к источникам тепловой энергии, функционирующим в режиме комбинированной выработки электрической и тепловой энергии</w:t>
      </w:r>
      <w:bookmarkEnd w:id="1061"/>
      <w:bookmarkEnd w:id="1062"/>
      <w:bookmarkEnd w:id="1063"/>
    </w:p>
    <w:p>
      <w:pPr>
        <w:pStyle w:val="Normal"/>
        <w:ind w:firstLine="709"/>
        <w:jc w:val="both"/>
        <w:rPr>
          <w:rFonts w:eastAsia="Calibri"/>
          <w:lang w:eastAsia="en-US"/>
        </w:rPr>
      </w:pPr>
      <w:r>
        <w:rPr>
          <w:rFonts w:eastAsia="Calibri" w:cs="Calibri"/>
          <w:szCs w:val="22"/>
          <w:lang w:eastAsia="en-US"/>
        </w:rPr>
        <w:t>Настоящей Схемой перевод источника тепловой энергии в пиковый режим работы не предусматривается.</w:t>
      </w:r>
      <w:bookmarkStart w:id="1064" w:name="_Toc181340477"/>
      <w:bookmarkStart w:id="1065" w:name="_Toc160530012"/>
      <w:bookmarkStart w:id="1066" w:name="_Toc535409585"/>
      <w:bookmarkStart w:id="1067" w:name="_Hlk160648205"/>
      <w:bookmarkStart w:id="1068" w:name="sub_1639"/>
      <w:bookmarkEnd w:id="1066"/>
      <w:bookmarkEnd w:id="1067"/>
      <w:bookmarkEnd w:id="1068"/>
    </w:p>
    <w:p>
      <w:pPr>
        <w:pStyle w:val="Normal"/>
        <w:ind w:firstLine="709"/>
        <w:jc w:val="both"/>
        <w:rPr>
          <w:rFonts w:eastAsia="Calibri"/>
          <w:lang w:eastAsia="en-US"/>
        </w:rPr>
      </w:pPr>
      <w:r>
        <w:rPr>
          <w:rFonts w:eastAsia="Calibri"/>
          <w:lang w:eastAsia="en-US"/>
        </w:rPr>
      </w:r>
    </w:p>
    <w:p>
      <w:pPr>
        <w:pStyle w:val="Normal"/>
        <w:ind w:firstLine="709"/>
        <w:jc w:val="both"/>
        <w:rPr>
          <w:rFonts w:eastAsia="Calibri"/>
          <w:lang w:eastAsia="en-US"/>
        </w:rPr>
      </w:pPr>
      <w:r>
        <w:rPr>
          <w:rFonts w:eastAsia="Calibri Light" w:cs="Calibri Light"/>
          <w:b/>
          <w:szCs w:val="26"/>
          <w:lang w:eastAsia="en-US"/>
        </w:rPr>
        <w:t>7.9. Обоснование предложений по расширению зон действия действующих источников тепловой энергии, функционирующих в режиме комбинированной выработки электрической и тепловой энергии</w:t>
      </w:r>
      <w:bookmarkEnd w:id="1064"/>
      <w:bookmarkEnd w:id="1065"/>
    </w:p>
    <w:p>
      <w:pPr>
        <w:pStyle w:val="Normal"/>
        <w:ind w:firstLine="709"/>
        <w:jc w:val="both"/>
        <w:rPr>
          <w:rFonts w:eastAsia="Calibri"/>
          <w:lang w:eastAsia="en-US"/>
        </w:rPr>
      </w:pPr>
      <w:r>
        <w:rPr>
          <w:rFonts w:eastAsia="Calibri" w:cs="Calibri"/>
          <w:szCs w:val="22"/>
          <w:lang w:eastAsia="en-US"/>
        </w:rPr>
        <w:t xml:space="preserve">Настоящей Схемой расширение зон действия действующих источников не предусматривается. </w:t>
      </w:r>
      <w:bookmarkStart w:id="1069" w:name="_Toc535409586"/>
      <w:bookmarkStart w:id="1070" w:name="_Toc181340478"/>
      <w:bookmarkStart w:id="1071" w:name="_Toc160530013"/>
    </w:p>
    <w:p>
      <w:pPr>
        <w:pStyle w:val="Normal"/>
        <w:ind w:firstLine="709"/>
        <w:jc w:val="both"/>
        <w:rPr>
          <w:rFonts w:eastAsia="Calibri"/>
          <w:lang w:eastAsia="en-US"/>
        </w:rPr>
      </w:pPr>
      <w:r>
        <w:rPr>
          <w:rFonts w:eastAsia="Calibri"/>
          <w:lang w:eastAsia="en-US"/>
        </w:rPr>
      </w:r>
    </w:p>
    <w:p>
      <w:pPr>
        <w:pStyle w:val="Normal"/>
        <w:ind w:firstLine="709"/>
        <w:jc w:val="both"/>
        <w:rPr>
          <w:rFonts w:eastAsia="Calibri"/>
          <w:lang w:eastAsia="en-US"/>
        </w:rPr>
      </w:pPr>
      <w:r>
        <w:rPr>
          <w:rFonts w:eastAsia="Calibri Light" w:cs="Calibri Light"/>
          <w:b/>
          <w:szCs w:val="26"/>
          <w:lang w:eastAsia="en-US"/>
        </w:rPr>
        <w:t>7.10. Обоснование предлагаемых для вывода в резерв и (или) вывода из эксплуатации котельных при передаче тепловых нагрузок на другие источники тепловой энергии</w:t>
      </w:r>
      <w:bookmarkStart w:id="1072" w:name="_Hlk160648213"/>
      <w:bookmarkEnd w:id="1069"/>
      <w:bookmarkEnd w:id="1070"/>
      <w:bookmarkEnd w:id="1071"/>
      <w:bookmarkEnd w:id="1072"/>
    </w:p>
    <w:p>
      <w:pPr>
        <w:pStyle w:val="Normal"/>
        <w:ind w:firstLine="709"/>
        <w:jc w:val="both"/>
        <w:rPr>
          <w:rFonts w:eastAsia="Calibri"/>
          <w:lang w:eastAsia="en-US"/>
        </w:rPr>
      </w:pPr>
      <w:r>
        <w:rPr/>
        <w:t>Настоящей Схемой теплоснабжения предусматривается вывод из эксплуатации котельной № 8 пгт.Октябрьское,ул. 50 лет Победы, 38а путем перехода на автономные источники теплоснабжения с отказом от эксплуатации тепловых сетей.</w:t>
      </w:r>
      <w:bookmarkStart w:id="1073" w:name="_Toc181340479"/>
      <w:bookmarkStart w:id="1074" w:name="_Toc160530014"/>
    </w:p>
    <w:p>
      <w:pPr>
        <w:pStyle w:val="Normal"/>
        <w:ind w:firstLine="709"/>
        <w:jc w:val="both"/>
        <w:rPr>
          <w:rFonts w:eastAsia="Calibri"/>
          <w:lang w:eastAsia="en-US"/>
        </w:rPr>
      </w:pPr>
      <w:r>
        <w:rPr>
          <w:rFonts w:eastAsia="Calibri Light" w:cs="Calibri Light"/>
          <w:b/>
          <w:szCs w:val="26"/>
          <w:lang w:eastAsia="en-US"/>
        </w:rPr>
        <w:t xml:space="preserve">7.11. </w:t>
      </w:r>
      <w:bookmarkEnd w:id="1074"/>
      <w:r>
        <w:rPr>
          <w:rFonts w:eastAsia="Calibri Light" w:cs="Calibri Light"/>
          <w:b/>
          <w:szCs w:val="26"/>
          <w:lang w:eastAsia="en-US"/>
        </w:rPr>
        <w:t>Обоснование организации индивидуального теплоснабжения в зонах застройки поселения малоэтажными жилыми зданиями</w:t>
      </w:r>
      <w:bookmarkEnd w:id="1073"/>
    </w:p>
    <w:p>
      <w:pPr>
        <w:pStyle w:val="Normal"/>
        <w:ind w:firstLine="709"/>
        <w:jc w:val="both"/>
        <w:rPr>
          <w:rFonts w:eastAsia="Calibri"/>
          <w:lang w:eastAsia="en-US"/>
        </w:rPr>
      </w:pPr>
      <w:r>
        <w:rPr/>
        <w:t xml:space="preserve">Предложения по организации индивидуального теплоснабжения рекомендуется разрабатывать в зонах застройки малоэтажными жилыми зданиями и плотностью тепловой нагрузки меньше 0,01 Гкал/га. </w:t>
      </w:r>
      <w:bookmarkStart w:id="1075" w:name="_Hlk160528465"/>
    </w:p>
    <w:p>
      <w:pPr>
        <w:pStyle w:val="Normal"/>
        <w:ind w:firstLine="709"/>
        <w:jc w:val="both"/>
        <w:rPr>
          <w:rFonts w:eastAsia="Calibri"/>
          <w:lang w:eastAsia="en-US"/>
        </w:rPr>
      </w:pPr>
      <w:r>
        <w:rPr/>
        <w:t>При разработке проектов планировки и проектов застройки для малоэтажной жилой застройки и застройки индивидуальными жилыми домами, необходимо предусматривать теплоснабжение от автономных источников тепловой энергии. Централизованное теплоснабжение малоэтажной застройки и индивидуальной застройки нецелесообразно по причине малых нагрузок и малой плотности застройки, ввиду чего требуется строительство тепловых сетей малых диаметров, но большой протяженности.</w:t>
      </w:r>
      <w:bookmarkEnd w:id="1075"/>
    </w:p>
    <w:p>
      <w:pPr>
        <w:pStyle w:val="Normal"/>
        <w:ind w:firstLine="709"/>
        <w:jc w:val="both"/>
        <w:rPr>
          <w:rFonts w:eastAsia="Calibri"/>
          <w:lang w:eastAsia="en-US"/>
        </w:rPr>
      </w:pPr>
      <w:r>
        <w:rPr/>
        <w:t>В связи с выводом из эксплуатации части тепловых сетей в 2025 году планируется выполнить работы по организации автономного теплоснабжений следующих объектов:</w:t>
      </w:r>
    </w:p>
    <w:p>
      <w:pPr>
        <w:pStyle w:val="Normal"/>
        <w:ind w:firstLine="709"/>
        <w:jc w:val="both"/>
        <w:rPr>
          <w:rFonts w:eastAsia="Calibri" w:cs="Calibri"/>
          <w:szCs w:val="22"/>
          <w:lang w:eastAsia="ru-RU"/>
        </w:rPr>
      </w:pPr>
      <w:r>
        <w:rPr/>
        <w:t>- жилые дома № 1, 5, 6, 7, 9 (кв.2), 11, 12 , 18, 24, 30а по ул.Урманной. Вывод из эксплуатации тепловой сети протяженностью 534 м, диаметр 76мм.;</w:t>
      </w:r>
    </w:p>
    <w:p>
      <w:pPr>
        <w:pStyle w:val="Normal"/>
        <w:ind w:firstLine="709"/>
        <w:jc w:val="both"/>
        <w:rPr>
          <w:rFonts w:eastAsia="Calibri" w:cs="Calibri"/>
          <w:szCs w:val="22"/>
          <w:lang w:eastAsia="ru-RU"/>
        </w:rPr>
      </w:pPr>
      <w:r>
        <w:rPr/>
        <w:t>-</w:t>
      </w:r>
      <w:r>
        <w:rPr>
          <w:rFonts w:eastAsia="Calibri"/>
          <w:lang w:eastAsia="en-US"/>
        </w:rPr>
        <w:t xml:space="preserve"> ж</w:t>
      </w:r>
      <w:r>
        <w:rPr/>
        <w:t>илые дома № 12, 14, 19, 77, 80 по ул.Чапаева. Вывод из эксплуатации тепловой сети протяженностью 639 м, диаметр 76мм.;</w:t>
      </w:r>
    </w:p>
    <w:p>
      <w:pPr>
        <w:pStyle w:val="Normal"/>
        <w:ind w:firstLine="709"/>
        <w:jc w:val="both"/>
        <w:rPr>
          <w:rFonts w:eastAsia="Calibri"/>
          <w:lang w:eastAsia="en-US"/>
        </w:rPr>
      </w:pPr>
      <w:r>
        <w:rPr/>
        <w:t>-</w:t>
      </w:r>
      <w:r>
        <w:rPr>
          <w:rFonts w:eastAsia="Calibri"/>
          <w:lang w:eastAsia="en-US"/>
        </w:rPr>
        <w:t xml:space="preserve"> ж</w:t>
      </w:r>
      <w:r>
        <w:rPr/>
        <w:t>илые дома № 10 (кв. 3), 12 по ул.Победы. Вывод из эксплуатации тепловой сети протяженностью 191 м, диаметр 76мм.</w:t>
      </w:r>
      <w:bookmarkStart w:id="1076" w:name="_Toc181340480"/>
      <w:bookmarkStart w:id="1077" w:name="_Toc160530015"/>
      <w:bookmarkStart w:id="1078" w:name="_Toc535409588"/>
    </w:p>
    <w:p>
      <w:pPr>
        <w:pStyle w:val="Normal"/>
        <w:ind w:firstLine="709"/>
        <w:jc w:val="both"/>
        <w:rPr>
          <w:rFonts w:eastAsia="Calibri"/>
          <w:lang w:eastAsia="en-US"/>
        </w:rPr>
      </w:pPr>
      <w:r>
        <w:rPr>
          <w:rFonts w:eastAsia="Calibri Light" w:cs="Calibri Light"/>
          <w:b/>
          <w:szCs w:val="26"/>
          <w:lang w:eastAsia="en-US"/>
        </w:rPr>
        <w:t>7.12. Обоснование перспективных балансов производства и потребления тепловой мощности источников тепловой энергии и теплоносителя и присоединенной тепловой нагрузки в каждой из систем теплоснабжения поселения</w:t>
      </w:r>
      <w:bookmarkStart w:id="1079" w:name="sub_16312"/>
      <w:bookmarkEnd w:id="1076"/>
      <w:bookmarkEnd w:id="1077"/>
      <w:bookmarkEnd w:id="1078"/>
      <w:bookmarkEnd w:id="1079"/>
    </w:p>
    <w:p>
      <w:pPr>
        <w:pStyle w:val="Normal"/>
        <w:ind w:firstLine="709"/>
        <w:jc w:val="both"/>
        <w:rPr>
          <w:rFonts w:eastAsia="Calibri" w:cs="Calibri"/>
          <w:lang w:eastAsia="en-US"/>
        </w:rPr>
      </w:pPr>
      <w:r>
        <w:rPr>
          <w:rFonts w:eastAsia="Calibri" w:cs="Calibri"/>
          <w:szCs w:val="22"/>
          <w:lang w:eastAsia="en-US"/>
        </w:rPr>
        <w:t>Перспективные балансы тепловой мощности источника тепловой энергии и теплоносителя и присоединенной тепловой нагрузки в системе теплоснабжения рассчитывались на основании предоставленной информации о приростах площадей строительных фондов в зоне действия источника тепловой энергии, с учетом величины подключаемых тепловых нагрузок. Перспективные балансы производительности и потребления тепловой мощности источников тепловой энергии и теплоносителя приведены в Главах 4 и 6 настоящего документа.</w:t>
      </w:r>
      <w:bookmarkStart w:id="1080" w:name="_Toc181340481"/>
      <w:bookmarkStart w:id="1081" w:name="_Toc535409589"/>
      <w:bookmarkStart w:id="1082" w:name="_Toc160530016"/>
      <w:bookmarkStart w:id="1083" w:name="_Hlk160710345"/>
      <w:bookmarkEnd w:id="1083"/>
    </w:p>
    <w:p>
      <w:pPr>
        <w:pStyle w:val="Normal"/>
        <w:ind w:firstLine="709"/>
        <w:jc w:val="both"/>
        <w:rPr>
          <w:rFonts w:eastAsia="Calibri" w:cs="Calibri"/>
          <w:lang w:eastAsia="en-US"/>
        </w:rPr>
      </w:pPr>
      <w:r>
        <w:rPr>
          <w:rFonts w:eastAsia="Calibri Light" w:cs="Calibri Light"/>
          <w:b/>
          <w:szCs w:val="26"/>
          <w:lang w:eastAsia="en-US"/>
        </w:rPr>
        <w:t xml:space="preserve">7.13. </w:t>
      </w:r>
      <w:bookmarkEnd w:id="1081"/>
      <w:bookmarkEnd w:id="1082"/>
      <w:r>
        <w:rPr>
          <w:rFonts w:eastAsia="Calibri Light" w:cs="Calibri Light"/>
          <w:b/>
          <w:szCs w:val="26"/>
          <w:lang w:eastAsia="en-US"/>
        </w:rPr>
        <w:t>Анализ целесообразности ввода новых и реконструкции и (или) модернизации существующих источников тепловой энергии с использованием возобновляемых источников энергии, а также местных видов топлива</w:t>
      </w:r>
      <w:bookmarkStart w:id="1084" w:name="sub_16313"/>
      <w:bookmarkEnd w:id="1080"/>
      <w:bookmarkEnd w:id="1084"/>
    </w:p>
    <w:p>
      <w:pPr>
        <w:pStyle w:val="Normal"/>
        <w:ind w:firstLine="709"/>
        <w:jc w:val="both"/>
        <w:rPr>
          <w:rFonts w:eastAsia="Calibri" w:cs="Calibri"/>
          <w:lang w:eastAsia="en-US"/>
        </w:rPr>
      </w:pPr>
      <w:r>
        <w:rPr>
          <w:rFonts w:eastAsia="Calibri" w:cs="Calibri"/>
          <w:szCs w:val="28"/>
          <w:lang w:eastAsia="en-US"/>
        </w:rPr>
        <w:t>Мероприятия по использованию возобновляемых источников энергии и местных видов топлив на источниках тепловой энергии не предусмотрены.</w:t>
      </w:r>
      <w:bookmarkStart w:id="1085" w:name="_Toc535409590"/>
      <w:bookmarkStart w:id="1086" w:name="_Toc181340482"/>
      <w:bookmarkStart w:id="1087" w:name="_Toc160530017"/>
    </w:p>
    <w:p>
      <w:pPr>
        <w:pStyle w:val="Normal"/>
        <w:ind w:firstLine="709"/>
        <w:jc w:val="both"/>
        <w:rPr>
          <w:rFonts w:eastAsia="Calibri" w:cs="Calibri"/>
          <w:lang w:eastAsia="en-US"/>
        </w:rPr>
      </w:pPr>
      <w:r>
        <w:rPr>
          <w:rFonts w:eastAsia="Calibri Light" w:cs="Calibri Light"/>
          <w:b/>
          <w:szCs w:val="26"/>
          <w:lang w:eastAsia="en-US"/>
        </w:rPr>
        <w:t>7.14. Обоснование организации теплоснабжения в производственных зонах на территории поселения</w:t>
      </w:r>
      <w:bookmarkStart w:id="1088" w:name="sub_16314"/>
      <w:bookmarkEnd w:id="1085"/>
      <w:bookmarkEnd w:id="1086"/>
      <w:bookmarkEnd w:id="1087"/>
      <w:bookmarkEnd w:id="1088"/>
    </w:p>
    <w:p>
      <w:pPr>
        <w:pStyle w:val="Normal"/>
        <w:ind w:firstLine="709"/>
        <w:jc w:val="both"/>
        <w:rPr>
          <w:rFonts w:eastAsia="Calibri" w:cs="Calibri"/>
          <w:lang w:eastAsia="en-US"/>
        </w:rPr>
      </w:pPr>
      <w:r>
        <w:rPr>
          <w:rFonts w:eastAsia="Calibri" w:cs="Calibri"/>
          <w:szCs w:val="22"/>
          <w:lang w:eastAsia="en-US"/>
        </w:rPr>
        <w:t xml:space="preserve">Источники тепловой энергии на территории производственных зон используются исключительно для технологических и иных нужд самой производственной зоны. </w:t>
      </w:r>
    </w:p>
    <w:p>
      <w:pPr>
        <w:sectPr>
          <w:headerReference w:type="default" r:id="rId57"/>
          <w:footerReference w:type="default" r:id="rId58"/>
          <w:type w:val="nextPage"/>
          <w:pgSz w:w="11906" w:h="16838"/>
          <w:pgMar w:left="1701" w:right="567" w:header="709" w:top="1134" w:footer="709" w:bottom="1134" w:gutter="0"/>
          <w:pgNumType w:fmt="decimal"/>
          <w:formProt w:val="false"/>
          <w:textDirection w:val="lrTb"/>
          <w:docGrid w:type="default" w:linePitch="360" w:charSpace="0"/>
        </w:sectPr>
        <w:pStyle w:val="Normal"/>
        <w:ind w:firstLine="709"/>
        <w:jc w:val="both"/>
        <w:rPr>
          <w:rFonts w:eastAsia="Calibri" w:cs="Calibri"/>
          <w:lang w:eastAsia="en-US"/>
        </w:rPr>
      </w:pPr>
      <w:r>
        <w:rPr>
          <w:rFonts w:eastAsia="Calibri" w:cs="Calibri"/>
          <w:szCs w:val="22"/>
          <w:lang w:eastAsia="en-US"/>
        </w:rPr>
        <w:t>На расчетный срок строительство производственных предприятий с использованием тепловой энергии от централизованных источников теплоснабжения не планируе</w:t>
      </w:r>
      <w:bookmarkStart w:id="1089" w:name="_Hlk160648330"/>
      <w:bookmarkStart w:id="1090" w:name="sub_16315"/>
      <w:bookmarkStart w:id="1091" w:name="_Toc535409591"/>
      <w:bookmarkEnd w:id="1089"/>
      <w:bookmarkEnd w:id="1090"/>
      <w:bookmarkEnd w:id="1091"/>
      <w:r>
        <w:rPr>
          <w:rFonts w:eastAsia="Calibri" w:cs="Calibri"/>
          <w:szCs w:val="22"/>
          <w:lang w:eastAsia="en-US"/>
        </w:rPr>
        <w:t xml:space="preserve">тся. </w:t>
      </w:r>
    </w:p>
    <w:p>
      <w:pPr>
        <w:pStyle w:val="Normal"/>
        <w:keepNext w:val="true"/>
        <w:keepLines/>
        <w:numPr>
          <w:ilvl w:val="0"/>
          <w:numId w:val="0"/>
        </w:numPr>
        <w:ind w:left="0" w:firstLine="709"/>
        <w:jc w:val="both"/>
        <w:outlineLvl w:val="1"/>
        <w:rPr>
          <w:rFonts w:eastAsia="Calibri Light" w:cs="Calibri Light"/>
          <w:b/>
          <w:b/>
          <w:szCs w:val="26"/>
          <w:lang w:eastAsia="en-US"/>
        </w:rPr>
      </w:pPr>
      <w:bookmarkStart w:id="1092" w:name="_Toc181340483"/>
      <w:bookmarkStart w:id="1093" w:name="_Toc160530018"/>
      <w:bookmarkStart w:id="1094" w:name="_Toc160455136"/>
      <w:r>
        <w:rPr>
          <w:rFonts w:eastAsia="Calibri Light" w:cs="Calibri Light"/>
          <w:b/>
          <w:szCs w:val="26"/>
          <w:lang w:eastAsia="en-US"/>
        </w:rPr>
        <w:t>7.15. Результаты расчетов радиуса эффективного теплоснабжения</w:t>
      </w:r>
      <w:bookmarkEnd w:id="1092"/>
      <w:bookmarkEnd w:id="1093"/>
      <w:bookmarkEnd w:id="1094"/>
    </w:p>
    <w:p>
      <w:pPr>
        <w:pStyle w:val="Normal"/>
        <w:keepNext w:val="true"/>
        <w:keepLines/>
        <w:numPr>
          <w:ilvl w:val="0"/>
          <w:numId w:val="0"/>
        </w:numPr>
        <w:ind w:left="0" w:firstLine="709"/>
        <w:jc w:val="both"/>
        <w:outlineLvl w:val="1"/>
        <w:rPr>
          <w:rFonts w:eastAsia="Calibri Light" w:cs="Calibri Light"/>
          <w:b/>
          <w:b/>
          <w:szCs w:val="26"/>
          <w:lang w:eastAsia="en-US"/>
        </w:rPr>
      </w:pPr>
      <w:r>
        <w:rPr>
          <w:position w:val="-12"/>
          <w:lang w:eastAsia="ar-SA"/>
        </w:rPr>
        <w:t>Расчет оптимального радиуса теплоснабжения, применяемого в качестве характерного параметра, позволит определить границы действия централизованного теплоснабжения по целевой функции минимума себестоимости полезно отпущенного тепла. При этом возможен также вариант убыточности дальнего транспорта тепла, принимая во внимание важность и сложность проблемы.</w:t>
      </w:r>
    </w:p>
    <w:p>
      <w:pPr>
        <w:pStyle w:val="Normal"/>
        <w:keepNext w:val="true"/>
        <w:keepLines/>
        <w:numPr>
          <w:ilvl w:val="0"/>
          <w:numId w:val="0"/>
        </w:numPr>
        <w:ind w:left="0" w:firstLine="709"/>
        <w:jc w:val="both"/>
        <w:outlineLvl w:val="1"/>
        <w:rPr>
          <w:rFonts w:eastAsia="Calibri Light" w:cs="Calibri Light"/>
          <w:b/>
          <w:b/>
          <w:szCs w:val="26"/>
          <w:lang w:eastAsia="en-US"/>
        </w:rPr>
      </w:pPr>
      <w:r>
        <w:rPr/>
        <w:t>Расчет радиуса эффективного теплоснабжения проводился в соответствии с методикой расчета приведённой в приложении 40 Методических указаний по разработке схем теплоснабжения, утвержденных приказом Минэнерго России от 05.03.2019 № 212.</w:t>
      </w:r>
      <w:bookmarkStart w:id="1095" w:name="_Toc391983076"/>
      <w:bookmarkStart w:id="1096" w:name="_Toc391993917"/>
      <w:bookmarkStart w:id="1097" w:name="_Toc393288494"/>
      <w:r>
        <w:rPr/>
        <w:t xml:space="preserve"> В соответствии с данной методикой радиус эффективного теплоснабжения определяется как максимальное расстояние от теплопотребляющей установки до ближайшего источника тепловой энергии в системе теплоснабжения, при превышении которого подключение (технологическое присоединение) теплопотребляющей установки к данной системе теплоснабжения нецелесообразно по причине увеличения совокупных расходов в системе теплоснабжения. Другими словами, радиус эффективного теплоснабжение рассчитывается как максимальное расстояние от нового объекта теплопотребления с заданной тепловой нагрузкой до точки возможного подключения к существующим тепловым сетям.</w:t>
      </w:r>
    </w:p>
    <w:p>
      <w:pPr>
        <w:pStyle w:val="Normal"/>
        <w:spacing w:before="0" w:after="0"/>
        <w:ind w:firstLine="567"/>
        <w:contextualSpacing/>
        <w:rPr>
          <w:rFonts w:eastAsia="Calibri" w:cs="Calibri"/>
          <w:szCs w:val="22"/>
          <w:lang w:eastAsia="ru-RU"/>
        </w:rPr>
      </w:pPr>
      <w:r>
        <w:rPr>
          <w:position w:val="-12"/>
        </w:rPr>
        <w:t>Результаты расчетов представлены в таблице 27.</w:t>
      </w:r>
      <w:bookmarkEnd w:id="1095"/>
      <w:bookmarkEnd w:id="1096"/>
      <w:bookmarkEnd w:id="1097"/>
    </w:p>
    <w:p>
      <w:pPr>
        <w:pStyle w:val="Caption"/>
        <w:jc w:val="right"/>
        <w:rPr>
          <w:i w:val="false"/>
          <w:i w:val="false"/>
        </w:rPr>
      </w:pPr>
      <w:r>
        <w:rPr>
          <w:i w:val="false"/>
        </w:rPr>
        <w:t>Таблица 27 – Расчет радиуса эффективного теплоснабжения</w:t>
      </w:r>
    </w:p>
    <w:tbl>
      <w:tblPr>
        <w:tblW w:w="4950" w:type="pct"/>
        <w:jc w:val="center"/>
        <w:tblInd w:w="0" w:type="dxa"/>
        <w:tblCellMar>
          <w:top w:w="0" w:type="dxa"/>
          <w:left w:w="108" w:type="dxa"/>
          <w:bottom w:w="0" w:type="dxa"/>
          <w:right w:w="108" w:type="dxa"/>
        </w:tblCellMar>
        <w:tblLook w:val="04a0" w:noVBand="1" w:noHBand="0" w:lastColumn="0" w:firstColumn="1" w:lastRow="0" w:firstRow="1"/>
      </w:tblPr>
      <w:tblGrid>
        <w:gridCol w:w="695"/>
        <w:gridCol w:w="3036"/>
        <w:gridCol w:w="1069"/>
        <w:gridCol w:w="1069"/>
        <w:gridCol w:w="1067"/>
        <w:gridCol w:w="1069"/>
        <w:gridCol w:w="1067"/>
        <w:gridCol w:w="1069"/>
        <w:gridCol w:w="1066"/>
        <w:gridCol w:w="1067"/>
        <w:gridCol w:w="1069"/>
        <w:gridCol w:w="1080"/>
      </w:tblGrid>
      <w:tr>
        <w:trPr>
          <w:tblHeader w:val="true"/>
          <w:cantSplit w:val="true"/>
        </w:trPr>
        <w:tc>
          <w:tcPr>
            <w:tcW w:w="695"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rPr>
            </w:pPr>
            <w:r>
              <w:rPr>
                <w:sz w:val="22"/>
              </w:rPr>
              <w:t xml:space="preserve">№ </w:t>
            </w:r>
            <w:r>
              <w:rPr>
                <w:sz w:val="22"/>
              </w:rPr>
              <w:t>п/п</w:t>
            </w:r>
          </w:p>
        </w:tc>
        <w:tc>
          <w:tcPr>
            <w:tcW w:w="3036"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rPr>
            </w:pPr>
            <w:r>
              <w:rPr>
                <w:sz w:val="22"/>
              </w:rPr>
              <w:t>Наименование источника</w:t>
            </w:r>
          </w:p>
        </w:tc>
        <w:tc>
          <w:tcPr>
            <w:tcW w:w="10692" w:type="dxa"/>
            <w:gridSpan w:val="10"/>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sz w:val="22"/>
              </w:rPr>
            </w:pPr>
            <w:r>
              <w:rPr>
                <w:sz w:val="22"/>
              </w:rPr>
              <w:t>Присоединяемая тепловая нагрузка, Гкал/час</w:t>
            </w:r>
          </w:p>
        </w:tc>
      </w:tr>
      <w:tr>
        <w:trPr>
          <w:tblHeader w:val="true"/>
          <w:cantSplit w:val="true"/>
        </w:trPr>
        <w:tc>
          <w:tcPr>
            <w:tcW w:w="69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rPr>
            </w:pPr>
            <w:r>
              <w:rPr>
                <w:sz w:val="22"/>
              </w:rPr>
            </w:r>
          </w:p>
        </w:tc>
        <w:tc>
          <w:tcPr>
            <w:tcW w:w="303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rPr>
            </w:pPr>
            <w:r>
              <w:rPr>
                <w:sz w:val="22"/>
              </w:rPr>
            </w:r>
          </w:p>
        </w:tc>
        <w:tc>
          <w:tcPr>
            <w:tcW w:w="106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sz w:val="22"/>
              </w:rPr>
            </w:pPr>
            <w:r>
              <w:rPr>
                <w:sz w:val="22"/>
              </w:rPr>
              <w:t>0,1</w:t>
            </w:r>
          </w:p>
        </w:tc>
        <w:tc>
          <w:tcPr>
            <w:tcW w:w="106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sz w:val="22"/>
              </w:rPr>
            </w:pPr>
            <w:r>
              <w:rPr>
                <w:sz w:val="22"/>
              </w:rPr>
              <w:t>0,15</w:t>
            </w:r>
          </w:p>
        </w:tc>
        <w:tc>
          <w:tcPr>
            <w:tcW w:w="106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sz w:val="22"/>
              </w:rPr>
            </w:pPr>
            <w:r>
              <w:rPr>
                <w:sz w:val="22"/>
              </w:rPr>
              <w:t>0,2</w:t>
            </w:r>
          </w:p>
        </w:tc>
        <w:tc>
          <w:tcPr>
            <w:tcW w:w="106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sz w:val="22"/>
              </w:rPr>
            </w:pPr>
            <w:r>
              <w:rPr>
                <w:sz w:val="22"/>
              </w:rPr>
              <w:t>0,25</w:t>
            </w:r>
          </w:p>
        </w:tc>
        <w:tc>
          <w:tcPr>
            <w:tcW w:w="106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sz w:val="22"/>
              </w:rPr>
            </w:pPr>
            <w:r>
              <w:rPr>
                <w:sz w:val="22"/>
              </w:rPr>
              <w:t>0,3</w:t>
            </w:r>
          </w:p>
        </w:tc>
        <w:tc>
          <w:tcPr>
            <w:tcW w:w="106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jc w:val="center"/>
              <w:rPr>
                <w:sz w:val="22"/>
              </w:rPr>
            </w:pPr>
            <w:r>
              <w:rPr>
                <w:sz w:val="22"/>
              </w:rPr>
              <w:t>0,35</w:t>
            </w:r>
          </w:p>
        </w:tc>
        <w:tc>
          <w:tcPr>
            <w:tcW w:w="1066" w:type="dxa"/>
            <w:tcBorders>
              <w:top w:val="single" w:sz="4" w:space="0" w:color="000000"/>
              <w:left w:val="single" w:sz="4" w:space="0" w:color="000000"/>
              <w:bottom w:val="single" w:sz="4" w:space="0" w:color="000000"/>
              <w:right w:val="single" w:sz="4" w:space="0" w:color="000000"/>
            </w:tcBorders>
            <w:vAlign w:val="bottom"/>
          </w:tcPr>
          <w:p>
            <w:pPr>
              <w:pStyle w:val="Normal"/>
              <w:jc w:val="center"/>
              <w:rPr>
                <w:sz w:val="22"/>
              </w:rPr>
            </w:pPr>
            <w:r>
              <w:rPr>
                <w:sz w:val="22"/>
              </w:rPr>
              <w:t>0,4</w:t>
            </w:r>
          </w:p>
        </w:tc>
        <w:tc>
          <w:tcPr>
            <w:tcW w:w="1067" w:type="dxa"/>
            <w:tcBorders>
              <w:top w:val="single" w:sz="4" w:space="0" w:color="000000"/>
              <w:left w:val="single" w:sz="4" w:space="0" w:color="000000"/>
              <w:bottom w:val="single" w:sz="4" w:space="0" w:color="000000"/>
              <w:right w:val="single" w:sz="4" w:space="0" w:color="000000"/>
            </w:tcBorders>
            <w:vAlign w:val="bottom"/>
          </w:tcPr>
          <w:p>
            <w:pPr>
              <w:pStyle w:val="Normal"/>
              <w:jc w:val="center"/>
              <w:rPr>
                <w:sz w:val="22"/>
              </w:rPr>
            </w:pPr>
            <w:r>
              <w:rPr>
                <w:sz w:val="22"/>
              </w:rPr>
              <w:t>0,45</w:t>
            </w:r>
          </w:p>
        </w:tc>
        <w:tc>
          <w:tcPr>
            <w:tcW w:w="1069" w:type="dxa"/>
            <w:tcBorders>
              <w:top w:val="single" w:sz="4" w:space="0" w:color="000000"/>
              <w:left w:val="single" w:sz="4" w:space="0" w:color="000000"/>
              <w:bottom w:val="single" w:sz="4" w:space="0" w:color="000000"/>
              <w:right w:val="single" w:sz="4" w:space="0" w:color="000000"/>
            </w:tcBorders>
            <w:vAlign w:val="bottom"/>
          </w:tcPr>
          <w:p>
            <w:pPr>
              <w:pStyle w:val="Normal"/>
              <w:jc w:val="center"/>
              <w:rPr>
                <w:sz w:val="22"/>
              </w:rPr>
            </w:pPr>
            <w:r>
              <w:rPr>
                <w:sz w:val="22"/>
              </w:rPr>
              <w:t>0,5</w:t>
            </w:r>
          </w:p>
        </w:tc>
        <w:tc>
          <w:tcPr>
            <w:tcW w:w="1080" w:type="dxa"/>
            <w:tcBorders>
              <w:top w:val="single" w:sz="4" w:space="0" w:color="000000"/>
              <w:left w:val="single" w:sz="4" w:space="0" w:color="000000"/>
              <w:bottom w:val="single" w:sz="4" w:space="0" w:color="000000"/>
              <w:right w:val="single" w:sz="4" w:space="0" w:color="000000"/>
            </w:tcBorders>
            <w:vAlign w:val="bottom"/>
          </w:tcPr>
          <w:p>
            <w:pPr>
              <w:pStyle w:val="Normal"/>
              <w:jc w:val="center"/>
              <w:rPr>
                <w:sz w:val="22"/>
              </w:rPr>
            </w:pPr>
            <w:r>
              <w:rPr>
                <w:sz w:val="22"/>
              </w:rPr>
              <w:t>0,8</w:t>
            </w:r>
          </w:p>
        </w:tc>
      </w:tr>
      <w:tr>
        <w:trPr>
          <w:cantSplit w:val="true"/>
        </w:trPr>
        <w:tc>
          <w:tcPr>
            <w:tcW w:w="69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rPr>
            </w:pPr>
            <w:r>
              <w:rPr>
                <w:sz w:val="22"/>
              </w:rPr>
              <w:t>1</w:t>
            </w:r>
          </w:p>
        </w:tc>
        <w:tc>
          <w:tcPr>
            <w:tcW w:w="303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rPr>
                <w:sz w:val="22"/>
              </w:rPr>
            </w:pPr>
            <w:r>
              <w:rPr>
                <w:sz w:val="20"/>
                <w:szCs w:val="20"/>
              </w:rPr>
              <w:t>Котельные, обслуживаемые МП МО Октябрьский район «ОКС» (городское поселение Октябрьское)</w:t>
            </w:r>
          </w:p>
        </w:tc>
        <w:tc>
          <w:tcPr>
            <w:tcW w:w="1069" w:type="dxa"/>
            <w:tcBorders>
              <w:top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rPr>
              <w:t>11,98</w:t>
            </w:r>
          </w:p>
        </w:tc>
        <w:tc>
          <w:tcPr>
            <w:tcW w:w="10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rPr>
              <w:t>13,06</w:t>
            </w:r>
          </w:p>
        </w:tc>
        <w:tc>
          <w:tcPr>
            <w:tcW w:w="10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rPr>
              <w:t>15,00</w:t>
            </w:r>
          </w:p>
        </w:tc>
        <w:tc>
          <w:tcPr>
            <w:tcW w:w="10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rPr>
              <w:t>17,95</w:t>
            </w:r>
          </w:p>
        </w:tc>
        <w:tc>
          <w:tcPr>
            <w:tcW w:w="10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rPr>
              <w:t>20,98</w:t>
            </w:r>
          </w:p>
        </w:tc>
        <w:tc>
          <w:tcPr>
            <w:tcW w:w="10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rPr>
              <w:t>21,62</w:t>
            </w:r>
          </w:p>
        </w:tc>
        <w:tc>
          <w:tcPr>
            <w:tcW w:w="10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rPr>
              <w:t>24,48</w:t>
            </w:r>
          </w:p>
        </w:tc>
        <w:tc>
          <w:tcPr>
            <w:tcW w:w="10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rPr>
              <w:t>27,41</w:t>
            </w:r>
          </w:p>
        </w:tc>
        <w:tc>
          <w:tcPr>
            <w:tcW w:w="10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rPr>
              <w:t>30,39</w:t>
            </w:r>
          </w:p>
        </w:tc>
        <w:tc>
          <w:tcPr>
            <w:tcW w:w="108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rPr>
              <w:t>43,59</w:t>
            </w:r>
            <w:bookmarkStart w:id="1098" w:name="_Hlk1583577641"/>
            <w:bookmarkEnd w:id="1098"/>
          </w:p>
        </w:tc>
      </w:tr>
    </w:tbl>
    <w:p>
      <w:pPr>
        <w:pStyle w:val="Normal"/>
        <w:tabs>
          <w:tab w:val="clear" w:pos="408"/>
          <w:tab w:val="left" w:pos="0" w:leader="none"/>
        </w:tabs>
        <w:jc w:val="both"/>
        <w:rPr>
          <w:rFonts w:eastAsia="Calibri" w:cs="Calibri"/>
          <w:szCs w:val="22"/>
          <w:lang w:eastAsia="en-US"/>
        </w:rPr>
      </w:pPr>
      <w:r>
        <w:rPr>
          <w:rFonts w:eastAsia="Calibri" w:cs="Calibri"/>
          <w:szCs w:val="22"/>
          <w:lang w:eastAsia="en-US"/>
        </w:rPr>
      </w:r>
    </w:p>
    <w:p>
      <w:pPr>
        <w:pStyle w:val="Normal"/>
        <w:tabs>
          <w:tab w:val="clear" w:pos="408"/>
          <w:tab w:val="left" w:pos="0" w:leader="none"/>
        </w:tabs>
        <w:ind w:firstLine="567"/>
        <w:jc w:val="both"/>
        <w:rPr>
          <w:b/>
          <w:b/>
        </w:rPr>
      </w:pPr>
      <w:r>
        <w:rPr/>
        <w:t xml:space="preserve">Для тепловой нагрузки заявителя </w:t>
      </w:r>
      <w:r>
        <w:rPr/>
        <w:object>
          <v:shape id="ole_rId59" style="width:30pt;height:19.5pt" o:ole="">
            <v:imagedata r:id="rId60" o:title=""/>
          </v:shape>
          <o:OLEObject Type="Embed" ProgID="Equation.DSMT4" ShapeID="ole_rId59" DrawAspect="Content" ObjectID="_776420575" r:id="rId59"/>
        </w:object>
      </w:r>
      <w:r>
        <w:rPr/>
        <w:t>&lt;0,1 Гкал/ч, предельный радиус эффективного теплоснабжения определяется из следующего условия: если дисконтированный срок окупаемости капитальных затрат в строительство тепловой сети, необходимой для подключения объекта капитального строительства заявителя к существующим тепловым сетям системы теплоснабжения исполнителя превышает полезный срок службы тепловой сети, определенный в соответствии с Общероссийским классификатором основных фондов (ОК 013-94), то подключение объекта является нецелесообразным и объект заявителя находятся за пределами радиуса эффективного теплоснабжения.</w:t>
      </w:r>
    </w:p>
    <w:p>
      <w:pPr>
        <w:pStyle w:val="Normal"/>
        <w:jc w:val="both"/>
        <w:rPr>
          <w:rFonts w:eastAsia="Calibri" w:cs="Calibri"/>
          <w:szCs w:val="22"/>
          <w:lang w:eastAsia="ru-RU"/>
        </w:rPr>
      </w:pPr>
      <w:r>
        <w:rPr/>
        <w:t>Радиус эффективного теплоснабжения позволяет оценивать возможность подключения объекта к тепловым сетям по сравнению с переходом на автономное теплоснабжение. При принятии решения о подключении новых потребителей необходимо помнить, что оптимальный радиус теплоснабжения определяется из расчета минимума затрат, включающих в себя стоимость тепловых сетей и источника тепла, а также минимума эксплуатационных затрат. Следует помнить, что расчет радиуса эффективного теплоснабжения носит информативный характер.</w:t>
      </w:r>
    </w:p>
    <w:p>
      <w:pPr>
        <w:pStyle w:val="Normal"/>
        <w:ind w:firstLine="567"/>
        <w:jc w:val="both"/>
        <w:rPr>
          <w:rFonts w:eastAsia="Calibri" w:cs="Calibri"/>
          <w:szCs w:val="22"/>
          <w:lang w:eastAsia="ru-RU"/>
        </w:rPr>
      </w:pPr>
      <w:r>
        <w:rPr/>
        <w:t xml:space="preserve">Для существующей зоны действия рассчитывать радиус эффективного теплоснабжения нецелесообразно, т.к. зона действия уже сложилась и, естественно, установлены все индикаторы стоимости товарного отпуска продукции. Кроме того, для сельских поселений характерны низкие тепловые нагрузки, значительная материальная характеристика сети и единственный источник теплоснабжения, что обуславливает теплоснабжающую организацию согласно постановлению Правительства Российской Федерации от 30.11.2021 № 2115                «Об утверждении Правил подключения (технологического присоединения) к системам теплоснабжения, включая правила недискриминационного доступа к услугам по подключению (технологическому присоединению) к системам теплоснабжения, Правил недискриминационного доступа к услугам по передаче тепловой энергии, теплоносителя, а также об изменении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подключать новых потребителей, т.к. она не может отказать в присоединении потребителю к существующим тепловым сетям вне зависимости от величины совокупных затрат. </w:t>
      </w:r>
    </w:p>
    <w:p>
      <w:pPr>
        <w:pStyle w:val="Normal"/>
        <w:ind w:firstLine="567"/>
        <w:jc w:val="both"/>
        <w:rPr>
          <w:rFonts w:eastAsia="Calibri" w:cs="Calibri"/>
          <w:szCs w:val="22"/>
          <w:lang w:eastAsia="ru-RU"/>
        </w:rPr>
      </w:pPr>
      <w:r>
        <w:rPr/>
        <w:t>Подключение новой нагрузки к централизованным системам теплоснабжения требует постоянной проработки вариантов их развития. Оптимальный вариант должен характеризоваться экономически целесообразной зоной действия источника зоны теплоснабжения при соблюдении требований качества и надежности теплоснабжения, а также экологии. Если срок окупаемости капитальных затрат в строительство тепловой сети, необходимой для подключения нового объекта капитального строительства к существующим тепловым сетям системы теплоснабжения исполнителя превышает срок службы тепловой сети, то подключение объекта является нецелесообразным.</w:t>
      </w:r>
    </w:p>
    <w:p>
      <w:pPr>
        <w:sectPr>
          <w:headerReference w:type="default" r:id="rId61"/>
          <w:footerReference w:type="default" r:id="rId62"/>
          <w:type w:val="nextPage"/>
          <w:pgSz w:orient="landscape" w:w="16838" w:h="11906"/>
          <w:pgMar w:left="1701" w:right="567" w:header="567" w:top="1701" w:footer="567" w:bottom="850" w:gutter="0"/>
          <w:pgNumType w:fmt="decimal"/>
          <w:formProt w:val="false"/>
          <w:textDirection w:val="lrTb"/>
          <w:docGrid w:type="default" w:linePitch="326" w:charSpace="0"/>
        </w:sectPr>
        <w:pStyle w:val="Normal"/>
        <w:ind w:firstLine="567"/>
        <w:jc w:val="both"/>
        <w:rPr>
          <w:rFonts w:eastAsia="Calibri" w:cs="Calibri"/>
          <w:szCs w:val="22"/>
          <w:lang w:eastAsia="ru-RU"/>
        </w:rPr>
      </w:pPr>
      <w:r>
        <w:rPr/>
        <w:t>Границы действия централизованного теплоснабжения должны определяться по целевой функции минимума себестоимости полезно отпущенного тепла. При этом возможен также вариант убыточности дальнего транспорта тепла, принимая во внимание важность и сложность проблемы.</w:t>
      </w:r>
    </w:p>
    <w:p>
      <w:pPr>
        <w:pStyle w:val="Normal"/>
        <w:keepNext w:val="true"/>
        <w:keepLines/>
        <w:numPr>
          <w:ilvl w:val="0"/>
          <w:numId w:val="0"/>
        </w:numPr>
        <w:ind w:left="0" w:firstLine="709"/>
        <w:jc w:val="both"/>
        <w:outlineLvl w:val="1"/>
        <w:rPr>
          <w:rFonts w:eastAsia="Calibri Light" w:cs="Calibri Light"/>
          <w:b/>
          <w:b/>
          <w:szCs w:val="26"/>
          <w:lang w:eastAsia="en-US"/>
        </w:rPr>
      </w:pPr>
      <w:bookmarkStart w:id="1099" w:name="_Toc160530019"/>
      <w:bookmarkStart w:id="1100" w:name="_Toc160455137"/>
      <w:bookmarkStart w:id="1101" w:name="_Hlk160648357"/>
      <w:bookmarkEnd w:id="1101"/>
      <w:r>
        <w:rPr>
          <w:rFonts w:eastAsia="Calibri Light" w:cs="Calibri Light"/>
          <w:b/>
          <w:szCs w:val="26"/>
          <w:lang w:eastAsia="en-US"/>
        </w:rPr>
        <w:t>7.16.</w:t>
      </w:r>
      <w:bookmarkEnd w:id="1099"/>
      <w:bookmarkEnd w:id="1100"/>
      <w:r>
        <w:rPr>
          <w:rFonts w:eastAsia="Calibri Light" w:cs="Calibri Light"/>
          <w:b/>
          <w:szCs w:val="26"/>
          <w:lang w:eastAsia="en-US"/>
        </w:rPr>
        <w:t xml:space="preserve"> О</w:t>
      </w:r>
      <w:r>
        <w:rPr>
          <w:rFonts w:eastAsia="Tahoma"/>
          <w:b/>
        </w:rPr>
        <w:t>писание мероприятий на источниках тепловой энергии, необходимость реализации которых рассматривается на этапе разработки проектной документации по строительству источников тепловой энергии в целях обеспечения живучести источников тепловой энергии, тепловых сетей и системы теплоснабжения в целом</w:t>
      </w:r>
    </w:p>
    <w:p>
      <w:pPr>
        <w:pStyle w:val="Normal"/>
        <w:keepNext w:val="true"/>
        <w:keepLines/>
        <w:numPr>
          <w:ilvl w:val="0"/>
          <w:numId w:val="0"/>
        </w:numPr>
        <w:ind w:left="0" w:firstLine="709"/>
        <w:jc w:val="both"/>
        <w:outlineLvl w:val="1"/>
        <w:rPr>
          <w:rFonts w:eastAsia="Calibri Light" w:cs="Calibri Light"/>
          <w:szCs w:val="26"/>
          <w:lang w:eastAsia="en-US"/>
        </w:rPr>
      </w:pPr>
      <w:r>
        <w:rPr>
          <w:rFonts w:eastAsia="Calibri Light" w:cs="Calibri Light"/>
          <w:szCs w:val="26"/>
          <w:lang w:eastAsia="en-US"/>
        </w:rPr>
        <w:t>М</w:t>
      </w:r>
      <w:r>
        <w:rPr>
          <w:rFonts w:eastAsia="Tahoma"/>
        </w:rPr>
        <w:t>ероприятия на источниках тепловой энергии, необходимость реализации которых рассматривается на этапе разработки проектной документации по строительству источников тепловой энергии в целях обеспечения живучести источников тепловой энергии, тепловых сетей и системы теплоснабжения в целом не предусмотрены.</w:t>
      </w:r>
    </w:p>
    <w:p>
      <w:pPr>
        <w:pStyle w:val="Normal"/>
        <w:keepNext w:val="true"/>
        <w:keepLines/>
        <w:numPr>
          <w:ilvl w:val="0"/>
          <w:numId w:val="0"/>
        </w:numPr>
        <w:ind w:left="0" w:firstLine="709"/>
        <w:jc w:val="both"/>
        <w:outlineLvl w:val="1"/>
        <w:rPr>
          <w:rFonts w:eastAsia="Calibri Light" w:cs="Calibri Light"/>
          <w:szCs w:val="26"/>
          <w:lang w:eastAsia="en-US"/>
        </w:rPr>
      </w:pPr>
      <w:r>
        <w:rPr>
          <w:rFonts w:eastAsia="Calibri Light" w:cs="Calibri Light"/>
          <w:szCs w:val="26"/>
          <w:lang w:eastAsia="en-US"/>
        </w:rPr>
      </w:r>
    </w:p>
    <w:p>
      <w:pPr>
        <w:pStyle w:val="Normal"/>
        <w:keepNext w:val="true"/>
        <w:keepLines/>
        <w:numPr>
          <w:ilvl w:val="0"/>
          <w:numId w:val="0"/>
        </w:numPr>
        <w:ind w:left="0" w:firstLine="709"/>
        <w:jc w:val="both"/>
        <w:outlineLvl w:val="1"/>
        <w:rPr>
          <w:rFonts w:eastAsia="Calibri Light" w:cs="Calibri Light"/>
          <w:szCs w:val="26"/>
          <w:lang w:eastAsia="en-US"/>
        </w:rPr>
      </w:pPr>
      <w:bookmarkStart w:id="1102" w:name="_Toc181340484"/>
      <w:r>
        <w:rPr>
          <w:rFonts w:eastAsia="Calibri Light" w:cs="Calibri Light"/>
          <w:b/>
          <w:szCs w:val="26"/>
          <w:lang w:eastAsia="en-US"/>
        </w:rPr>
        <w:t>7.17. Описание изменений в предложениях по строительству, реконструкции, техническому перевооружению и (или) модернизации источников тепловой энергии за период, предшествующий актуализации схемы теплоснабжения, в том числе с учетом введенных в эксплуатацию новых, реконструированных и прошедших техническое перевооружение и (или) модернизацию источников тепловой энергии</w:t>
      </w:r>
      <w:bookmarkEnd w:id="1102"/>
    </w:p>
    <w:p>
      <w:pPr>
        <w:pStyle w:val="Normal"/>
        <w:ind w:firstLine="709"/>
        <w:jc w:val="both"/>
        <w:rPr>
          <w:rFonts w:eastAsia="Calibri"/>
          <w:szCs w:val="22"/>
          <w:lang w:eastAsia="en-US"/>
        </w:rPr>
      </w:pPr>
      <w:r>
        <w:rPr>
          <w:rFonts w:eastAsia="Calibri" w:cs="Calibri"/>
          <w:szCs w:val="22"/>
          <w:lang w:eastAsia="en-US"/>
        </w:rPr>
        <w:t>Полностью переработан перечень мероприятий по строительству, реконструкции и техническому перевооружении и (или) модернизации источников тепловой энергии.</w:t>
      </w:r>
      <w:bookmarkStart w:id="1103" w:name="_Toc181340485"/>
      <w:bookmarkStart w:id="1104" w:name="_Toc160530020"/>
      <w:bookmarkStart w:id="1105" w:name="_Toc160455138"/>
    </w:p>
    <w:p>
      <w:pPr>
        <w:pStyle w:val="Normal"/>
        <w:ind w:firstLine="709"/>
        <w:jc w:val="both"/>
        <w:rPr>
          <w:rFonts w:eastAsia="Calibri"/>
          <w:szCs w:val="22"/>
          <w:lang w:eastAsia="en-US"/>
        </w:rPr>
      </w:pPr>
      <w:r>
        <w:rPr>
          <w:rFonts w:eastAsia="Calibri Light" w:cs="Calibri Light"/>
          <w:b/>
          <w:lang w:eastAsia="en-US"/>
        </w:rPr>
        <w:t>7.17.1. Покрытие перспективной тепловой нагрузки, не обеспеченной тепловой мощностью</w:t>
      </w:r>
      <w:bookmarkEnd w:id="1103"/>
      <w:bookmarkEnd w:id="1104"/>
      <w:bookmarkEnd w:id="1105"/>
      <w:r>
        <w:rPr>
          <w:rFonts w:eastAsia="Calibri Light" w:cs="Calibri Light"/>
          <w:b/>
          <w:lang w:eastAsia="en-US"/>
        </w:rPr>
        <w:t xml:space="preserve"> </w:t>
      </w:r>
    </w:p>
    <w:p>
      <w:pPr>
        <w:pStyle w:val="Normal"/>
        <w:ind w:firstLine="709"/>
        <w:jc w:val="both"/>
        <w:rPr>
          <w:rFonts w:eastAsia="Calibri"/>
          <w:szCs w:val="22"/>
          <w:lang w:eastAsia="en-US"/>
        </w:rPr>
      </w:pPr>
      <w:r>
        <w:rPr>
          <w:rFonts w:eastAsia="Calibri" w:cs="Calibri"/>
          <w:szCs w:val="22"/>
          <w:lang w:eastAsia="en-US"/>
        </w:rPr>
        <w:t>Перспективные тепловые нагрузки, не обеспеченные тепловой мощностью отсутствуют.</w:t>
      </w:r>
      <w:bookmarkStart w:id="1106" w:name="_Toc181340486"/>
      <w:bookmarkStart w:id="1107" w:name="_Toc160530021"/>
      <w:bookmarkStart w:id="1108" w:name="_Toc160455139"/>
    </w:p>
    <w:p>
      <w:pPr>
        <w:pStyle w:val="Normal"/>
        <w:ind w:firstLine="709"/>
        <w:jc w:val="both"/>
        <w:rPr>
          <w:rFonts w:eastAsia="Calibri"/>
          <w:szCs w:val="22"/>
          <w:lang w:eastAsia="en-US"/>
        </w:rPr>
      </w:pPr>
      <w:r>
        <w:rPr>
          <w:rFonts w:eastAsia="Calibri Light" w:cs="Calibri Light"/>
          <w:b/>
          <w:lang w:eastAsia="en-US"/>
        </w:rPr>
        <w:t>7.17.2. Максимальная выработка электрической энергии на базе прироста теплового потребления на коллекторах существующих источников тепловой энергии, функционирующих в режиме комбинированной выработки электрической и тепловой энергии</w:t>
      </w:r>
      <w:bookmarkStart w:id="1109" w:name="_Hlk160648371"/>
      <w:bookmarkStart w:id="1110" w:name="_Hlk160710371"/>
      <w:bookmarkEnd w:id="1106"/>
      <w:bookmarkEnd w:id="1107"/>
      <w:bookmarkEnd w:id="1108"/>
      <w:bookmarkEnd w:id="1109"/>
      <w:bookmarkEnd w:id="1110"/>
    </w:p>
    <w:p>
      <w:pPr>
        <w:pStyle w:val="Normal"/>
        <w:ind w:firstLine="709"/>
        <w:jc w:val="both"/>
        <w:rPr>
          <w:rFonts w:eastAsia="Calibri"/>
          <w:szCs w:val="22"/>
          <w:lang w:eastAsia="en-US"/>
        </w:rPr>
      </w:pPr>
      <w:r>
        <w:rPr>
          <w:rFonts w:eastAsia="Calibri" w:cs="Calibri"/>
          <w:szCs w:val="22"/>
          <w:lang w:eastAsia="en-US"/>
        </w:rPr>
        <w:t>Выработка тепловой энергии в комбинированном режиме в сельском поселении не осуществляется.</w:t>
      </w:r>
      <w:bookmarkStart w:id="1111" w:name="_Toc160455140"/>
      <w:bookmarkStart w:id="1112" w:name="_Toc160530022"/>
      <w:bookmarkStart w:id="1113" w:name="_Toc181340487"/>
    </w:p>
    <w:p>
      <w:pPr>
        <w:pStyle w:val="Normal"/>
        <w:ind w:firstLine="709"/>
        <w:jc w:val="both"/>
        <w:rPr>
          <w:rFonts w:eastAsia="Calibri"/>
          <w:szCs w:val="22"/>
          <w:lang w:eastAsia="en-US"/>
        </w:rPr>
      </w:pPr>
      <w:r>
        <w:rPr>
          <w:rFonts w:eastAsia="Calibri Light" w:cs="Calibri Light"/>
          <w:b/>
          <w:lang w:eastAsia="en-US"/>
        </w:rPr>
        <w:t>7.17.3. Определение перспективных режимов загрузки источников тепловой энергии по присоединенной тепловой нагрузке</w:t>
      </w:r>
      <w:bookmarkEnd w:id="1111"/>
      <w:bookmarkEnd w:id="1112"/>
      <w:bookmarkEnd w:id="1113"/>
    </w:p>
    <w:p>
      <w:pPr>
        <w:pStyle w:val="Normal"/>
        <w:ind w:firstLine="709"/>
        <w:jc w:val="both"/>
        <w:rPr>
          <w:rFonts w:eastAsia="Calibri"/>
          <w:szCs w:val="22"/>
          <w:lang w:eastAsia="en-US"/>
        </w:rPr>
      </w:pPr>
      <w:r>
        <w:rPr>
          <w:rFonts w:eastAsia="Calibri" w:cs="Calibri"/>
          <w:szCs w:val="22"/>
          <w:lang w:eastAsia="en-US"/>
        </w:rPr>
        <w:t>Перспективные режимы загрузки тепловых источников в сельском поселении представлены в таблице 25.</w:t>
      </w:r>
      <w:bookmarkStart w:id="1114" w:name="_Toc181340488"/>
      <w:bookmarkStart w:id="1115" w:name="_Toc160530023"/>
      <w:bookmarkStart w:id="1116" w:name="_Toc160455141"/>
    </w:p>
    <w:p>
      <w:pPr>
        <w:pStyle w:val="Normal"/>
        <w:ind w:firstLine="709"/>
        <w:jc w:val="both"/>
        <w:rPr>
          <w:rFonts w:eastAsia="Calibri"/>
          <w:szCs w:val="22"/>
          <w:lang w:eastAsia="en-US"/>
        </w:rPr>
      </w:pPr>
      <w:r>
        <w:rPr>
          <w:rFonts w:eastAsia="Calibri Light" w:cs="Calibri Light"/>
          <w:b/>
          <w:lang w:eastAsia="en-US"/>
        </w:rPr>
        <w:t xml:space="preserve">7.17.4. </w:t>
        <w:tab/>
        <w:t>Определение потребности в топливе и рекомендации по видам используемого топлива.</w:t>
      </w:r>
      <w:bookmarkEnd w:id="1114"/>
      <w:bookmarkEnd w:id="1115"/>
      <w:bookmarkEnd w:id="1116"/>
    </w:p>
    <w:p>
      <w:pPr>
        <w:pStyle w:val="Normal"/>
        <w:ind w:firstLine="709"/>
        <w:jc w:val="both"/>
        <w:rPr>
          <w:rFonts w:eastAsia="Calibri"/>
          <w:szCs w:val="22"/>
          <w:lang w:eastAsia="en-US"/>
        </w:rPr>
      </w:pPr>
      <w:r>
        <w:rPr>
          <w:rFonts w:eastAsia="Calibri" w:cs="Calibri"/>
          <w:szCs w:val="22"/>
          <w:lang w:eastAsia="en-US"/>
        </w:rPr>
        <w:t>Потребности в топливе и рекомендации по видам используемого топлива на тепловых источниках в сельском поселении представлены в таблице 30.</w:t>
      </w:r>
    </w:p>
    <w:p>
      <w:pPr>
        <w:pStyle w:val="Normal"/>
        <w:ind w:firstLine="709"/>
        <w:jc w:val="both"/>
        <w:rPr>
          <w:rFonts w:eastAsia="Calibri"/>
          <w:szCs w:val="22"/>
          <w:lang w:eastAsia="en-US"/>
        </w:rPr>
      </w:pPr>
      <w:r>
        <w:rPr>
          <w:rFonts w:eastAsia="Calibri"/>
          <w:szCs w:val="22"/>
          <w:lang w:eastAsia="en-US"/>
        </w:rPr>
      </w:r>
    </w:p>
    <w:p>
      <w:pPr>
        <w:pStyle w:val="Normal"/>
        <w:jc w:val="center"/>
        <w:rPr>
          <w:rFonts w:eastAsia="Calibri" w:cs="Calibri"/>
          <w:szCs w:val="22"/>
          <w:lang w:eastAsia="en-US"/>
        </w:rPr>
      </w:pPr>
      <w:bookmarkStart w:id="1117" w:name="_Toc181340489"/>
      <w:bookmarkStart w:id="1118" w:name="_Toc160530024"/>
      <w:r>
        <w:rPr>
          <w:rFonts w:eastAsia="Calibri" w:cs="Calibri"/>
          <w:b/>
          <w:bCs/>
          <w:szCs w:val="22"/>
          <w:lang w:eastAsia="en-US"/>
        </w:rPr>
        <w:t>Глава 8 «Предложения по строительству, реконструкции и (или) модернизации тепловых сетей»</w:t>
      </w:r>
      <w:bookmarkEnd w:id="1117"/>
      <w:bookmarkEnd w:id="1118"/>
      <w:r>
        <w:rPr>
          <w:rFonts w:eastAsia="Calibri" w:cs="Calibri"/>
          <w:szCs w:val="22"/>
          <w:lang w:eastAsia="en-US"/>
        </w:rPr>
        <w:t xml:space="preserve"> </w:t>
      </w:r>
      <w:bookmarkStart w:id="1119" w:name="_Toc181340490"/>
      <w:bookmarkStart w:id="1120" w:name="_Toc160530025"/>
      <w:bookmarkStart w:id="1121" w:name="_Toc535409593"/>
    </w:p>
    <w:p>
      <w:pPr>
        <w:pStyle w:val="Normal"/>
        <w:jc w:val="center"/>
        <w:rPr>
          <w:rFonts w:eastAsia="Calibri" w:cs="Calibri"/>
          <w:szCs w:val="22"/>
          <w:lang w:eastAsia="en-US"/>
        </w:rPr>
      </w:pPr>
      <w:r>
        <w:rPr>
          <w:rFonts w:eastAsia="Calibri" w:cs="Calibri"/>
          <w:szCs w:val="22"/>
          <w:lang w:eastAsia="en-US"/>
        </w:rPr>
      </w:r>
    </w:p>
    <w:p>
      <w:pPr>
        <w:pStyle w:val="Normal"/>
        <w:ind w:firstLine="709"/>
        <w:jc w:val="both"/>
        <w:rPr>
          <w:rFonts w:eastAsia="Calibri" w:cs="Calibri"/>
          <w:szCs w:val="22"/>
          <w:lang w:eastAsia="en-US"/>
        </w:rPr>
      </w:pPr>
      <w:r>
        <w:rPr>
          <w:rFonts w:eastAsia="Calibri Light" w:cs="Calibri Light"/>
          <w:b/>
          <w:szCs w:val="26"/>
          <w:lang w:eastAsia="en-US"/>
        </w:rPr>
        <w:t>8.1. Обоснование предложений по реконструкции и (или) модернизации, строительству тепловых сетей, обеспечивающих перераспределение тепловой нагрузки из зон с дефицитом тепловой мощности в зоны с избытком тепловой мощности (использование существующих резервов)</w:t>
      </w:r>
      <w:bookmarkStart w:id="1122" w:name="sub_1661"/>
      <w:bookmarkEnd w:id="1119"/>
      <w:bookmarkEnd w:id="1120"/>
      <w:bookmarkEnd w:id="1121"/>
      <w:bookmarkEnd w:id="1122"/>
      <w:r>
        <w:rPr/>
        <w:t xml:space="preserve"> </w:t>
      </w:r>
    </w:p>
    <w:p>
      <w:pPr>
        <w:pStyle w:val="Normal"/>
        <w:ind w:firstLine="709"/>
        <w:jc w:val="both"/>
        <w:rPr>
          <w:rFonts w:eastAsia="Calibri Light" w:cs="Calibri Light"/>
          <w:szCs w:val="26"/>
          <w:lang w:eastAsia="en-US"/>
        </w:rPr>
      </w:pPr>
      <w:r>
        <w:rPr/>
        <w:t>Планами развития системы теплоснабжения поселения предусматривается:</w:t>
      </w:r>
      <w:r>
        <w:rPr>
          <w:rFonts w:eastAsia="Calibri Light" w:cs="Calibri Light"/>
          <w:szCs w:val="26"/>
          <w:lang w:eastAsia="en-US"/>
        </w:rPr>
        <w:t xml:space="preserve"> </w:t>
      </w:r>
    </w:p>
    <w:p>
      <w:pPr>
        <w:pStyle w:val="Normal"/>
        <w:ind w:firstLine="709"/>
        <w:jc w:val="both"/>
        <w:rPr>
          <w:rFonts w:eastAsia="Calibri" w:cs="Calibri"/>
          <w:szCs w:val="22"/>
          <w:lang w:eastAsia="en-US"/>
        </w:rPr>
      </w:pPr>
      <w:r>
        <w:rPr>
          <w:rFonts w:eastAsia="Calibri Light" w:cs="Calibri Light"/>
          <w:szCs w:val="26"/>
          <w:lang w:eastAsia="en-US"/>
        </w:rPr>
        <w:t>- к</w:t>
      </w:r>
      <w:r>
        <w:rPr/>
        <w:t xml:space="preserve">апитальный ремонт (техническое перевооружение) котельной № 12                                   по ул.Медицинская, 3К в пгт.Октябрьское в части замены двух котлов на новые                                с увеличением установленной мощности с автоматизацией технологического процесса                          с переключением нагрузки на котельную № 12 по ул.Медицинская, 3К котельной № 7                     по ул.Медицинская, 3Б и выводом ее из эксплуатации; </w:t>
      </w:r>
    </w:p>
    <w:p>
      <w:pPr>
        <w:pStyle w:val="Normal"/>
        <w:ind w:firstLine="709"/>
        <w:jc w:val="both"/>
        <w:rPr>
          <w:rFonts w:eastAsia="Calibri" w:cs="Calibri"/>
          <w:szCs w:val="22"/>
          <w:lang w:eastAsia="en-US"/>
        </w:rPr>
      </w:pPr>
      <w:r>
        <w:rPr/>
        <w:t>-</w:t>
      </w:r>
      <w:r>
        <w:rPr>
          <w:rFonts w:eastAsia="Calibri Light" w:cs="Calibri Light"/>
          <w:szCs w:val="26"/>
          <w:lang w:eastAsia="en-US"/>
        </w:rPr>
        <w:t xml:space="preserve"> с</w:t>
      </w:r>
      <w:r>
        <w:rPr/>
        <w:t xml:space="preserve">троительство котельной по ул.Дзержинского, 14 в пгт.Октябрьское. Вывод                                из эксплуатации котельной № 2 по ул.Пионерская, 17Б и котельной № 6 по ул.Дзержинского, 2Б с переключением нагрузки на новую котельную по ул.Дзержинского, 14; </w:t>
      </w:r>
    </w:p>
    <w:p>
      <w:pPr>
        <w:pStyle w:val="Normal"/>
        <w:ind w:firstLine="709"/>
        <w:jc w:val="both"/>
        <w:rPr>
          <w:rFonts w:eastAsia="Calibri" w:cs="Calibri"/>
          <w:szCs w:val="22"/>
          <w:lang w:eastAsia="en-US"/>
        </w:rPr>
      </w:pPr>
      <w:r>
        <w:rPr/>
        <w:t>-</w:t>
      </w:r>
      <w:r>
        <w:rPr>
          <w:rFonts w:eastAsia="Calibri Light" w:cs="Calibri Light"/>
          <w:szCs w:val="26"/>
          <w:lang w:eastAsia="en-US"/>
        </w:rPr>
        <w:t xml:space="preserve"> д</w:t>
      </w:r>
      <w:r>
        <w:rPr/>
        <w:t>ецентрализация системы теплоснабжения пгт.Октябрьское путем перехода на автономные источники теплоснабжения, отказ от эксплуатации тепловых сетей, вывод котельной № 8 пгт.Октябрьское, ул.50 лет Победы, 38а из эксплуатации;</w:t>
      </w:r>
    </w:p>
    <w:p>
      <w:pPr>
        <w:pStyle w:val="Normal"/>
        <w:keepNext w:val="true"/>
        <w:keepLines/>
        <w:numPr>
          <w:ilvl w:val="0"/>
          <w:numId w:val="0"/>
        </w:numPr>
        <w:ind w:left="0" w:firstLine="709"/>
        <w:jc w:val="both"/>
        <w:outlineLvl w:val="1"/>
        <w:rPr>
          <w:rFonts w:eastAsia="Calibri" w:cs="Calibri"/>
          <w:szCs w:val="22"/>
          <w:lang w:eastAsia="en-US"/>
        </w:rPr>
      </w:pPr>
      <w:r>
        <w:rPr/>
        <w:t>-</w:t>
      </w:r>
      <w:r>
        <w:rPr>
          <w:rFonts w:eastAsia="Calibri Light" w:cs="Calibri Light"/>
          <w:szCs w:val="26"/>
          <w:lang w:eastAsia="en-US"/>
        </w:rPr>
        <w:t xml:space="preserve"> к</w:t>
      </w:r>
      <w:r>
        <w:rPr/>
        <w:t>апитальный ремонт (техническое перевооружение) котельной № 1 по ул.Сенькина, 46б в пгт.Октябрьское. Вывод из эксплуатации котельной № 3 по ул.Чапаева, 6Б с переключением нагрузки на котельную № 1 по ул.Сенькина, 46б</w:t>
      </w:r>
      <w:bookmarkStart w:id="1123" w:name="_Hlk161086805"/>
      <w:bookmarkEnd w:id="1123"/>
      <w:r>
        <w:rPr/>
        <w:t>;</w:t>
      </w:r>
    </w:p>
    <w:p>
      <w:pPr>
        <w:pStyle w:val="Normal"/>
        <w:keepNext w:val="true"/>
        <w:keepLines/>
        <w:numPr>
          <w:ilvl w:val="0"/>
          <w:numId w:val="0"/>
        </w:numPr>
        <w:ind w:left="0" w:firstLine="709"/>
        <w:jc w:val="both"/>
        <w:outlineLvl w:val="1"/>
        <w:rPr>
          <w:rFonts w:eastAsia="Calibri" w:cs="Calibri"/>
          <w:szCs w:val="22"/>
          <w:lang w:eastAsia="en-US"/>
        </w:rPr>
      </w:pPr>
      <w:r>
        <w:rPr/>
        <w:t>- реконструкция (капитальный ремонт) сетей тепло-, водоснабжения по ул.Калинина, ул.Ленина в пгт. Октябрьское;</w:t>
      </w:r>
    </w:p>
    <w:p>
      <w:pPr>
        <w:pStyle w:val="Normal"/>
        <w:keepNext w:val="true"/>
        <w:keepLines/>
        <w:numPr>
          <w:ilvl w:val="0"/>
          <w:numId w:val="0"/>
        </w:numPr>
        <w:ind w:left="0" w:firstLine="709"/>
        <w:jc w:val="both"/>
        <w:outlineLvl w:val="1"/>
        <w:rPr>
          <w:rFonts w:eastAsia="Calibri Light" w:cs="Calibri Light"/>
          <w:b/>
          <w:b/>
          <w:szCs w:val="26"/>
          <w:lang w:eastAsia="en-US"/>
        </w:rPr>
      </w:pPr>
      <w:r>
        <w:rPr/>
        <w:t>- реконструкция (капитальный ремонт) сетей тепло-, водоснабжения по ул.Чапаева в пгт.Октябрьское.</w:t>
      </w:r>
    </w:p>
    <w:p>
      <w:pPr>
        <w:pStyle w:val="Normal"/>
        <w:jc w:val="both"/>
        <w:rPr>
          <w:rFonts w:eastAsia="Calibri" w:cs="Calibri"/>
          <w:szCs w:val="22"/>
          <w:lang w:eastAsia="en-US"/>
        </w:rPr>
      </w:pPr>
      <w:r>
        <w:rPr>
          <w:rFonts w:eastAsia="Calibri" w:cs="Calibri"/>
          <w:szCs w:val="22"/>
          <w:lang w:eastAsia="en-US"/>
        </w:rPr>
      </w:r>
    </w:p>
    <w:p>
      <w:pPr>
        <w:pStyle w:val="Normal"/>
        <w:ind w:firstLine="709"/>
        <w:jc w:val="both"/>
        <w:rPr>
          <w:rFonts w:eastAsia="Calibri Light" w:cs="Calibri Light"/>
          <w:b/>
          <w:b/>
          <w:szCs w:val="26"/>
          <w:lang w:eastAsia="en-US"/>
        </w:rPr>
      </w:pPr>
      <w:bookmarkStart w:id="1124" w:name="_Toc160530026"/>
      <w:bookmarkStart w:id="1125" w:name="_Toc181340491"/>
      <w:r>
        <w:rPr>
          <w:rFonts w:eastAsia="Calibri Light" w:cs="Calibri Light"/>
          <w:b/>
          <w:szCs w:val="26"/>
          <w:lang w:eastAsia="en-US"/>
        </w:rPr>
        <w:t>8.2. Обоснование предложений по строительству тепловых сетей для обеспечения перспективных приростов тепловой нагрузки под жилищную, комплексную или производственную застройку во вновь осваиваемых районах поселения</w:t>
      </w:r>
      <w:bookmarkEnd w:id="1124"/>
      <w:bookmarkEnd w:id="1125"/>
    </w:p>
    <w:p>
      <w:pPr>
        <w:pStyle w:val="Normal"/>
        <w:ind w:firstLine="709"/>
        <w:jc w:val="both"/>
        <w:rPr>
          <w:rFonts w:eastAsia="Calibri Light" w:cs="Calibri Light"/>
          <w:b/>
          <w:b/>
          <w:szCs w:val="26"/>
          <w:lang w:eastAsia="en-US"/>
        </w:rPr>
      </w:pPr>
      <w:r>
        <w:rPr>
          <w:szCs w:val="28"/>
          <w:lang w:eastAsia="ar-SA"/>
        </w:rPr>
        <w:t xml:space="preserve">Подключение новых объектов, находящихся в застроенной части населенных пунктов, рекомендуется производить к существующим тепловым сетям с учетом их пропускной способности. </w:t>
      </w:r>
      <w:r>
        <w:rPr>
          <w:szCs w:val="28"/>
          <w:lang w:eastAsia="ru-RU"/>
        </w:rPr>
        <w:t>Однако для отопления и горячего водоснабжения индивидуальных домов рекомендуется применение индивидуальных двухконтурных котлов. Выбор индивидуальных источников тепла объясняется тем, что объекты имеют незначительную тепловую нагрузку и находятся на значительном расстоянии друг от друга, что влечет за собой большие потери в тепловых сетях и значительные капвложения по их прокладке.</w:t>
      </w:r>
    </w:p>
    <w:p>
      <w:pPr>
        <w:pStyle w:val="Normal"/>
        <w:spacing w:before="0" w:after="0"/>
        <w:ind w:firstLine="709"/>
        <w:contextualSpacing/>
        <w:jc w:val="both"/>
        <w:rPr>
          <w:szCs w:val="28"/>
          <w:lang w:eastAsia="ar-SA"/>
        </w:rPr>
      </w:pPr>
      <w:r>
        <w:rPr>
          <w:szCs w:val="28"/>
          <w:lang w:eastAsia="ar-SA"/>
        </w:rPr>
        <w:t xml:space="preserve">В застроенной части и на территории подлежащей застройке предусматривается подземная прокладка тепловых сетей (бесканальная, в каналах или в тоннелях (коллекторах) совместно с другими инженерными сетями). При обосновании допускается надземная прокладка тепловых сетей, кроме территории детских и лечебных учреждений. </w:t>
      </w:r>
    </w:p>
    <w:p>
      <w:pPr>
        <w:pStyle w:val="Normal"/>
        <w:spacing w:before="0" w:after="0"/>
        <w:ind w:firstLine="709"/>
        <w:contextualSpacing/>
        <w:jc w:val="both"/>
        <w:rPr>
          <w:szCs w:val="28"/>
          <w:lang w:eastAsia="ar-SA"/>
        </w:rPr>
      </w:pPr>
      <w:r>
        <w:rPr>
          <w:szCs w:val="28"/>
          <w:lang w:eastAsia="ar-SA"/>
        </w:rPr>
        <w:t>В случае надземной прокладки тепловые сети прокладываются с соблюдением расстояния по горизонтали от строительных конструкций тепловых сетей или оболочки изоляции трубопроводов при бесканальной прокладке до зданий, сооружений и инженерных сетей в соответствии с таблицей А.3 СП 124.13330.2012 «Свод правил. Тепловые сети. Актуализированная редакция СНиП 41-02-2003».</w:t>
      </w:r>
    </w:p>
    <w:p>
      <w:pPr>
        <w:pStyle w:val="Normal"/>
        <w:spacing w:before="0" w:after="0"/>
        <w:ind w:firstLine="709"/>
        <w:contextualSpacing/>
        <w:jc w:val="both"/>
        <w:rPr>
          <w:szCs w:val="28"/>
          <w:lang w:eastAsia="ar-SA"/>
        </w:rPr>
      </w:pPr>
      <w:r>
        <w:rPr>
          <w:szCs w:val="28"/>
          <w:lang w:eastAsia="ar-SA"/>
        </w:rPr>
        <w:t>Величину диаметра трубопровода, способ прокладки и т.д. необходимо определить в ходе наладочного гидравлического расчета по каждому факту предполагаемого подключения.</w:t>
      </w:r>
    </w:p>
    <w:p>
      <w:pPr>
        <w:pStyle w:val="Normal"/>
        <w:spacing w:before="0" w:after="0"/>
        <w:ind w:firstLine="709"/>
        <w:contextualSpacing/>
        <w:jc w:val="both"/>
        <w:rPr>
          <w:szCs w:val="28"/>
          <w:lang w:eastAsia="ar-SA"/>
        </w:rPr>
      </w:pPr>
      <w:r>
        <w:rPr>
          <w:szCs w:val="28"/>
          <w:lang w:eastAsia="ru-RU"/>
        </w:rPr>
        <w:t>Планом развития поселения предусматривается новое жилищное строительство, размещаемое на территориях существующей застройки путем реконструкции и создания новой современной застройки, обеспечивающей комфортные условия проживания. В соответствии с планами развития на территории поселения планируется строительство жилых и общественных зданий, а также индивидуальных жилых домов.</w:t>
      </w:r>
    </w:p>
    <w:p>
      <w:pPr>
        <w:pStyle w:val="Normal"/>
        <w:spacing w:before="0" w:after="0"/>
        <w:ind w:firstLine="709"/>
        <w:contextualSpacing/>
        <w:jc w:val="both"/>
        <w:rPr>
          <w:szCs w:val="28"/>
          <w:lang w:eastAsia="ar-SA"/>
        </w:rPr>
      </w:pPr>
      <w:r>
        <w:rPr>
          <w:lang w:eastAsia="ru-RU"/>
        </w:rPr>
        <w:t>Д</w:t>
      </w:r>
      <w:r>
        <w:rPr>
          <w:szCs w:val="28"/>
          <w:lang w:eastAsia="ru-RU"/>
        </w:rPr>
        <w:t>ля отопления и горячего водоснабжения индивидуальных домов рекомендуется применение индивидуальных двухконтурных котлов, работающих на газовом и твердом топливе. Выбор индивидуальных источников тепла объясняется тем, что объекты имеют незначительную тепловую нагрузку и находятся на значительном расстоянии друг от друга, что влечет за собой большие потери в тепловых сетях и значительные капвложения по их прокладке.</w:t>
      </w:r>
    </w:p>
    <w:p>
      <w:pPr>
        <w:pStyle w:val="Normal"/>
        <w:spacing w:before="0" w:after="0"/>
        <w:ind w:firstLine="709"/>
        <w:contextualSpacing/>
        <w:jc w:val="both"/>
        <w:rPr>
          <w:szCs w:val="28"/>
          <w:lang w:eastAsia="ar-SA"/>
        </w:rPr>
      </w:pPr>
      <w:r>
        <w:rPr>
          <w:szCs w:val="28"/>
          <w:lang w:eastAsia="ru-RU"/>
        </w:rPr>
        <w:t>Для теплоснабжения вновь строящихся зданий (группы зданий) с небольшим теплопотреблением и промышленных объектов использовать автономные источники тепла: отдельностоящие и пристроенные блочно-модульные котельные малой мощности.</w:t>
      </w:r>
      <w:bookmarkStart w:id="1126" w:name="_Toc181340492"/>
      <w:bookmarkStart w:id="1127" w:name="_Toc160530027"/>
      <w:bookmarkStart w:id="1128" w:name="_Hlk160648391"/>
      <w:bookmarkStart w:id="1129" w:name="sub_1663"/>
      <w:bookmarkStart w:id="1130" w:name="_Toc535409595"/>
      <w:bookmarkEnd w:id="1128"/>
      <w:bookmarkEnd w:id="1129"/>
      <w:bookmarkEnd w:id="1130"/>
    </w:p>
    <w:p>
      <w:pPr>
        <w:pStyle w:val="Normal"/>
        <w:spacing w:before="0" w:after="0"/>
        <w:ind w:firstLine="709"/>
        <w:contextualSpacing/>
        <w:jc w:val="both"/>
        <w:rPr>
          <w:szCs w:val="28"/>
          <w:lang w:eastAsia="ar-SA"/>
        </w:rPr>
      </w:pPr>
      <w:r>
        <w:rPr>
          <w:szCs w:val="28"/>
          <w:lang w:eastAsia="ar-SA"/>
        </w:rPr>
      </w:r>
    </w:p>
    <w:p>
      <w:pPr>
        <w:pStyle w:val="Normal"/>
        <w:spacing w:before="0" w:after="0"/>
        <w:ind w:firstLine="709"/>
        <w:contextualSpacing/>
        <w:jc w:val="both"/>
        <w:rPr>
          <w:szCs w:val="28"/>
          <w:lang w:eastAsia="ar-SA"/>
        </w:rPr>
      </w:pPr>
      <w:r>
        <w:rPr>
          <w:rFonts w:eastAsia="Calibri Light" w:cs="Calibri Light"/>
          <w:b/>
          <w:szCs w:val="26"/>
          <w:lang w:eastAsia="en-US"/>
        </w:rPr>
        <w:t>8.3. Обоснование предложений по строительству тепловых сетей, обеспечивающих условия, при наличии которых существует возможность поставок тепловой энергии потребителям от различных источников тепловой энергии при сохранении надежности теплоснабжения</w:t>
      </w:r>
      <w:bookmarkEnd w:id="1126"/>
      <w:bookmarkEnd w:id="1127"/>
    </w:p>
    <w:p>
      <w:pPr>
        <w:pStyle w:val="Normal"/>
        <w:spacing w:before="0" w:after="0"/>
        <w:ind w:firstLine="709"/>
        <w:contextualSpacing/>
        <w:jc w:val="both"/>
        <w:rPr>
          <w:szCs w:val="28"/>
          <w:lang w:eastAsia="ar-SA"/>
        </w:rPr>
      </w:pPr>
      <w:r>
        <w:rPr>
          <w:rFonts w:eastAsia="Calibri" w:cs="Calibri"/>
          <w:szCs w:val="22"/>
          <w:lang w:eastAsia="en-US"/>
        </w:rPr>
        <w:t>В связи с отсутствием возможности обеспечить условия, при которых существует возможность поставки тепловой энергии потребителям от различных источников тепловой энергии при сохранении надежности теплоснабжения строительство тепловых сетей для этих условия настоящей Схемой не предусматривается.</w:t>
      </w:r>
      <w:bookmarkStart w:id="1131" w:name="_Toc181340493"/>
      <w:bookmarkStart w:id="1132" w:name="_Toc535409596"/>
      <w:bookmarkStart w:id="1133" w:name="_Toc160530028"/>
      <w:bookmarkStart w:id="1134" w:name="_Hlk160648401"/>
      <w:bookmarkEnd w:id="1134"/>
    </w:p>
    <w:p>
      <w:pPr>
        <w:pStyle w:val="Normal"/>
        <w:spacing w:before="0" w:after="0"/>
        <w:ind w:firstLine="709"/>
        <w:contextualSpacing/>
        <w:jc w:val="both"/>
        <w:rPr>
          <w:rFonts w:eastAsia="Calibri Light" w:cs="Calibri Light"/>
          <w:b/>
          <w:b/>
          <w:szCs w:val="26"/>
          <w:lang w:eastAsia="en-US"/>
        </w:rPr>
      </w:pPr>
      <w:r>
        <w:rPr>
          <w:rFonts w:eastAsia="Calibri Light" w:cs="Calibri Light"/>
          <w:b/>
          <w:szCs w:val="26"/>
          <w:lang w:eastAsia="en-US"/>
        </w:rPr>
      </w:r>
    </w:p>
    <w:p>
      <w:pPr>
        <w:pStyle w:val="Normal"/>
        <w:spacing w:before="0" w:after="0"/>
        <w:ind w:firstLine="709"/>
        <w:contextualSpacing/>
        <w:jc w:val="both"/>
        <w:rPr>
          <w:szCs w:val="28"/>
          <w:lang w:eastAsia="ar-SA"/>
        </w:rPr>
      </w:pPr>
      <w:r>
        <w:rPr>
          <w:rFonts w:eastAsia="Calibri Light" w:cs="Calibri Light"/>
          <w:b/>
          <w:szCs w:val="26"/>
          <w:lang w:eastAsia="en-US"/>
        </w:rPr>
        <w:t xml:space="preserve">8.4. Обоснование предложений </w:t>
      </w:r>
      <w:bookmarkEnd w:id="1132"/>
      <w:bookmarkEnd w:id="1133"/>
      <w:r>
        <w:rPr>
          <w:rFonts w:eastAsia="Calibri Light" w:cs="Calibri Light"/>
          <w:b/>
          <w:szCs w:val="26"/>
          <w:lang w:eastAsia="en-US"/>
        </w:rPr>
        <w:t>по строительству, реконструкции и (или) модернизации тепловых сетей для повышения эффективности функционирования системы теплоснабжения, в том числе за счет перевода котельных в пиковый режим работы или ликвидации котельных</w:t>
      </w:r>
      <w:bookmarkStart w:id="1135" w:name="sub_1664"/>
      <w:bookmarkEnd w:id="1131"/>
      <w:bookmarkEnd w:id="1135"/>
    </w:p>
    <w:p>
      <w:pPr>
        <w:pStyle w:val="Normal"/>
        <w:spacing w:before="0" w:after="0"/>
        <w:ind w:firstLine="709"/>
        <w:contextualSpacing/>
        <w:jc w:val="both"/>
        <w:rPr>
          <w:szCs w:val="28"/>
          <w:lang w:eastAsia="ar-SA"/>
        </w:rPr>
      </w:pPr>
      <w:r>
        <w:rPr>
          <w:rFonts w:eastAsia="Calibri" w:cs="Calibri"/>
          <w:szCs w:val="22"/>
          <w:lang w:eastAsia="en-US"/>
        </w:rPr>
        <w:t xml:space="preserve">Мероприятия по данному пункту не запланированы.  </w:t>
      </w:r>
      <w:bookmarkStart w:id="1136" w:name="_Toc535409597"/>
      <w:bookmarkStart w:id="1137" w:name="_Toc160530029"/>
      <w:bookmarkStart w:id="1138" w:name="_Toc181340494"/>
    </w:p>
    <w:p>
      <w:pPr>
        <w:pStyle w:val="Normal"/>
        <w:spacing w:before="0" w:after="0"/>
        <w:ind w:firstLine="709"/>
        <w:contextualSpacing/>
        <w:jc w:val="both"/>
        <w:rPr>
          <w:rFonts w:eastAsia="Calibri Light" w:cs="Calibri Light"/>
          <w:b/>
          <w:b/>
          <w:szCs w:val="26"/>
          <w:lang w:eastAsia="en-US"/>
        </w:rPr>
      </w:pPr>
      <w:r>
        <w:rPr>
          <w:rFonts w:eastAsia="Calibri Light" w:cs="Calibri Light"/>
          <w:b/>
          <w:szCs w:val="26"/>
          <w:lang w:eastAsia="en-US"/>
        </w:rPr>
      </w:r>
    </w:p>
    <w:p>
      <w:pPr>
        <w:pStyle w:val="Normal"/>
        <w:spacing w:before="0" w:after="0"/>
        <w:ind w:firstLine="709"/>
        <w:contextualSpacing/>
        <w:jc w:val="both"/>
        <w:rPr>
          <w:szCs w:val="28"/>
          <w:lang w:eastAsia="ar-SA"/>
        </w:rPr>
      </w:pPr>
      <w:r>
        <w:rPr>
          <w:rFonts w:eastAsia="Calibri Light" w:cs="Calibri Light"/>
          <w:b/>
          <w:szCs w:val="26"/>
          <w:lang w:eastAsia="en-US"/>
        </w:rPr>
        <w:t>8.5. Обоснование предложений по строительству тепловых сетей для обеспечения нормативной надежности теплоснабжения</w:t>
      </w:r>
      <w:bookmarkStart w:id="1139" w:name="sub_1665"/>
      <w:bookmarkEnd w:id="1136"/>
      <w:bookmarkEnd w:id="1137"/>
      <w:bookmarkEnd w:id="1138"/>
      <w:bookmarkEnd w:id="1139"/>
    </w:p>
    <w:p>
      <w:pPr>
        <w:pStyle w:val="Normal"/>
        <w:spacing w:before="0" w:after="0"/>
        <w:ind w:firstLine="709"/>
        <w:contextualSpacing/>
        <w:jc w:val="both"/>
        <w:rPr>
          <w:szCs w:val="28"/>
          <w:lang w:eastAsia="ar-SA"/>
        </w:rPr>
      </w:pPr>
      <w:r>
        <w:rPr>
          <w:szCs w:val="28"/>
          <w:lang w:eastAsia="ru-RU"/>
        </w:rPr>
        <w:t>Строительство тепловых сетей для обеспечения нормативной надежности и безопасности теплоснабжения на данном этапе не предусматривается. Необходимые показатели надежности достигаются за счет реконструкции трубопроводов со сверхнормативным износом. Харак</w:t>
      </w:r>
      <w:r>
        <w:rPr>
          <w:szCs w:val="28"/>
          <w:lang w:eastAsia="ar-SA"/>
        </w:rPr>
        <w:t>теристика рекомендуемых мероприятий приведена в п.8.7).</w:t>
      </w:r>
      <w:bookmarkStart w:id="1140" w:name="_Toc160530030"/>
      <w:bookmarkStart w:id="1141" w:name="_Toc181340495"/>
      <w:bookmarkStart w:id="1142" w:name="_Toc535409598"/>
      <w:bookmarkStart w:id="1143" w:name="sub_1666"/>
      <w:bookmarkStart w:id="1144" w:name="_Toc83718929"/>
      <w:bookmarkStart w:id="1145" w:name="_Hlk160710430"/>
      <w:bookmarkEnd w:id="1142"/>
      <w:bookmarkEnd w:id="1143"/>
      <w:bookmarkEnd w:id="1144"/>
      <w:bookmarkEnd w:id="1145"/>
    </w:p>
    <w:p>
      <w:pPr>
        <w:pStyle w:val="Normal"/>
        <w:spacing w:before="0" w:after="0"/>
        <w:ind w:firstLine="709"/>
        <w:contextualSpacing/>
        <w:jc w:val="both"/>
        <w:rPr>
          <w:rFonts w:eastAsia="Calibri Light" w:cs="Calibri Light"/>
          <w:b/>
          <w:b/>
          <w:szCs w:val="26"/>
          <w:lang w:eastAsia="en-US"/>
        </w:rPr>
      </w:pPr>
      <w:r>
        <w:rPr>
          <w:rFonts w:eastAsia="Calibri Light" w:cs="Calibri Light"/>
          <w:b/>
          <w:szCs w:val="26"/>
          <w:lang w:eastAsia="en-US"/>
        </w:rPr>
      </w:r>
    </w:p>
    <w:p>
      <w:pPr>
        <w:pStyle w:val="Normal"/>
        <w:spacing w:before="0" w:after="0"/>
        <w:ind w:firstLine="709"/>
        <w:contextualSpacing/>
        <w:jc w:val="both"/>
        <w:rPr>
          <w:szCs w:val="28"/>
          <w:lang w:eastAsia="ar-SA"/>
        </w:rPr>
      </w:pPr>
      <w:r>
        <w:rPr>
          <w:rFonts w:eastAsia="Calibri Light" w:cs="Calibri Light"/>
          <w:b/>
          <w:szCs w:val="26"/>
          <w:lang w:eastAsia="en-US"/>
        </w:rPr>
        <w:t>8.6. Обоснование предложений по реконструкции и (или) модернизации тепловых сетей с увеличением диаметра трубопроводов для обеспечения перспективных приростов тепловой нагрузки</w:t>
      </w:r>
      <w:bookmarkEnd w:id="1140"/>
      <w:bookmarkEnd w:id="1141"/>
    </w:p>
    <w:p>
      <w:pPr>
        <w:pStyle w:val="Normal"/>
        <w:spacing w:before="0" w:after="0"/>
        <w:ind w:firstLine="709"/>
        <w:contextualSpacing/>
        <w:jc w:val="both"/>
        <w:rPr>
          <w:szCs w:val="28"/>
          <w:lang w:eastAsia="ar-SA"/>
        </w:rPr>
      </w:pPr>
      <w:r>
        <w:rPr>
          <w:rFonts w:eastAsia="Calibri" w:cs="Calibri"/>
          <w:szCs w:val="22"/>
          <w:lang w:eastAsia="ru-RU"/>
        </w:rPr>
        <w:t>Реконструкция тепловых сетей с увеличением диаметров трубопроводов для обеспечения перспективных приростов тепловых нагрузок не требуется.</w:t>
      </w:r>
      <w:bookmarkStart w:id="1146" w:name="_Toc181340496"/>
      <w:bookmarkStart w:id="1147" w:name="_Toc160530031"/>
      <w:bookmarkStart w:id="1148" w:name="_Toc535409599"/>
    </w:p>
    <w:p>
      <w:pPr>
        <w:pStyle w:val="Normal"/>
        <w:spacing w:before="0" w:after="0"/>
        <w:ind w:firstLine="709"/>
        <w:contextualSpacing/>
        <w:jc w:val="both"/>
        <w:rPr>
          <w:rFonts w:eastAsia="Calibri Light" w:cs="Calibri Light"/>
          <w:b/>
          <w:b/>
          <w:szCs w:val="26"/>
          <w:lang w:eastAsia="en-US"/>
        </w:rPr>
      </w:pPr>
      <w:r>
        <w:rPr>
          <w:rFonts w:eastAsia="Calibri Light" w:cs="Calibri Light"/>
          <w:b/>
          <w:szCs w:val="26"/>
          <w:lang w:eastAsia="en-US"/>
        </w:rPr>
      </w:r>
    </w:p>
    <w:p>
      <w:pPr>
        <w:pStyle w:val="Normal"/>
        <w:spacing w:before="0" w:after="0"/>
        <w:ind w:firstLine="709"/>
        <w:contextualSpacing/>
        <w:jc w:val="both"/>
        <w:rPr>
          <w:szCs w:val="28"/>
          <w:lang w:eastAsia="ar-SA"/>
        </w:rPr>
      </w:pPr>
      <w:r>
        <w:rPr>
          <w:rFonts w:eastAsia="Calibri Light" w:cs="Calibri Light"/>
          <w:b/>
          <w:szCs w:val="26"/>
          <w:lang w:eastAsia="en-US"/>
        </w:rPr>
        <w:t>8.7. Обоснование предложений по реконструкции и (или) модернизации тепловых сетей, подлежащих замене в связи с исчерпанием эксплуатационного ресурса</w:t>
      </w:r>
      <w:bookmarkEnd w:id="1146"/>
      <w:bookmarkEnd w:id="1147"/>
      <w:bookmarkEnd w:id="1148"/>
    </w:p>
    <w:p>
      <w:pPr>
        <w:pStyle w:val="Normal"/>
        <w:spacing w:before="0" w:after="0"/>
        <w:ind w:firstLine="709"/>
        <w:contextualSpacing/>
        <w:jc w:val="both"/>
        <w:rPr>
          <w:szCs w:val="28"/>
          <w:lang w:eastAsia="ar-SA"/>
        </w:rPr>
      </w:pPr>
      <w:r>
        <w:rPr>
          <w:rFonts w:eastAsia="Calibri" w:cs="Calibri"/>
          <w:szCs w:val="22"/>
          <w:lang w:eastAsia="ru-RU"/>
        </w:rPr>
        <w:t>Перечень участков тепловых сетей источников поселения, подлежащих реконструкции в связи с исчерпанием эксплуатационного ресурса приведен в таблице 28.</w:t>
      </w:r>
    </w:p>
    <w:p>
      <w:pPr>
        <w:pStyle w:val="Normal"/>
        <w:jc w:val="right"/>
        <w:rPr>
          <w:rFonts w:eastAsia="Calibri" w:cs="Calibri"/>
          <w:szCs w:val="22"/>
          <w:lang w:eastAsia="en-US"/>
        </w:rPr>
      </w:pPr>
      <w:r>
        <w:rPr>
          <w:rFonts w:eastAsia="Calibri" w:cs="Calibri"/>
          <w:szCs w:val="22"/>
          <w:lang w:eastAsia="en-US"/>
        </w:rPr>
        <w:t xml:space="preserve">Таблица 28 – Перечень участков тепловых сетей, подлежащих реконструкции </w:t>
      </w:r>
    </w:p>
    <w:p>
      <w:pPr>
        <w:pStyle w:val="Normal"/>
        <w:jc w:val="right"/>
        <w:rPr>
          <w:rFonts w:eastAsia="Calibri" w:cs="Calibri"/>
          <w:szCs w:val="22"/>
          <w:lang w:eastAsia="en-US"/>
        </w:rPr>
      </w:pPr>
      <w:r>
        <w:rPr>
          <w:rFonts w:eastAsia="Calibri" w:cs="Calibri"/>
          <w:szCs w:val="22"/>
          <w:lang w:eastAsia="en-US"/>
        </w:rPr>
        <w:t>в связи с исчерпанием эксплуатационных ресурсов</w:t>
      </w:r>
    </w:p>
    <w:tbl>
      <w:tblPr>
        <w:tblW w:w="5000" w:type="pct"/>
        <w:jc w:val="left"/>
        <w:tblInd w:w="10" w:type="dxa"/>
        <w:tblCellMar>
          <w:top w:w="15" w:type="dxa"/>
          <w:left w:w="15" w:type="dxa"/>
          <w:bottom w:w="0" w:type="dxa"/>
          <w:right w:w="15" w:type="dxa"/>
        </w:tblCellMar>
        <w:tblLook w:val="04a0" w:noVBand="1" w:noHBand="0" w:lastColumn="0" w:firstColumn="1" w:lastRow="0" w:firstRow="1"/>
      </w:tblPr>
      <w:tblGrid>
        <w:gridCol w:w="3213"/>
        <w:gridCol w:w="3212"/>
        <w:gridCol w:w="3213"/>
      </w:tblGrid>
      <w:tr>
        <w:trPr>
          <w:tblHeader w:val="true"/>
          <w:trHeight w:val="20" w:hRule="atLeast"/>
        </w:trPr>
        <w:tc>
          <w:tcPr>
            <w:tcW w:w="321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xml:space="preserve">№ </w:t>
            </w:r>
            <w:r>
              <w:rPr>
                <w:sz w:val="20"/>
                <w:szCs w:val="20"/>
                <w:lang w:eastAsia="ru-RU"/>
              </w:rPr>
              <w:t>проекта</w:t>
            </w:r>
          </w:p>
        </w:tc>
        <w:tc>
          <w:tcPr>
            <w:tcW w:w="32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Наименование</w:t>
            </w:r>
          </w:p>
        </w:tc>
        <w:tc>
          <w:tcPr>
            <w:tcW w:w="321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Итого, тыс. руб.</w:t>
            </w:r>
          </w:p>
        </w:tc>
      </w:tr>
      <w:tr>
        <w:trPr>
          <w:trHeight w:val="20" w:hRule="atLeast"/>
        </w:trPr>
        <w:tc>
          <w:tcPr>
            <w:tcW w:w="9638"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Подгруппа проектов «Реконструкция тепловых сетей для обеспечения надежности теплоснабжения потребителей, в том числе в связи с исчерпанием эксплуатационного ресурса»</w:t>
            </w:r>
          </w:p>
        </w:tc>
      </w:tr>
      <w:tr>
        <w:trPr>
          <w:trHeight w:val="20" w:hRule="atLeast"/>
        </w:trPr>
        <w:tc>
          <w:tcPr>
            <w:tcW w:w="321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001.02.02.002.001</w:t>
            </w:r>
          </w:p>
        </w:tc>
        <w:tc>
          <w:tcPr>
            <w:tcW w:w="32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sz w:val="20"/>
                <w:szCs w:val="20"/>
                <w:lang w:eastAsia="ru-RU"/>
              </w:rPr>
            </w:pPr>
            <w:r>
              <w:rPr>
                <w:sz w:val="20"/>
                <w:szCs w:val="20"/>
                <w:lang w:eastAsia="ru-RU"/>
              </w:rPr>
              <w:t>Реконструкция (капитальный ремонт) сетей тепло-, водоснабжения по ул.Калинина, ул.Ленина в пгт.Октябрьское</w:t>
            </w:r>
          </w:p>
        </w:tc>
        <w:tc>
          <w:tcPr>
            <w:tcW w:w="321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26 941,8</w:t>
            </w:r>
          </w:p>
        </w:tc>
      </w:tr>
      <w:tr>
        <w:trPr>
          <w:trHeight w:val="761" w:hRule="atLeast"/>
        </w:trPr>
        <w:tc>
          <w:tcPr>
            <w:tcW w:w="321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001.02.02.002.002</w:t>
            </w:r>
          </w:p>
        </w:tc>
        <w:tc>
          <w:tcPr>
            <w:tcW w:w="32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sz w:val="20"/>
                <w:szCs w:val="20"/>
                <w:lang w:eastAsia="ru-RU"/>
              </w:rPr>
            </w:pPr>
            <w:r>
              <w:rPr>
                <w:sz w:val="20"/>
                <w:szCs w:val="20"/>
                <w:lang w:eastAsia="ru-RU"/>
              </w:rPr>
              <w:t>Реконструкция (капитальный ремонт) сетей тепло-, водоснабжения по ул.Чапаева в пгт.Октябрьское</w:t>
            </w:r>
          </w:p>
        </w:tc>
        <w:tc>
          <w:tcPr>
            <w:tcW w:w="321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17 560,2</w:t>
            </w:r>
          </w:p>
        </w:tc>
      </w:tr>
      <w:tr>
        <w:trPr>
          <w:trHeight w:val="20" w:hRule="atLeast"/>
        </w:trPr>
        <w:tc>
          <w:tcPr>
            <w:tcW w:w="321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001.02.02.002.003</w:t>
            </w:r>
          </w:p>
        </w:tc>
        <w:tc>
          <w:tcPr>
            <w:tcW w:w="32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sz w:val="20"/>
                <w:szCs w:val="20"/>
                <w:lang w:eastAsia="ru-RU"/>
              </w:rPr>
            </w:pPr>
            <w:r>
              <w:rPr>
                <w:sz w:val="20"/>
                <w:szCs w:val="20"/>
                <w:lang w:eastAsia="ru-RU"/>
              </w:rPr>
              <w:t>Поэтапная замена изношенных сетей теплоснабжения, ремонт и замена запорной арматуры</w:t>
            </w:r>
          </w:p>
        </w:tc>
        <w:tc>
          <w:tcPr>
            <w:tcW w:w="321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r>
          </w:p>
        </w:tc>
      </w:tr>
    </w:tbl>
    <w:p>
      <w:pPr>
        <w:pStyle w:val="Normal"/>
        <w:rPr>
          <w:rFonts w:eastAsia="Calibri"/>
          <w:szCs w:val="22"/>
          <w:lang w:eastAsia="en-US"/>
        </w:rPr>
      </w:pPr>
      <w:r>
        <w:rPr>
          <w:rFonts w:eastAsia="Calibri"/>
          <w:szCs w:val="22"/>
          <w:lang w:eastAsia="en-US"/>
        </w:rPr>
      </w:r>
    </w:p>
    <w:p>
      <w:pPr>
        <w:pStyle w:val="Normal"/>
        <w:tabs>
          <w:tab w:val="clear" w:pos="408"/>
          <w:tab w:val="left" w:pos="0" w:leader="none"/>
        </w:tabs>
        <w:jc w:val="both"/>
        <w:rPr>
          <w:rFonts w:eastAsia="Calibri Light" w:cs="Calibri Light"/>
          <w:b/>
          <w:b/>
          <w:szCs w:val="26"/>
          <w:lang w:eastAsia="en-US"/>
        </w:rPr>
      </w:pPr>
      <w:r>
        <w:rPr>
          <w:rFonts w:eastAsia="Calibri" w:cs="Calibri"/>
          <w:sz w:val="22"/>
          <w:szCs w:val="22"/>
          <w:lang w:eastAsia="en-US"/>
        </w:rPr>
        <w:t>*- Объемы инвестиций в реконструкцию тепловых сетей определены по укрупненным показателям на основании объектов-аналогов и должны быть уточнены на последующих стадиях проектирования.</w:t>
      </w:r>
      <w:bookmarkStart w:id="1149" w:name="_Toc181340497"/>
      <w:bookmarkStart w:id="1150" w:name="_Toc160530032"/>
      <w:bookmarkStart w:id="1151" w:name="_Toc160455150"/>
      <w:r>
        <w:rPr>
          <w:rFonts w:eastAsia="Calibri Light" w:cs="Calibri Light"/>
          <w:b/>
          <w:szCs w:val="26"/>
          <w:lang w:eastAsia="en-US"/>
        </w:rPr>
        <w:t xml:space="preserve"> </w:t>
      </w:r>
    </w:p>
    <w:p>
      <w:pPr>
        <w:pStyle w:val="Normal"/>
        <w:tabs>
          <w:tab w:val="clear" w:pos="408"/>
          <w:tab w:val="left" w:pos="0" w:leader="none"/>
        </w:tabs>
        <w:jc w:val="both"/>
        <w:rPr>
          <w:rFonts w:eastAsia="Calibri Light" w:cs="Calibri Light"/>
          <w:b/>
          <w:b/>
          <w:szCs w:val="26"/>
          <w:lang w:eastAsia="en-US"/>
        </w:rPr>
      </w:pPr>
      <w:r>
        <w:rPr>
          <w:rFonts w:eastAsia="Calibri Light" w:cs="Calibri Light"/>
          <w:b/>
          <w:szCs w:val="26"/>
          <w:lang w:eastAsia="en-US"/>
        </w:rPr>
      </w:r>
    </w:p>
    <w:p>
      <w:pPr>
        <w:pStyle w:val="Normal"/>
        <w:tabs>
          <w:tab w:val="clear" w:pos="408"/>
          <w:tab w:val="left" w:pos="0" w:leader="none"/>
        </w:tabs>
        <w:ind w:firstLine="709"/>
        <w:jc w:val="both"/>
        <w:rPr>
          <w:rFonts w:eastAsia="Calibri Light" w:cs="Calibri Light"/>
          <w:b/>
          <w:b/>
          <w:szCs w:val="26"/>
          <w:lang w:eastAsia="en-US"/>
        </w:rPr>
      </w:pPr>
      <w:r>
        <w:rPr>
          <w:rFonts w:eastAsia="Calibri Light" w:cs="Calibri Light"/>
          <w:b/>
          <w:szCs w:val="26"/>
          <w:lang w:eastAsia="en-US"/>
        </w:rPr>
        <w:t>8.8. Обоснование предложений по строительству, реконструкции и (или) модернизации насосных станций</w:t>
      </w:r>
      <w:bookmarkEnd w:id="1149"/>
      <w:bookmarkEnd w:id="1150"/>
      <w:bookmarkEnd w:id="1151"/>
    </w:p>
    <w:p>
      <w:pPr>
        <w:pStyle w:val="Normal"/>
        <w:tabs>
          <w:tab w:val="clear" w:pos="408"/>
          <w:tab w:val="left" w:pos="0" w:leader="none"/>
        </w:tabs>
        <w:ind w:firstLine="709"/>
        <w:jc w:val="both"/>
        <w:rPr>
          <w:rFonts w:eastAsia="Calibri Light" w:cs="Calibri Light"/>
          <w:b/>
          <w:b/>
          <w:szCs w:val="26"/>
          <w:lang w:eastAsia="en-US"/>
        </w:rPr>
      </w:pPr>
      <w:r>
        <w:rPr>
          <w:rFonts w:eastAsia="Calibri" w:cs="Calibri"/>
          <w:szCs w:val="22"/>
          <w:lang w:eastAsia="en-US"/>
        </w:rPr>
        <w:t xml:space="preserve">Мероприятия </w:t>
      </w:r>
      <w:r>
        <w:rPr>
          <w:rFonts w:eastAsia="Calibri Light" w:cs="Calibri Light"/>
          <w:szCs w:val="26"/>
          <w:lang w:eastAsia="en-US"/>
        </w:rPr>
        <w:t xml:space="preserve">по строительству, реконструкции и (или) модернизации насосных станций </w:t>
      </w:r>
      <w:r>
        <w:rPr>
          <w:rFonts w:eastAsia="Calibri" w:cs="Calibri"/>
          <w:szCs w:val="22"/>
          <w:lang w:eastAsia="en-US"/>
        </w:rPr>
        <w:t>не запланированы.</w:t>
      </w:r>
      <w:bookmarkStart w:id="1152" w:name="_Toc160455151"/>
      <w:bookmarkStart w:id="1153" w:name="_Toc160530033"/>
      <w:bookmarkStart w:id="1154" w:name="_Toc181340498"/>
    </w:p>
    <w:p>
      <w:pPr>
        <w:pStyle w:val="Normal"/>
        <w:tabs>
          <w:tab w:val="clear" w:pos="408"/>
          <w:tab w:val="left" w:pos="0" w:leader="none"/>
        </w:tabs>
        <w:ind w:firstLine="709"/>
        <w:jc w:val="both"/>
        <w:rPr>
          <w:rFonts w:eastAsia="Calibri Light" w:cs="Calibri Light"/>
          <w:b/>
          <w:b/>
          <w:szCs w:val="26"/>
          <w:lang w:eastAsia="en-US"/>
        </w:rPr>
      </w:pPr>
      <w:r>
        <w:rPr>
          <w:b/>
        </w:rPr>
        <w:t>8.9. Обоснование</w:t>
      </w:r>
      <w:r>
        <w:rPr>
          <w:rFonts w:eastAsia="Tahoma"/>
          <w:b/>
          <w:bCs/>
        </w:rPr>
        <w:t xml:space="preserve"> мероприятий на тепловых сетях, необходимость реализации которых рассматривается на этапе разработки проектной документации по строительству тепловых сетей, в том числе при присоединении перспективных потребителей, в целях обеспечения живучести источников тепловой энергии, тепловых сетей и системы теплоснабжения в целом</w:t>
      </w:r>
    </w:p>
    <w:p>
      <w:pPr>
        <w:pStyle w:val="Normal"/>
        <w:tabs>
          <w:tab w:val="clear" w:pos="408"/>
          <w:tab w:val="left" w:pos="0" w:leader="none"/>
        </w:tabs>
        <w:ind w:firstLine="709"/>
        <w:jc w:val="both"/>
        <w:rPr>
          <w:rFonts w:eastAsia="Calibri Light" w:cs="Calibri Light"/>
          <w:b/>
          <w:b/>
          <w:szCs w:val="26"/>
          <w:lang w:eastAsia="en-US"/>
        </w:rPr>
      </w:pPr>
      <w:r>
        <w:rPr/>
        <w:t>М</w:t>
      </w:r>
      <w:r>
        <w:rPr>
          <w:rFonts w:eastAsia="Tahoma"/>
          <w:bCs/>
        </w:rPr>
        <w:t>ероприятия на тепловых сетях, необходимость реализации которых рассматривается на этапе разработки проектной документации по строительству тепловых сетей, в том числе при присоединении перспективных потребителей, в целях обеспечения живучести источников тепловой энергии, тепловых сетей и системы теплоснабжения в целом не предусмотрены.</w:t>
      </w:r>
    </w:p>
    <w:p>
      <w:pPr>
        <w:pStyle w:val="Normal"/>
        <w:tabs>
          <w:tab w:val="clear" w:pos="408"/>
          <w:tab w:val="left" w:pos="0" w:leader="none"/>
        </w:tabs>
        <w:ind w:firstLine="709"/>
        <w:jc w:val="both"/>
        <w:rPr>
          <w:rFonts w:eastAsia="Calibri Light" w:cs="Calibri Light"/>
          <w:b/>
          <w:b/>
          <w:szCs w:val="26"/>
          <w:lang w:eastAsia="en-US"/>
        </w:rPr>
      </w:pPr>
      <w:r>
        <w:rPr>
          <w:rFonts w:eastAsia="Calibri Light" w:cs="Calibri Light"/>
          <w:b/>
          <w:szCs w:val="26"/>
          <w:lang w:eastAsia="en-US"/>
        </w:rPr>
      </w:r>
    </w:p>
    <w:p>
      <w:pPr>
        <w:pStyle w:val="Normal"/>
        <w:tabs>
          <w:tab w:val="clear" w:pos="408"/>
          <w:tab w:val="left" w:pos="0" w:leader="none"/>
        </w:tabs>
        <w:ind w:firstLine="709"/>
        <w:jc w:val="both"/>
        <w:rPr>
          <w:rFonts w:eastAsia="Calibri Light" w:cs="Calibri Light"/>
          <w:b/>
          <w:b/>
          <w:szCs w:val="26"/>
          <w:lang w:eastAsia="en-US"/>
        </w:rPr>
      </w:pPr>
      <w:r>
        <w:rPr>
          <w:rFonts w:eastAsia="Calibri Light" w:cs="Calibri Light"/>
          <w:b/>
          <w:szCs w:val="26"/>
          <w:lang w:eastAsia="en-US"/>
        </w:rPr>
        <w:t>8.10. Описание изменений в предложениях по строительству, реконструкции и (или) модернизации тепловых сетей за период, предшествующий актуализации схемы теплоснабжения, в том числе с учетом введенных в эксплуатацию новых и реконструированных тепловых сетей и сооружений на них.</w:t>
      </w:r>
      <w:bookmarkEnd w:id="1152"/>
      <w:bookmarkEnd w:id="1153"/>
      <w:bookmarkEnd w:id="1154"/>
    </w:p>
    <w:p>
      <w:pPr>
        <w:pStyle w:val="Normal"/>
        <w:ind w:firstLine="709"/>
        <w:jc w:val="both"/>
        <w:rPr>
          <w:rFonts w:eastAsia="Calibri Light" w:cs="Calibri Light"/>
          <w:b/>
          <w:b/>
          <w:lang w:eastAsia="en-US"/>
        </w:rPr>
      </w:pPr>
      <w:r>
        <w:rPr>
          <w:rFonts w:eastAsia="Calibri"/>
          <w:lang w:eastAsia="en-US"/>
        </w:rPr>
        <w:t>При актуализации Схемы теплоснабжения были уточнены перспективные сценарии развития системы теплоснабжения поселения.</w:t>
      </w:r>
      <w:bookmarkStart w:id="1155" w:name="_Toc181340499"/>
      <w:bookmarkStart w:id="1156" w:name="_Toc160530034"/>
      <w:bookmarkStart w:id="1157" w:name="_Toc160455152"/>
      <w:bookmarkStart w:id="1158" w:name="_Hlk160648431"/>
      <w:bookmarkEnd w:id="1158"/>
      <w:r>
        <w:rPr>
          <w:rFonts w:eastAsia="Calibri Light" w:cs="Calibri Light"/>
          <w:b/>
          <w:lang w:eastAsia="en-US"/>
        </w:rPr>
        <w:t xml:space="preserve"> </w:t>
      </w:r>
    </w:p>
    <w:p>
      <w:pPr>
        <w:pStyle w:val="Normal"/>
        <w:jc w:val="both"/>
        <w:rPr>
          <w:rFonts w:eastAsia="Calibri Light" w:cs="Calibri Light"/>
          <w:b/>
          <w:b/>
          <w:lang w:eastAsia="en-US"/>
        </w:rPr>
      </w:pPr>
      <w:r>
        <w:rPr>
          <w:rFonts w:eastAsia="Calibri Light" w:cs="Calibri Light"/>
          <w:b/>
          <w:lang w:eastAsia="en-US"/>
        </w:rPr>
      </w:r>
    </w:p>
    <w:p>
      <w:pPr>
        <w:pStyle w:val="Normal"/>
        <w:jc w:val="center"/>
        <w:rPr>
          <w:rFonts w:eastAsia="Calibri Light" w:cs="Calibri Light"/>
          <w:b/>
          <w:b/>
          <w:lang w:eastAsia="en-US"/>
        </w:rPr>
      </w:pPr>
      <w:r>
        <w:rPr>
          <w:rFonts w:eastAsia="Calibri Light" w:cs="Calibri Light"/>
          <w:b/>
          <w:lang w:eastAsia="en-US"/>
        </w:rPr>
        <w:t xml:space="preserve">Глава 9 «Предложения по переводу открытых систем теплоснабжения </w:t>
      </w:r>
    </w:p>
    <w:p>
      <w:pPr>
        <w:pStyle w:val="Normal"/>
        <w:jc w:val="center"/>
        <w:rPr>
          <w:rFonts w:eastAsia="Calibri Light" w:cs="Calibri Light"/>
          <w:b/>
          <w:b/>
          <w:color w:val="000000"/>
          <w:lang w:eastAsia="en-US"/>
        </w:rPr>
      </w:pPr>
      <w:r>
        <w:rPr>
          <w:rFonts w:eastAsia="Calibri Light" w:cs="Calibri Light"/>
          <w:b/>
          <w:lang w:eastAsia="en-US"/>
        </w:rPr>
        <w:t>(горячего водоснабжения), отдельных участков таких систем на закрытые системы горячего водоснабжения»</w:t>
      </w:r>
      <w:bookmarkEnd w:id="1155"/>
      <w:bookmarkEnd w:id="1156"/>
      <w:bookmarkEnd w:id="1157"/>
      <w:r>
        <w:rPr>
          <w:rFonts w:eastAsia="Calibri Light" w:cs="Calibri Light"/>
          <w:b/>
          <w:color w:val="000000"/>
          <w:lang w:eastAsia="en-US"/>
        </w:rPr>
        <w:t xml:space="preserve"> </w:t>
      </w:r>
      <w:bookmarkStart w:id="1159" w:name="_Toc160530035"/>
      <w:bookmarkStart w:id="1160" w:name="_Toc160455153"/>
      <w:bookmarkStart w:id="1161" w:name="_Toc181340500"/>
      <w:bookmarkStart w:id="1162" w:name="_Toc535409602"/>
    </w:p>
    <w:p>
      <w:pPr>
        <w:pStyle w:val="Normal"/>
        <w:ind w:firstLine="709"/>
        <w:jc w:val="both"/>
        <w:rPr>
          <w:rFonts w:eastAsia="Calibri Light" w:cs="Calibri Light"/>
          <w:b/>
          <w:b/>
          <w:szCs w:val="26"/>
          <w:lang w:eastAsia="en-US"/>
        </w:rPr>
      </w:pPr>
      <w:r>
        <w:rPr>
          <w:rFonts w:eastAsia="Calibri Light" w:cs="Calibri Light"/>
          <w:b/>
          <w:szCs w:val="26"/>
          <w:lang w:eastAsia="en-US"/>
        </w:rPr>
      </w:r>
    </w:p>
    <w:p>
      <w:pPr>
        <w:pStyle w:val="Normal"/>
        <w:ind w:firstLine="709"/>
        <w:jc w:val="both"/>
        <w:rPr>
          <w:rFonts w:eastAsia="Calibri Light" w:cs="Calibri Light"/>
          <w:b/>
          <w:b/>
          <w:szCs w:val="26"/>
          <w:lang w:eastAsia="en-US"/>
        </w:rPr>
      </w:pPr>
      <w:r>
        <w:rPr>
          <w:rFonts w:eastAsia="Calibri Light" w:cs="Calibri Light"/>
          <w:b/>
          <w:szCs w:val="26"/>
          <w:lang w:eastAsia="en-US"/>
        </w:rPr>
        <w:t>9.1. Технико-экономическое обоснование предложений по типам присоединений теплопотребляющих установок потребителей (или присоединений абонентских вводов) к тепловым сетям, обеспечивающим перевод потребителей, подключенных к открытой системе теплоснабжения (горячего водоснабжения), на закрытую систему горячего водоснабжения</w:t>
      </w:r>
      <w:bookmarkEnd w:id="1159"/>
      <w:bookmarkEnd w:id="1160"/>
      <w:bookmarkEnd w:id="1161"/>
      <w:bookmarkEnd w:id="1162"/>
    </w:p>
    <w:p>
      <w:pPr>
        <w:pStyle w:val="Normal"/>
        <w:ind w:firstLine="709"/>
        <w:jc w:val="both"/>
        <w:rPr>
          <w:rFonts w:eastAsia="Calibri Light" w:cs="Calibri Light"/>
          <w:b/>
          <w:b/>
          <w:szCs w:val="26"/>
          <w:lang w:eastAsia="en-US"/>
        </w:rPr>
      </w:pPr>
      <w:r>
        <w:rPr>
          <w:rFonts w:eastAsia="Calibri" w:cs="Calibri"/>
          <w:szCs w:val="22"/>
          <w:lang w:eastAsia="en-US"/>
        </w:rPr>
        <w:t>На территории поселения потребители, подключенные к открытой системе теплоснабжения (горячего водоснабжения), отсутствуют.</w:t>
      </w:r>
      <w:bookmarkStart w:id="1163" w:name="_Toc160455154"/>
      <w:bookmarkStart w:id="1164" w:name="_Toc181340501"/>
      <w:bookmarkStart w:id="1165" w:name="_Toc160530036"/>
      <w:bookmarkStart w:id="1166" w:name="_Toc535409603"/>
      <w:bookmarkStart w:id="1167" w:name="_Hlk160528747"/>
      <w:bookmarkStart w:id="1168" w:name="sub_1681"/>
      <w:bookmarkEnd w:id="1167"/>
      <w:bookmarkEnd w:id="1168"/>
      <w:r>
        <w:rPr>
          <w:rFonts w:eastAsia="Calibri Light" w:cs="Calibri Light"/>
          <w:b/>
          <w:szCs w:val="26"/>
          <w:lang w:eastAsia="en-US"/>
        </w:rPr>
        <w:t xml:space="preserve"> </w:t>
      </w:r>
    </w:p>
    <w:p>
      <w:pPr>
        <w:pStyle w:val="Normal"/>
        <w:ind w:firstLine="709"/>
        <w:jc w:val="both"/>
        <w:rPr>
          <w:rFonts w:eastAsia="Calibri Light"/>
          <w:b/>
          <w:b/>
          <w:szCs w:val="26"/>
          <w:lang w:eastAsia="en-US"/>
        </w:rPr>
      </w:pPr>
      <w:r>
        <w:rPr>
          <w:rFonts w:eastAsia="Calibri Light"/>
          <w:b/>
          <w:szCs w:val="26"/>
          <w:lang w:eastAsia="en-US"/>
        </w:rPr>
      </w:r>
    </w:p>
    <w:p>
      <w:pPr>
        <w:pStyle w:val="Normal"/>
        <w:ind w:firstLine="709"/>
        <w:jc w:val="both"/>
        <w:rPr>
          <w:rFonts w:eastAsia="Calibri Light" w:cs="Calibri Light"/>
          <w:b/>
          <w:b/>
          <w:szCs w:val="26"/>
          <w:lang w:eastAsia="en-US"/>
        </w:rPr>
      </w:pPr>
      <w:r>
        <w:rPr>
          <w:rFonts w:eastAsia="Calibri Light"/>
          <w:b/>
          <w:szCs w:val="26"/>
          <w:lang w:eastAsia="en-US"/>
        </w:rPr>
        <w:t xml:space="preserve">9.2. </w:t>
      </w:r>
      <w:bookmarkEnd w:id="1166"/>
      <w:r>
        <w:rPr>
          <w:rFonts w:eastAsia="Calibri Light"/>
          <w:b/>
          <w:szCs w:val="26"/>
          <w:lang w:eastAsia="en-US"/>
        </w:rPr>
        <w:t>Обоснование и пересмотр графика температур теплоносителя и его расхода в открытой системе теплоснабжения (горячего водоснабжения)</w:t>
      </w:r>
      <w:bookmarkStart w:id="1169" w:name="sub_1682"/>
      <w:bookmarkEnd w:id="1163"/>
      <w:bookmarkEnd w:id="1164"/>
      <w:bookmarkEnd w:id="1165"/>
      <w:bookmarkEnd w:id="1169"/>
      <w:r>
        <w:rPr>
          <w:rFonts w:eastAsia="Calibri" w:cs="Calibri"/>
          <w:szCs w:val="22"/>
          <w:lang w:eastAsia="en-US"/>
        </w:rPr>
        <w:t xml:space="preserve"> </w:t>
      </w:r>
    </w:p>
    <w:p>
      <w:pPr>
        <w:pStyle w:val="Normal"/>
        <w:ind w:firstLine="709"/>
        <w:jc w:val="both"/>
        <w:rPr>
          <w:rFonts w:eastAsia="Calibri Light" w:cs="Calibri Light"/>
          <w:b/>
          <w:b/>
          <w:szCs w:val="26"/>
          <w:lang w:eastAsia="en-US"/>
        </w:rPr>
      </w:pPr>
      <w:r>
        <w:rPr>
          <w:rFonts w:eastAsia="Calibri" w:cs="Calibri"/>
          <w:szCs w:val="22"/>
          <w:lang w:eastAsia="en-US"/>
        </w:rPr>
        <w:t>На территории поселения потребители, подключенные к открытой системе теплоснабжения (горячего водоснабжения), отсутствуют.</w:t>
      </w:r>
      <w:bookmarkStart w:id="1170" w:name="_Toc181340502"/>
      <w:bookmarkStart w:id="1171" w:name="_Toc160530037"/>
      <w:bookmarkStart w:id="1172" w:name="_Toc160455155"/>
      <w:bookmarkStart w:id="1173" w:name="_Toc535409604"/>
      <w:r>
        <w:rPr>
          <w:rFonts w:eastAsia="Calibri Light" w:cs="Calibri Light"/>
          <w:b/>
          <w:szCs w:val="26"/>
          <w:lang w:eastAsia="en-US"/>
        </w:rPr>
        <w:t xml:space="preserve"> </w:t>
      </w:r>
    </w:p>
    <w:p>
      <w:pPr>
        <w:pStyle w:val="Normal"/>
        <w:ind w:firstLine="709"/>
        <w:jc w:val="both"/>
        <w:rPr>
          <w:rFonts w:eastAsia="Calibri Light"/>
          <w:b/>
          <w:b/>
          <w:szCs w:val="26"/>
          <w:lang w:eastAsia="en-US"/>
        </w:rPr>
      </w:pPr>
      <w:r>
        <w:rPr>
          <w:rFonts w:eastAsia="Calibri Light"/>
          <w:b/>
          <w:szCs w:val="26"/>
          <w:lang w:eastAsia="en-US"/>
        </w:rPr>
      </w:r>
    </w:p>
    <w:p>
      <w:pPr>
        <w:pStyle w:val="Normal"/>
        <w:ind w:firstLine="709"/>
        <w:jc w:val="both"/>
        <w:rPr>
          <w:rFonts w:eastAsia="Calibri Light" w:cs="Calibri Light"/>
          <w:b/>
          <w:b/>
          <w:szCs w:val="26"/>
          <w:lang w:eastAsia="en-US"/>
        </w:rPr>
      </w:pPr>
      <w:r>
        <w:rPr>
          <w:rFonts w:eastAsia="Calibri Light"/>
          <w:b/>
          <w:szCs w:val="26"/>
          <w:lang w:eastAsia="en-US"/>
        </w:rPr>
        <w:t xml:space="preserve">9.3. Предложения </w:t>
      </w:r>
      <w:bookmarkEnd w:id="1173"/>
      <w:r>
        <w:rPr>
          <w:rFonts w:eastAsia="Calibri Light"/>
          <w:b/>
          <w:szCs w:val="26"/>
          <w:lang w:eastAsia="en-US"/>
        </w:rPr>
        <w:t>по реконструкции тепловых сетей в открытых системах теплоснабжения (горячего водоснабжения), на отдельных участках таких систем, обеспечивающих передачу тепловой энергии к потребителям</w:t>
      </w:r>
      <w:bookmarkStart w:id="1174" w:name="sub_1683"/>
      <w:bookmarkEnd w:id="1170"/>
      <w:bookmarkEnd w:id="1171"/>
      <w:bookmarkEnd w:id="1172"/>
      <w:bookmarkEnd w:id="1174"/>
    </w:p>
    <w:p>
      <w:pPr>
        <w:pStyle w:val="Normal"/>
        <w:ind w:firstLine="709"/>
        <w:jc w:val="both"/>
        <w:rPr>
          <w:rFonts w:eastAsia="Calibri Light" w:cs="Calibri Light"/>
          <w:b/>
          <w:b/>
          <w:szCs w:val="26"/>
          <w:lang w:eastAsia="en-US"/>
        </w:rPr>
      </w:pPr>
      <w:r>
        <w:rPr>
          <w:rFonts w:eastAsia="Calibri" w:cs="Calibri"/>
          <w:szCs w:val="22"/>
          <w:lang w:eastAsia="en-US"/>
        </w:rPr>
        <w:t>На территории поселения потребители, подключенные к открытой системе теплоснабжения (горячего водоснабжения), отсутствуют.</w:t>
      </w:r>
      <w:bookmarkStart w:id="1175" w:name="_Toc181340503"/>
      <w:bookmarkStart w:id="1176" w:name="_Toc160530038"/>
      <w:bookmarkStart w:id="1177" w:name="_Toc160455156"/>
      <w:bookmarkStart w:id="1178" w:name="_Toc535409605"/>
      <w:r>
        <w:rPr>
          <w:rFonts w:eastAsia="Calibri Light" w:cs="Calibri Light"/>
          <w:b/>
          <w:szCs w:val="26"/>
          <w:lang w:eastAsia="en-US"/>
        </w:rPr>
        <w:t xml:space="preserve"> </w:t>
      </w:r>
    </w:p>
    <w:p>
      <w:pPr>
        <w:pStyle w:val="Normal"/>
        <w:ind w:firstLine="709"/>
        <w:jc w:val="both"/>
        <w:rPr>
          <w:rFonts w:eastAsia="Calibri Light"/>
          <w:b/>
          <w:b/>
          <w:szCs w:val="26"/>
          <w:lang w:eastAsia="en-US"/>
        </w:rPr>
      </w:pPr>
      <w:r>
        <w:rPr>
          <w:rFonts w:eastAsia="Calibri Light"/>
          <w:b/>
          <w:szCs w:val="26"/>
          <w:lang w:eastAsia="en-US"/>
        </w:rPr>
      </w:r>
    </w:p>
    <w:p>
      <w:pPr>
        <w:pStyle w:val="Normal"/>
        <w:ind w:firstLine="709"/>
        <w:jc w:val="both"/>
        <w:rPr>
          <w:rFonts w:eastAsia="Calibri Light" w:cs="Calibri Light"/>
          <w:b/>
          <w:b/>
          <w:szCs w:val="26"/>
          <w:lang w:eastAsia="en-US"/>
        </w:rPr>
      </w:pPr>
      <w:r>
        <w:rPr>
          <w:rFonts w:eastAsia="Calibri Light"/>
          <w:b/>
          <w:szCs w:val="26"/>
          <w:lang w:eastAsia="en-US"/>
        </w:rPr>
        <w:t xml:space="preserve">9.4. Расчет </w:t>
      </w:r>
      <w:bookmarkEnd w:id="1178"/>
      <w:r>
        <w:rPr>
          <w:rFonts w:eastAsia="Calibri Light"/>
          <w:b/>
          <w:szCs w:val="26"/>
          <w:lang w:eastAsia="en-US"/>
        </w:rPr>
        <w:t>потребности инвестиций для перевода открытых систем теплоснабжения (горячего водоснабжения), отдельных участков таких систем на закрытые системы горячего водоснабжения</w:t>
      </w:r>
      <w:bookmarkStart w:id="1179" w:name="sub_1684"/>
      <w:bookmarkEnd w:id="1175"/>
      <w:bookmarkEnd w:id="1176"/>
      <w:bookmarkEnd w:id="1177"/>
      <w:bookmarkEnd w:id="1179"/>
    </w:p>
    <w:p>
      <w:pPr>
        <w:pStyle w:val="Normal"/>
        <w:ind w:firstLine="709"/>
        <w:jc w:val="both"/>
        <w:rPr>
          <w:rFonts w:eastAsia="Calibri Light" w:cs="Calibri Light"/>
          <w:b/>
          <w:b/>
          <w:szCs w:val="26"/>
          <w:lang w:eastAsia="en-US"/>
        </w:rPr>
      </w:pPr>
      <w:r>
        <w:rPr>
          <w:rFonts w:eastAsia="Calibri" w:cs="Calibri"/>
          <w:szCs w:val="22"/>
          <w:lang w:eastAsia="en-US"/>
        </w:rPr>
        <w:t>На территории поселения потребители, подключенные к открытой системе теплоснабжения (горячего водоснабжения), отсутствуют.</w:t>
      </w:r>
      <w:bookmarkStart w:id="1180" w:name="_Toc181340504"/>
      <w:bookmarkStart w:id="1181" w:name="_Toc160455157"/>
      <w:bookmarkStart w:id="1182" w:name="_Toc160530039"/>
      <w:bookmarkStart w:id="1183" w:name="_Toc535409606"/>
      <w:r>
        <w:rPr>
          <w:rFonts w:eastAsia="Calibri Light" w:cs="Calibri Light"/>
          <w:b/>
          <w:szCs w:val="26"/>
          <w:lang w:eastAsia="en-US"/>
        </w:rPr>
        <w:t xml:space="preserve"> </w:t>
      </w:r>
    </w:p>
    <w:p>
      <w:pPr>
        <w:pStyle w:val="Normal"/>
        <w:ind w:firstLine="709"/>
        <w:jc w:val="both"/>
        <w:rPr>
          <w:rFonts w:eastAsia="Calibri Light"/>
          <w:b/>
          <w:b/>
          <w:szCs w:val="26"/>
          <w:lang w:eastAsia="en-US"/>
        </w:rPr>
      </w:pPr>
      <w:r>
        <w:rPr>
          <w:rFonts w:eastAsia="Calibri Light"/>
          <w:b/>
          <w:szCs w:val="26"/>
          <w:lang w:eastAsia="en-US"/>
        </w:rPr>
      </w:r>
    </w:p>
    <w:p>
      <w:pPr>
        <w:pStyle w:val="Normal"/>
        <w:ind w:firstLine="709"/>
        <w:jc w:val="both"/>
        <w:rPr>
          <w:rFonts w:eastAsia="Calibri Light" w:cs="Calibri Light"/>
          <w:b/>
          <w:b/>
          <w:szCs w:val="26"/>
          <w:lang w:eastAsia="en-US"/>
        </w:rPr>
      </w:pPr>
      <w:r>
        <w:rPr>
          <w:rFonts w:eastAsia="Calibri Light"/>
          <w:b/>
          <w:szCs w:val="26"/>
          <w:lang w:eastAsia="en-US"/>
        </w:rPr>
        <w:t xml:space="preserve">9.5. </w:t>
      </w:r>
      <w:bookmarkEnd w:id="1183"/>
      <w:r>
        <w:rPr>
          <w:rFonts w:eastAsia="Calibri Light"/>
          <w:b/>
          <w:szCs w:val="26"/>
          <w:lang w:eastAsia="en-US"/>
        </w:rPr>
        <w:t>Оценка экономической эффективности мероприятий по переводу открытых систем теплоснабжения (горячего водоснабжения), отдельных участков таких систем на закрытые системы горячего водоснабжения</w:t>
      </w:r>
      <w:bookmarkStart w:id="1184" w:name="sub_1685"/>
      <w:bookmarkEnd w:id="1180"/>
      <w:bookmarkEnd w:id="1181"/>
      <w:bookmarkEnd w:id="1182"/>
      <w:bookmarkEnd w:id="1184"/>
    </w:p>
    <w:p>
      <w:pPr>
        <w:pStyle w:val="Normal"/>
        <w:ind w:firstLine="709"/>
        <w:jc w:val="both"/>
        <w:rPr>
          <w:rFonts w:eastAsia="Calibri Light" w:cs="Calibri Light"/>
          <w:b/>
          <w:b/>
          <w:szCs w:val="26"/>
          <w:lang w:eastAsia="en-US"/>
        </w:rPr>
      </w:pPr>
      <w:r>
        <w:rPr>
          <w:rFonts w:eastAsia="Calibri" w:cs="Calibri"/>
          <w:szCs w:val="22"/>
          <w:lang w:eastAsia="en-US"/>
        </w:rPr>
        <w:t>На территории поселения потребители, подключенные к открытой системе теплоснабжения (горячего водоснабжения), отсутствуют.</w:t>
      </w:r>
      <w:bookmarkStart w:id="1185" w:name="_Toc181340505"/>
      <w:bookmarkStart w:id="1186" w:name="_Toc160530040"/>
      <w:bookmarkStart w:id="1187" w:name="_Toc160455158"/>
      <w:bookmarkStart w:id="1188" w:name="_Toc159510551"/>
      <w:bookmarkStart w:id="1189" w:name="_Toc535409607"/>
      <w:bookmarkEnd w:id="1189"/>
    </w:p>
    <w:p>
      <w:pPr>
        <w:pStyle w:val="Normal"/>
        <w:ind w:firstLine="709"/>
        <w:jc w:val="both"/>
        <w:rPr>
          <w:rFonts w:eastAsia="Calibri Light" w:cs="Calibri Light"/>
          <w:b/>
          <w:b/>
          <w:szCs w:val="26"/>
          <w:lang w:eastAsia="en-US"/>
        </w:rPr>
      </w:pPr>
      <w:r>
        <w:rPr>
          <w:rFonts w:eastAsia="Calibri Light" w:cs="Calibri Light"/>
          <w:b/>
          <w:szCs w:val="26"/>
          <w:lang w:eastAsia="en-US"/>
        </w:rPr>
        <w:t>9.6. Расчет ценовых (тарифных) последствий для потребителей в случае реализации мероприятий по переводу открытых систем теплоснабжения (горячего водоснабжения), отдельных участков таких систем на закрытые системы горячего водоснабжения</w:t>
      </w:r>
      <w:bookmarkEnd w:id="1185"/>
      <w:bookmarkEnd w:id="1186"/>
      <w:bookmarkEnd w:id="1187"/>
      <w:bookmarkEnd w:id="1188"/>
    </w:p>
    <w:p>
      <w:pPr>
        <w:pStyle w:val="Normal"/>
        <w:ind w:firstLine="709"/>
        <w:jc w:val="both"/>
        <w:rPr>
          <w:rFonts w:eastAsia="Calibri Light" w:cs="Calibri Light"/>
          <w:b/>
          <w:b/>
          <w:szCs w:val="26"/>
          <w:lang w:eastAsia="en-US"/>
        </w:rPr>
      </w:pPr>
      <w:r>
        <w:rPr>
          <w:lang w:eastAsia="ru-RU"/>
        </w:rPr>
        <w:t>Централизованное горячее водоснабжение на территории поселения с использованием открытых систем теплоснабжения не осуществляется.</w:t>
      </w:r>
      <w:bookmarkStart w:id="1190" w:name="_Toc181340506"/>
      <w:bookmarkStart w:id="1191" w:name="_Toc160530041"/>
      <w:bookmarkStart w:id="1192" w:name="_Toc160455159"/>
    </w:p>
    <w:p>
      <w:pPr>
        <w:pStyle w:val="Normal"/>
        <w:ind w:firstLine="709"/>
        <w:jc w:val="both"/>
        <w:rPr>
          <w:rFonts w:eastAsia="Calibri Light"/>
          <w:b/>
          <w:b/>
          <w:szCs w:val="26"/>
          <w:lang w:eastAsia="en-US"/>
        </w:rPr>
      </w:pPr>
      <w:r>
        <w:rPr>
          <w:rFonts w:eastAsia="Calibri Light"/>
          <w:b/>
          <w:szCs w:val="26"/>
          <w:lang w:eastAsia="en-US"/>
        </w:rPr>
      </w:r>
    </w:p>
    <w:p>
      <w:pPr>
        <w:pStyle w:val="Normal"/>
        <w:ind w:firstLine="709"/>
        <w:jc w:val="both"/>
        <w:rPr>
          <w:rFonts w:eastAsia="Calibri Light" w:cs="Calibri Light"/>
          <w:b/>
          <w:b/>
          <w:szCs w:val="26"/>
          <w:lang w:eastAsia="en-US"/>
        </w:rPr>
      </w:pPr>
      <w:r>
        <w:rPr>
          <w:rFonts w:eastAsia="Calibri Light"/>
          <w:b/>
          <w:szCs w:val="26"/>
          <w:lang w:eastAsia="en-US"/>
        </w:rPr>
        <w:t>9.7. Описание актуальных изменений в предложениях по переводу открытых систем теплоснабжения (горячего водоснабжения) в закрытые системы горячего водоснабжения за период, предшествующий актуализации схемы теплоснабжения, в том числе с учетом введенных в эксплуатацию переоборудованных центральных и индивидуальных тепловых пунктов</w:t>
      </w:r>
      <w:bookmarkEnd w:id="1190"/>
      <w:bookmarkEnd w:id="1191"/>
      <w:bookmarkEnd w:id="1192"/>
    </w:p>
    <w:p>
      <w:pPr>
        <w:sectPr>
          <w:headerReference w:type="default" r:id="rId63"/>
          <w:footerReference w:type="default" r:id="rId64"/>
          <w:type w:val="nextPage"/>
          <w:pgSz w:w="11906" w:h="16838"/>
          <w:pgMar w:left="1701" w:right="567" w:header="708" w:top="1134" w:footer="708" w:bottom="1134" w:gutter="0"/>
          <w:pgNumType w:fmt="decimal"/>
          <w:formProt w:val="false"/>
          <w:textDirection w:val="lrTb"/>
          <w:docGrid w:type="default" w:linePitch="360" w:charSpace="0"/>
        </w:sectPr>
        <w:pStyle w:val="Normal"/>
        <w:ind w:firstLine="709"/>
        <w:jc w:val="both"/>
        <w:rPr>
          <w:rFonts w:eastAsia="Calibri Light" w:cs="Calibri Light"/>
          <w:b/>
          <w:b/>
          <w:szCs w:val="26"/>
          <w:lang w:eastAsia="en-US"/>
        </w:rPr>
      </w:pPr>
      <w:r>
        <w:rPr/>
        <w:t>В утвержденной Схеме теплоснабжения Глава 9 «Предложения по переводу открытых систем теплоснабжения (горячего водоснабжения) в закрытые системы горячего водоснабжения» не разрабатывалась.</w:t>
      </w:r>
    </w:p>
    <w:p>
      <w:pPr>
        <w:pStyle w:val="Normal"/>
        <w:keepNext w:val="true"/>
        <w:keepLines/>
        <w:numPr>
          <w:ilvl w:val="0"/>
          <w:numId w:val="0"/>
        </w:numPr>
        <w:ind w:left="0" w:hanging="0"/>
        <w:jc w:val="center"/>
        <w:outlineLvl w:val="0"/>
        <w:rPr>
          <w:rFonts w:eastAsia="Calibri Light" w:cs="Calibri Light"/>
          <w:b/>
          <w:b/>
          <w:color w:val="000000"/>
          <w:lang w:eastAsia="en-US"/>
        </w:rPr>
      </w:pPr>
      <w:bookmarkStart w:id="1193" w:name="_Toc181340507"/>
      <w:bookmarkStart w:id="1194" w:name="_Toc160530042"/>
      <w:bookmarkStart w:id="1195" w:name="_Hlk160710493"/>
      <w:bookmarkEnd w:id="1195"/>
      <w:r>
        <w:rPr>
          <w:rFonts w:eastAsia="Calibri Light" w:cs="Calibri Light"/>
          <w:b/>
          <w:lang w:eastAsia="en-US"/>
        </w:rPr>
        <w:t>Глава 10 «Перспективные топливные балансы»</w:t>
      </w:r>
      <w:bookmarkEnd w:id="1193"/>
      <w:bookmarkEnd w:id="1194"/>
    </w:p>
    <w:p>
      <w:pPr>
        <w:pStyle w:val="Normal"/>
        <w:keepNext w:val="true"/>
        <w:keepLines/>
        <w:numPr>
          <w:ilvl w:val="0"/>
          <w:numId w:val="0"/>
        </w:numPr>
        <w:ind w:left="0" w:firstLine="709"/>
        <w:jc w:val="both"/>
        <w:outlineLvl w:val="1"/>
        <w:rPr>
          <w:rFonts w:eastAsia="Calibri Light" w:cs="Calibri Light"/>
          <w:b/>
          <w:b/>
          <w:szCs w:val="26"/>
          <w:lang w:eastAsia="en-US"/>
        </w:rPr>
      </w:pPr>
      <w:bookmarkStart w:id="1196" w:name="_Toc160530043"/>
      <w:bookmarkStart w:id="1197" w:name="_Toc535409609"/>
      <w:bookmarkStart w:id="1198" w:name="_Toc181340508"/>
      <w:r>
        <w:rPr>
          <w:rFonts w:eastAsia="Calibri Light" w:cs="Calibri Light"/>
          <w:b/>
          <w:szCs w:val="26"/>
          <w:lang w:eastAsia="en-US"/>
        </w:rPr>
        <w:t>10.1. Расчеты по каждому источнику тепловой энергии перспективных максимальных часовых и годовых расходов основного вида топлива для зимнего и летнего периодов, необходимого для обеспечения нормативного функционирования источников тепловой энергии на территории поселения</w:t>
      </w:r>
      <w:bookmarkStart w:id="1199" w:name="_Hlk160710522"/>
      <w:bookmarkEnd w:id="1196"/>
      <w:bookmarkEnd w:id="1197"/>
      <w:bookmarkEnd w:id="1198"/>
      <w:bookmarkEnd w:id="1199"/>
    </w:p>
    <w:p>
      <w:pPr>
        <w:pStyle w:val="Normal"/>
        <w:ind w:firstLine="709"/>
        <w:jc w:val="both"/>
        <w:rPr>
          <w:lang w:eastAsia="ru-RU"/>
        </w:rPr>
      </w:pPr>
      <w:r>
        <w:rPr>
          <w:lang w:eastAsia="ru-RU"/>
        </w:rPr>
        <w:t xml:space="preserve">Существующие, перспективные максимальные часовые и годовые расходы основного вида топлива источниками представлены в таблицах 29 – 30. </w:t>
      </w:r>
    </w:p>
    <w:p>
      <w:pPr>
        <w:pStyle w:val="Normal"/>
        <w:jc w:val="right"/>
        <w:rPr>
          <w:rFonts w:eastAsia="Calibri" w:cs="Calibri"/>
          <w:szCs w:val="22"/>
          <w:lang w:eastAsia="en-US"/>
        </w:rPr>
      </w:pPr>
      <w:bookmarkStart w:id="1200" w:name="_Hlk160648507"/>
      <w:bookmarkEnd w:id="1200"/>
      <w:r>
        <w:rPr>
          <w:rFonts w:eastAsia="Calibri" w:cs="Calibri"/>
          <w:szCs w:val="22"/>
          <w:lang w:eastAsia="en-US"/>
        </w:rPr>
        <w:t>Таблица 29 – Максимально часовые и годовые расходы основного вида топлива источниками тепловой энергии (существующее положение)</w:t>
      </w:r>
    </w:p>
    <w:tbl>
      <w:tblPr>
        <w:tblW w:w="5000" w:type="pct"/>
        <w:jc w:val="left"/>
        <w:tblInd w:w="0" w:type="dxa"/>
        <w:tblCellMar>
          <w:top w:w="0" w:type="dxa"/>
          <w:left w:w="108" w:type="dxa"/>
          <w:bottom w:w="0" w:type="dxa"/>
          <w:right w:w="108" w:type="dxa"/>
        </w:tblCellMar>
        <w:tblLook w:val="04a0" w:noVBand="1" w:noHBand="0" w:lastColumn="0" w:firstColumn="1" w:lastRow="0" w:firstRow="1"/>
      </w:tblPr>
      <w:tblGrid>
        <w:gridCol w:w="635"/>
        <w:gridCol w:w="1859"/>
        <w:gridCol w:w="1876"/>
        <w:gridCol w:w="1520"/>
        <w:gridCol w:w="1390"/>
        <w:gridCol w:w="1358"/>
        <w:gridCol w:w="1694"/>
        <w:gridCol w:w="1486"/>
        <w:gridCol w:w="853"/>
        <w:gridCol w:w="1897"/>
      </w:tblGrid>
      <w:tr>
        <w:trPr>
          <w:tblHeader w:val="true"/>
        </w:trPr>
        <w:tc>
          <w:tcPr>
            <w:tcW w:w="6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xml:space="preserve">№ </w:t>
            </w:r>
            <w:r>
              <w:rPr>
                <w:sz w:val="20"/>
                <w:szCs w:val="20"/>
                <w:lang w:eastAsia="ru-RU"/>
              </w:rPr>
              <w:t xml:space="preserve">п/п </w:t>
            </w:r>
          </w:p>
        </w:tc>
        <w:tc>
          <w:tcPr>
            <w:tcW w:w="1859" w:type="dxa"/>
            <w:tcBorders>
              <w:top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Наименование и адрес котельной</w:t>
            </w:r>
          </w:p>
        </w:tc>
        <w:tc>
          <w:tcPr>
            <w:tcW w:w="1876" w:type="dxa"/>
            <w:tcBorders>
              <w:top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Установленная мощность, Гкал/ч</w:t>
            </w:r>
          </w:p>
        </w:tc>
        <w:tc>
          <w:tcPr>
            <w:tcW w:w="1520" w:type="dxa"/>
            <w:tcBorders>
              <w:top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Основное топливо</w:t>
            </w:r>
          </w:p>
        </w:tc>
        <w:tc>
          <w:tcPr>
            <w:tcW w:w="1390" w:type="dxa"/>
            <w:tcBorders>
              <w:top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Резервное топливо</w:t>
            </w:r>
          </w:p>
        </w:tc>
        <w:tc>
          <w:tcPr>
            <w:tcW w:w="1358" w:type="dxa"/>
            <w:tcBorders>
              <w:top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Годовой расход условного топлива, т.у.т.</w:t>
            </w:r>
          </w:p>
        </w:tc>
        <w:tc>
          <w:tcPr>
            <w:tcW w:w="1694" w:type="dxa"/>
            <w:tcBorders>
              <w:top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Годовой расход натурального топлива (т.н.т)</w:t>
            </w:r>
          </w:p>
        </w:tc>
        <w:tc>
          <w:tcPr>
            <w:tcW w:w="1486" w:type="dxa"/>
            <w:tcBorders>
              <w:top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Удельный расход условного топлива на выработку тепло кг.у.т./Гкал</w:t>
            </w:r>
          </w:p>
        </w:tc>
        <w:tc>
          <w:tcPr>
            <w:tcW w:w="853" w:type="dxa"/>
            <w:tcBorders>
              <w:top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КПД, %</w:t>
            </w:r>
          </w:p>
        </w:tc>
        <w:tc>
          <w:tcPr>
            <w:tcW w:w="1897" w:type="dxa"/>
            <w:tcBorders>
              <w:top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Максимальный часовой расход топлива, т.н.т/ч, тыс.м3/ч</w:t>
            </w:r>
          </w:p>
        </w:tc>
      </w:tr>
      <w:tr>
        <w:trPr>
          <w:tblHeader w:val="true"/>
        </w:trPr>
        <w:tc>
          <w:tcPr>
            <w:tcW w:w="14568" w:type="dxa"/>
            <w:gridSpan w:val="10"/>
            <w:tcBorders>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городское поселение Октябрьское</w:t>
            </w:r>
          </w:p>
        </w:tc>
      </w:tr>
      <w:tr>
        <w:trPr/>
        <w:tc>
          <w:tcPr>
            <w:tcW w:w="635" w:type="dxa"/>
            <w:tcBorders>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w:t>
            </w:r>
          </w:p>
        </w:tc>
        <w:tc>
          <w:tcPr>
            <w:tcW w:w="1859" w:type="dxa"/>
            <w:tcBorders>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котельная № 1, пгт.Октябрьское, ул.Сенькина, 46б</w:t>
            </w:r>
          </w:p>
        </w:tc>
        <w:tc>
          <w:tcPr>
            <w:tcW w:w="1876"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10,32</w:t>
            </w:r>
          </w:p>
        </w:tc>
        <w:tc>
          <w:tcPr>
            <w:tcW w:w="1520" w:type="dxa"/>
            <w:tcBorders>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Природный газ</w:t>
            </w:r>
          </w:p>
        </w:tc>
        <w:tc>
          <w:tcPr>
            <w:tcW w:w="1390" w:type="dxa"/>
            <w:tcBorders>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дизельное топливо</w:t>
            </w:r>
          </w:p>
        </w:tc>
        <w:tc>
          <w:tcPr>
            <w:tcW w:w="1358"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1909,47</w:t>
            </w:r>
          </w:p>
        </w:tc>
        <w:tc>
          <w:tcPr>
            <w:tcW w:w="1694"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1654,66</w:t>
            </w:r>
          </w:p>
        </w:tc>
        <w:tc>
          <w:tcPr>
            <w:tcW w:w="1486"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176,52</w:t>
            </w:r>
          </w:p>
        </w:tc>
        <w:tc>
          <w:tcPr>
            <w:tcW w:w="853"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81,01</w:t>
            </w:r>
          </w:p>
        </w:tc>
        <w:tc>
          <w:tcPr>
            <w:tcW w:w="1897"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0,19</w:t>
            </w:r>
          </w:p>
        </w:tc>
      </w:tr>
      <w:tr>
        <w:trPr/>
        <w:tc>
          <w:tcPr>
            <w:tcW w:w="635" w:type="dxa"/>
            <w:tcBorders>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2</w:t>
            </w:r>
          </w:p>
        </w:tc>
        <w:tc>
          <w:tcPr>
            <w:tcW w:w="1859" w:type="dxa"/>
            <w:tcBorders>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котельная № 2, пгт.Октябрьское, ул.Пионерская, 17б</w:t>
            </w:r>
          </w:p>
        </w:tc>
        <w:tc>
          <w:tcPr>
            <w:tcW w:w="1876"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7,12</w:t>
            </w:r>
          </w:p>
        </w:tc>
        <w:tc>
          <w:tcPr>
            <w:tcW w:w="1520" w:type="dxa"/>
            <w:tcBorders>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Природный газ</w:t>
            </w:r>
          </w:p>
        </w:tc>
        <w:tc>
          <w:tcPr>
            <w:tcW w:w="1390" w:type="dxa"/>
            <w:tcBorders>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 </w:t>
            </w:r>
          </w:p>
        </w:tc>
        <w:tc>
          <w:tcPr>
            <w:tcW w:w="1358"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1285,94</w:t>
            </w:r>
          </w:p>
        </w:tc>
        <w:tc>
          <w:tcPr>
            <w:tcW w:w="1694"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1114,34</w:t>
            </w:r>
          </w:p>
        </w:tc>
        <w:tc>
          <w:tcPr>
            <w:tcW w:w="1486"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176,52</w:t>
            </w:r>
          </w:p>
        </w:tc>
        <w:tc>
          <w:tcPr>
            <w:tcW w:w="853"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81,01</w:t>
            </w:r>
          </w:p>
        </w:tc>
        <w:tc>
          <w:tcPr>
            <w:tcW w:w="1897"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0,13</w:t>
            </w:r>
          </w:p>
        </w:tc>
      </w:tr>
      <w:tr>
        <w:trPr/>
        <w:tc>
          <w:tcPr>
            <w:tcW w:w="635" w:type="dxa"/>
            <w:tcBorders>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3</w:t>
            </w:r>
          </w:p>
        </w:tc>
        <w:tc>
          <w:tcPr>
            <w:tcW w:w="1859" w:type="dxa"/>
            <w:tcBorders>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котельная № 3, пгт.Октябрьское, ул.Чапаева, 6б</w:t>
            </w:r>
          </w:p>
        </w:tc>
        <w:tc>
          <w:tcPr>
            <w:tcW w:w="1876"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5,32</w:t>
            </w:r>
          </w:p>
        </w:tc>
        <w:tc>
          <w:tcPr>
            <w:tcW w:w="1520" w:type="dxa"/>
            <w:tcBorders>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Природный газ</w:t>
            </w:r>
          </w:p>
        </w:tc>
        <w:tc>
          <w:tcPr>
            <w:tcW w:w="1390" w:type="dxa"/>
            <w:tcBorders>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r>
          </w:p>
        </w:tc>
        <w:tc>
          <w:tcPr>
            <w:tcW w:w="1358"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1190,00</w:t>
            </w:r>
          </w:p>
        </w:tc>
        <w:tc>
          <w:tcPr>
            <w:tcW w:w="1694"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1031,20</w:t>
            </w:r>
          </w:p>
        </w:tc>
        <w:tc>
          <w:tcPr>
            <w:tcW w:w="1486"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176,52</w:t>
            </w:r>
          </w:p>
        </w:tc>
        <w:tc>
          <w:tcPr>
            <w:tcW w:w="853"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81,01</w:t>
            </w:r>
          </w:p>
        </w:tc>
        <w:tc>
          <w:tcPr>
            <w:tcW w:w="1897"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0,12</w:t>
            </w:r>
          </w:p>
        </w:tc>
      </w:tr>
      <w:tr>
        <w:trPr/>
        <w:tc>
          <w:tcPr>
            <w:tcW w:w="635" w:type="dxa"/>
            <w:tcBorders>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4</w:t>
            </w:r>
          </w:p>
        </w:tc>
        <w:tc>
          <w:tcPr>
            <w:tcW w:w="1859" w:type="dxa"/>
            <w:tcBorders>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котельная № 6, пгт.Октябрьское, ул.Дзержинского, 2б</w:t>
            </w:r>
          </w:p>
        </w:tc>
        <w:tc>
          <w:tcPr>
            <w:tcW w:w="1876"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5,4</w:t>
            </w:r>
          </w:p>
        </w:tc>
        <w:tc>
          <w:tcPr>
            <w:tcW w:w="1520" w:type="dxa"/>
            <w:tcBorders>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Природный газ</w:t>
            </w:r>
          </w:p>
        </w:tc>
        <w:tc>
          <w:tcPr>
            <w:tcW w:w="1390" w:type="dxa"/>
            <w:tcBorders>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r>
          </w:p>
        </w:tc>
        <w:tc>
          <w:tcPr>
            <w:tcW w:w="1358"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744,60</w:t>
            </w:r>
          </w:p>
        </w:tc>
        <w:tc>
          <w:tcPr>
            <w:tcW w:w="1694"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645,23</w:t>
            </w:r>
          </w:p>
        </w:tc>
        <w:tc>
          <w:tcPr>
            <w:tcW w:w="1486"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176,52</w:t>
            </w:r>
          </w:p>
        </w:tc>
        <w:tc>
          <w:tcPr>
            <w:tcW w:w="853"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81,01</w:t>
            </w:r>
          </w:p>
        </w:tc>
        <w:tc>
          <w:tcPr>
            <w:tcW w:w="1897"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0,08</w:t>
            </w:r>
          </w:p>
        </w:tc>
      </w:tr>
      <w:tr>
        <w:trPr/>
        <w:tc>
          <w:tcPr>
            <w:tcW w:w="635" w:type="dxa"/>
            <w:tcBorders>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5</w:t>
            </w:r>
          </w:p>
        </w:tc>
        <w:tc>
          <w:tcPr>
            <w:tcW w:w="1859" w:type="dxa"/>
            <w:tcBorders>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котельная № 7,</w:t>
            </w:r>
          </w:p>
          <w:p>
            <w:pPr>
              <w:pStyle w:val="Normal"/>
              <w:jc w:val="center"/>
              <w:rPr>
                <w:sz w:val="20"/>
                <w:szCs w:val="20"/>
                <w:lang w:eastAsia="ru-RU"/>
              </w:rPr>
            </w:pPr>
            <w:r>
              <w:rPr>
                <w:sz w:val="20"/>
                <w:szCs w:val="20"/>
              </w:rPr>
              <w:t>пгт.Октябрьское, ул.Медицинская, 3Б</w:t>
            </w:r>
          </w:p>
        </w:tc>
        <w:tc>
          <w:tcPr>
            <w:tcW w:w="1876"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5,16</w:t>
            </w:r>
          </w:p>
        </w:tc>
        <w:tc>
          <w:tcPr>
            <w:tcW w:w="1520" w:type="dxa"/>
            <w:tcBorders>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Природный газ</w:t>
            </w:r>
          </w:p>
        </w:tc>
        <w:tc>
          <w:tcPr>
            <w:tcW w:w="1390" w:type="dxa"/>
            <w:tcBorders>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дизельное топливо</w:t>
            </w:r>
          </w:p>
        </w:tc>
        <w:tc>
          <w:tcPr>
            <w:tcW w:w="1358"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906,43</w:t>
            </w:r>
          </w:p>
        </w:tc>
        <w:tc>
          <w:tcPr>
            <w:tcW w:w="1694"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785,47</w:t>
            </w:r>
          </w:p>
        </w:tc>
        <w:tc>
          <w:tcPr>
            <w:tcW w:w="1486"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176,52</w:t>
            </w:r>
          </w:p>
        </w:tc>
        <w:tc>
          <w:tcPr>
            <w:tcW w:w="853"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81,01</w:t>
            </w:r>
          </w:p>
        </w:tc>
        <w:tc>
          <w:tcPr>
            <w:tcW w:w="1897"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0,09</w:t>
            </w:r>
          </w:p>
        </w:tc>
      </w:tr>
      <w:tr>
        <w:trPr/>
        <w:tc>
          <w:tcPr>
            <w:tcW w:w="635" w:type="dxa"/>
            <w:tcBorders>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6</w:t>
            </w:r>
          </w:p>
        </w:tc>
        <w:tc>
          <w:tcPr>
            <w:tcW w:w="1859" w:type="dxa"/>
            <w:tcBorders>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котельная № 12, пгт.Октябрьское, ул.Медицинская, 3к</w:t>
            </w:r>
          </w:p>
        </w:tc>
        <w:tc>
          <w:tcPr>
            <w:tcW w:w="1876"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5,16</w:t>
            </w:r>
          </w:p>
        </w:tc>
        <w:tc>
          <w:tcPr>
            <w:tcW w:w="1520" w:type="dxa"/>
            <w:tcBorders>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Природный газ</w:t>
            </w:r>
          </w:p>
        </w:tc>
        <w:tc>
          <w:tcPr>
            <w:tcW w:w="1390" w:type="dxa"/>
            <w:tcBorders>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r>
          </w:p>
        </w:tc>
        <w:tc>
          <w:tcPr>
            <w:tcW w:w="1358"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372,31</w:t>
            </w:r>
          </w:p>
        </w:tc>
        <w:tc>
          <w:tcPr>
            <w:tcW w:w="1694"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322,63</w:t>
            </w:r>
          </w:p>
        </w:tc>
        <w:tc>
          <w:tcPr>
            <w:tcW w:w="1486"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176,52</w:t>
            </w:r>
          </w:p>
        </w:tc>
        <w:tc>
          <w:tcPr>
            <w:tcW w:w="853"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81,01</w:t>
            </w:r>
          </w:p>
        </w:tc>
        <w:tc>
          <w:tcPr>
            <w:tcW w:w="1897"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0,04</w:t>
            </w:r>
          </w:p>
        </w:tc>
      </w:tr>
      <w:tr>
        <w:trPr/>
        <w:tc>
          <w:tcPr>
            <w:tcW w:w="635" w:type="dxa"/>
            <w:tcBorders>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7</w:t>
            </w:r>
          </w:p>
        </w:tc>
        <w:tc>
          <w:tcPr>
            <w:tcW w:w="1859" w:type="dxa"/>
            <w:tcBorders>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котельная № 8, пгт.Октябрьское, ул.50 лет Победы, 38А</w:t>
            </w:r>
          </w:p>
        </w:tc>
        <w:tc>
          <w:tcPr>
            <w:tcW w:w="1876"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0,43</w:t>
            </w:r>
          </w:p>
        </w:tc>
        <w:tc>
          <w:tcPr>
            <w:tcW w:w="1520" w:type="dxa"/>
            <w:tcBorders>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rPr>
              <w:t>Природный газ</w:t>
            </w:r>
          </w:p>
        </w:tc>
        <w:tc>
          <w:tcPr>
            <w:tcW w:w="1390" w:type="dxa"/>
            <w:tcBorders>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r>
          </w:p>
        </w:tc>
        <w:tc>
          <w:tcPr>
            <w:tcW w:w="1358"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36,56</w:t>
            </w:r>
          </w:p>
        </w:tc>
        <w:tc>
          <w:tcPr>
            <w:tcW w:w="1694"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31,68</w:t>
            </w:r>
          </w:p>
        </w:tc>
        <w:tc>
          <w:tcPr>
            <w:tcW w:w="1486"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176,52</w:t>
            </w:r>
          </w:p>
        </w:tc>
        <w:tc>
          <w:tcPr>
            <w:tcW w:w="853"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81,01</w:t>
            </w:r>
          </w:p>
        </w:tc>
        <w:tc>
          <w:tcPr>
            <w:tcW w:w="1897"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0,004</w:t>
            </w:r>
          </w:p>
        </w:tc>
      </w:tr>
    </w:tbl>
    <w:p>
      <w:pPr>
        <w:pStyle w:val="Normal"/>
        <w:jc w:val="both"/>
        <w:rPr>
          <w:rFonts w:eastAsia="Calibri"/>
          <w:szCs w:val="22"/>
          <w:lang w:eastAsia="en-US"/>
        </w:rPr>
      </w:pPr>
      <w:r>
        <w:rPr>
          <w:rFonts w:eastAsia="Calibri"/>
          <w:szCs w:val="22"/>
          <w:lang w:eastAsia="en-US"/>
        </w:rPr>
      </w:r>
    </w:p>
    <w:p>
      <w:pPr>
        <w:pStyle w:val="Normal"/>
        <w:jc w:val="right"/>
        <w:rPr>
          <w:rFonts w:eastAsia="Calibri"/>
          <w:szCs w:val="22"/>
          <w:lang w:eastAsia="en-US"/>
        </w:rPr>
      </w:pPr>
      <w:r>
        <w:rPr>
          <w:rFonts w:eastAsia="Calibri" w:cs="Calibri"/>
          <w:szCs w:val="22"/>
          <w:lang w:eastAsia="en-US"/>
        </w:rPr>
        <w:t>Таблица 30 – Максимально часовые и годовые расходы основного вида топлива источниками тепловой энергии с учетом реализации мероприятий по источникам и сетям (перспективное положение)</w:t>
      </w:r>
    </w:p>
    <w:tbl>
      <w:tblPr>
        <w:tblW w:w="5000" w:type="pct"/>
        <w:jc w:val="left"/>
        <w:tblInd w:w="0" w:type="dxa"/>
        <w:tblCellMar>
          <w:top w:w="0" w:type="dxa"/>
          <w:left w:w="5" w:type="dxa"/>
          <w:bottom w:w="0" w:type="dxa"/>
          <w:right w:w="5" w:type="dxa"/>
        </w:tblCellMar>
        <w:tblLook w:val="04a0" w:noVBand="1" w:noHBand="0" w:lastColumn="0" w:firstColumn="1" w:lastRow="0" w:firstRow="1"/>
      </w:tblPr>
      <w:tblGrid>
        <w:gridCol w:w="441"/>
        <w:gridCol w:w="1785"/>
        <w:gridCol w:w="1264"/>
        <w:gridCol w:w="1787"/>
        <w:gridCol w:w="1375"/>
        <w:gridCol w:w="1238"/>
        <w:gridCol w:w="1221"/>
        <w:gridCol w:w="1595"/>
        <w:gridCol w:w="1340"/>
        <w:gridCol w:w="705"/>
        <w:gridCol w:w="1817"/>
      </w:tblGrid>
      <w:tr>
        <w:trPr>
          <w:tblHeader w:val="true"/>
          <w:trHeight w:val="20" w:hRule="atLeast"/>
        </w:trPr>
        <w:tc>
          <w:tcPr>
            <w:tcW w:w="44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bookmarkStart w:id="1201" w:name="_Toc535409610"/>
            <w:bookmarkStart w:id="1202" w:name="sub_1701"/>
            <w:bookmarkEnd w:id="1201"/>
            <w:bookmarkEnd w:id="1202"/>
            <w:r>
              <w:rPr>
                <w:sz w:val="20"/>
                <w:szCs w:val="20"/>
                <w:lang w:eastAsia="ru-RU"/>
              </w:rPr>
              <w:t xml:space="preserve">№ </w:t>
            </w:r>
            <w:r>
              <w:rPr>
                <w:sz w:val="20"/>
                <w:szCs w:val="20"/>
                <w:lang w:eastAsia="ru-RU"/>
              </w:rPr>
              <w:t xml:space="preserve">п/п </w:t>
            </w:r>
          </w:p>
        </w:tc>
        <w:tc>
          <w:tcPr>
            <w:tcW w:w="1785" w:type="dxa"/>
            <w:tcBorders>
              <w:top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Наименование и адрес котельной</w:t>
            </w:r>
          </w:p>
        </w:tc>
        <w:tc>
          <w:tcPr>
            <w:tcW w:w="1264" w:type="dxa"/>
            <w:tcBorders>
              <w:top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Год</w:t>
            </w:r>
          </w:p>
        </w:tc>
        <w:tc>
          <w:tcPr>
            <w:tcW w:w="1787" w:type="dxa"/>
            <w:tcBorders>
              <w:top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Установленная мощность, Гкал/ч</w:t>
            </w:r>
          </w:p>
        </w:tc>
        <w:tc>
          <w:tcPr>
            <w:tcW w:w="1375" w:type="dxa"/>
            <w:tcBorders>
              <w:top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Основное топливо</w:t>
            </w:r>
          </w:p>
        </w:tc>
        <w:tc>
          <w:tcPr>
            <w:tcW w:w="1238" w:type="dxa"/>
            <w:tcBorders>
              <w:top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Резервное топливо</w:t>
            </w:r>
          </w:p>
        </w:tc>
        <w:tc>
          <w:tcPr>
            <w:tcW w:w="1221" w:type="dxa"/>
            <w:tcBorders>
              <w:top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Годовой расход условного топлива, т.у.т.</w:t>
            </w:r>
          </w:p>
        </w:tc>
        <w:tc>
          <w:tcPr>
            <w:tcW w:w="1595" w:type="dxa"/>
            <w:tcBorders>
              <w:top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Годовой расход натурального топлива (т.н.т)</w:t>
            </w:r>
          </w:p>
        </w:tc>
        <w:tc>
          <w:tcPr>
            <w:tcW w:w="1340" w:type="dxa"/>
            <w:tcBorders>
              <w:top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Удельный расход условного топлива на выработку тепло кг.у.т./Гкал</w:t>
            </w:r>
          </w:p>
        </w:tc>
        <w:tc>
          <w:tcPr>
            <w:tcW w:w="705" w:type="dxa"/>
            <w:tcBorders>
              <w:top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КПД, %</w:t>
            </w:r>
          </w:p>
        </w:tc>
        <w:tc>
          <w:tcPr>
            <w:tcW w:w="1817" w:type="dxa"/>
            <w:tcBorders>
              <w:top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Максимальный часовой расход топлива, т.н.т/ч, тыс.м3/ч</w:t>
            </w:r>
          </w:p>
        </w:tc>
      </w:tr>
      <w:tr>
        <w:trPr>
          <w:tblHeader w:val="true"/>
          <w:trHeight w:val="362" w:hRule="atLeast"/>
        </w:trPr>
        <w:tc>
          <w:tcPr>
            <w:tcW w:w="14568" w:type="dxa"/>
            <w:gridSpan w:val="11"/>
            <w:tcBorders>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городское поселение Октябрьское</w:t>
            </w:r>
          </w:p>
        </w:tc>
      </w:tr>
      <w:tr>
        <w:trPr>
          <w:trHeight w:val="362" w:hRule="atLeast"/>
        </w:trPr>
        <w:tc>
          <w:tcPr>
            <w:tcW w:w="441" w:type="dxa"/>
            <w:vMerge w:val="restart"/>
            <w:tcBorders>
              <w:left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w:t>
            </w:r>
          </w:p>
        </w:tc>
        <w:tc>
          <w:tcPr>
            <w:tcW w:w="1785" w:type="dxa"/>
            <w:vMerge w:val="restart"/>
            <w:tcBorders>
              <w:left w:val="single" w:sz="4" w:space="0" w:color="000000"/>
              <w:right w:val="single" w:sz="4" w:space="0" w:color="000000"/>
            </w:tcBorders>
            <w:shd w:color="auto" w:fill="auto" w:val="clear"/>
            <w:vAlign w:val="center"/>
          </w:tcPr>
          <w:p>
            <w:pPr>
              <w:pStyle w:val="Normal"/>
              <w:jc w:val="center"/>
              <w:rPr>
                <w:rFonts w:eastAsia="Calibri Light" w:cs="Calibri Light"/>
                <w:b/>
                <w:b/>
                <w:szCs w:val="26"/>
                <w:lang w:eastAsia="en-US"/>
              </w:rPr>
            </w:pPr>
            <w:r>
              <w:rPr>
                <w:sz w:val="20"/>
                <w:szCs w:val="20"/>
                <w:lang w:eastAsia="ru-RU"/>
              </w:rPr>
              <w:t xml:space="preserve">котельная № 1, </w:t>
            </w:r>
          </w:p>
          <w:p>
            <w:pPr>
              <w:pStyle w:val="Normal"/>
              <w:jc w:val="center"/>
              <w:rPr>
                <w:rFonts w:eastAsia="Calibri Light" w:cs="Calibri Light"/>
                <w:b/>
                <w:b/>
                <w:szCs w:val="26"/>
                <w:lang w:eastAsia="en-US"/>
              </w:rPr>
            </w:pPr>
            <w:r>
              <w:rPr>
                <w:sz w:val="20"/>
                <w:szCs w:val="20"/>
                <w:lang w:eastAsia="ru-RU"/>
              </w:rPr>
              <w:t>пгт.Октябрьское, ул.Сенькина, 46б</w:t>
            </w:r>
          </w:p>
        </w:tc>
        <w:tc>
          <w:tcPr>
            <w:tcW w:w="1264" w:type="dxa"/>
            <w:tcBorders>
              <w:top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2024</w:t>
            </w:r>
          </w:p>
        </w:tc>
        <w:tc>
          <w:tcPr>
            <w:tcW w:w="1787"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10,32</w:t>
            </w:r>
          </w:p>
        </w:tc>
        <w:tc>
          <w:tcPr>
            <w:tcW w:w="1375"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Природный газ</w:t>
            </w:r>
          </w:p>
        </w:tc>
        <w:tc>
          <w:tcPr>
            <w:tcW w:w="1238"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дизельное топливо</w:t>
            </w:r>
          </w:p>
        </w:tc>
        <w:tc>
          <w:tcPr>
            <w:tcW w:w="1221"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1909,47</w:t>
            </w:r>
          </w:p>
        </w:tc>
        <w:tc>
          <w:tcPr>
            <w:tcW w:w="1595"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1654,66</w:t>
            </w:r>
          </w:p>
        </w:tc>
        <w:tc>
          <w:tcPr>
            <w:tcW w:w="1340"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176,52</w:t>
            </w:r>
          </w:p>
        </w:tc>
        <w:tc>
          <w:tcPr>
            <w:tcW w:w="705"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81,01</w:t>
            </w:r>
          </w:p>
        </w:tc>
        <w:tc>
          <w:tcPr>
            <w:tcW w:w="1817"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0,19</w:t>
            </w:r>
          </w:p>
        </w:tc>
      </w:tr>
      <w:tr>
        <w:trPr>
          <w:trHeight w:val="20" w:hRule="atLeast"/>
        </w:trPr>
        <w:tc>
          <w:tcPr>
            <w:tcW w:w="441" w:type="dxa"/>
            <w:vMerge w:val="continue"/>
            <w:tcBorders>
              <w:left w:val="single" w:sz="4" w:space="0" w:color="000000"/>
              <w:right w:val="single" w:sz="4" w:space="0" w:color="000000"/>
            </w:tcBorders>
            <w:vAlign w:val="center"/>
          </w:tcPr>
          <w:p>
            <w:pPr>
              <w:pStyle w:val="Normal"/>
              <w:rPr>
                <w:sz w:val="20"/>
                <w:szCs w:val="20"/>
                <w:lang w:eastAsia="ru-RU"/>
              </w:rPr>
            </w:pPr>
            <w:r>
              <w:rPr>
                <w:sz w:val="20"/>
                <w:szCs w:val="20"/>
                <w:lang w:eastAsia="ru-RU"/>
              </w:rPr>
            </w:r>
          </w:p>
        </w:tc>
        <w:tc>
          <w:tcPr>
            <w:tcW w:w="1785" w:type="dxa"/>
            <w:vMerge w:val="continue"/>
            <w:tcBorders>
              <w:left w:val="single" w:sz="4" w:space="0" w:color="000000"/>
              <w:right w:val="single" w:sz="4" w:space="0" w:color="000000"/>
            </w:tcBorders>
            <w:vAlign w:val="center"/>
          </w:tcPr>
          <w:p>
            <w:pPr>
              <w:pStyle w:val="Normal"/>
              <w:jc w:val="center"/>
              <w:rPr>
                <w:sz w:val="20"/>
                <w:szCs w:val="20"/>
                <w:lang w:eastAsia="ru-RU"/>
              </w:rPr>
            </w:pPr>
            <w:r>
              <w:rPr>
                <w:sz w:val="20"/>
                <w:szCs w:val="20"/>
                <w:lang w:eastAsia="ru-RU"/>
              </w:rPr>
            </w:r>
          </w:p>
        </w:tc>
        <w:tc>
          <w:tcPr>
            <w:tcW w:w="1264" w:type="dxa"/>
            <w:tcBorders>
              <w:top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2025</w:t>
            </w:r>
          </w:p>
        </w:tc>
        <w:tc>
          <w:tcPr>
            <w:tcW w:w="1787"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10,32</w:t>
            </w:r>
          </w:p>
        </w:tc>
        <w:tc>
          <w:tcPr>
            <w:tcW w:w="1375"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Природный газ</w:t>
            </w:r>
          </w:p>
        </w:tc>
        <w:tc>
          <w:tcPr>
            <w:tcW w:w="1238"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дизельное топливо</w:t>
            </w:r>
          </w:p>
        </w:tc>
        <w:tc>
          <w:tcPr>
            <w:tcW w:w="1221"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1909,47</w:t>
            </w:r>
          </w:p>
        </w:tc>
        <w:tc>
          <w:tcPr>
            <w:tcW w:w="1595"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1654,66</w:t>
            </w:r>
          </w:p>
        </w:tc>
        <w:tc>
          <w:tcPr>
            <w:tcW w:w="1340"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176,52</w:t>
            </w:r>
          </w:p>
        </w:tc>
        <w:tc>
          <w:tcPr>
            <w:tcW w:w="705"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81,01</w:t>
            </w:r>
          </w:p>
        </w:tc>
        <w:tc>
          <w:tcPr>
            <w:tcW w:w="1817"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0,19</w:t>
            </w:r>
          </w:p>
        </w:tc>
      </w:tr>
      <w:tr>
        <w:trPr>
          <w:trHeight w:val="20" w:hRule="atLeast"/>
        </w:trPr>
        <w:tc>
          <w:tcPr>
            <w:tcW w:w="441" w:type="dxa"/>
            <w:vMerge w:val="continue"/>
            <w:tcBorders>
              <w:left w:val="single" w:sz="4" w:space="0" w:color="000000"/>
              <w:right w:val="single" w:sz="4" w:space="0" w:color="000000"/>
            </w:tcBorders>
            <w:vAlign w:val="center"/>
          </w:tcPr>
          <w:p>
            <w:pPr>
              <w:pStyle w:val="Normal"/>
              <w:rPr>
                <w:sz w:val="20"/>
                <w:szCs w:val="20"/>
                <w:lang w:eastAsia="ru-RU"/>
              </w:rPr>
            </w:pPr>
            <w:r>
              <w:rPr>
                <w:sz w:val="20"/>
                <w:szCs w:val="20"/>
                <w:lang w:eastAsia="ru-RU"/>
              </w:rPr>
            </w:r>
          </w:p>
        </w:tc>
        <w:tc>
          <w:tcPr>
            <w:tcW w:w="1785" w:type="dxa"/>
            <w:vMerge w:val="continue"/>
            <w:tcBorders>
              <w:left w:val="single" w:sz="4" w:space="0" w:color="000000"/>
              <w:right w:val="single" w:sz="4" w:space="0" w:color="000000"/>
            </w:tcBorders>
            <w:vAlign w:val="center"/>
          </w:tcPr>
          <w:p>
            <w:pPr>
              <w:pStyle w:val="Normal"/>
              <w:jc w:val="center"/>
              <w:rPr>
                <w:sz w:val="20"/>
                <w:szCs w:val="20"/>
                <w:lang w:eastAsia="ru-RU"/>
              </w:rPr>
            </w:pPr>
            <w:r>
              <w:rPr>
                <w:sz w:val="20"/>
                <w:szCs w:val="20"/>
                <w:lang w:eastAsia="ru-RU"/>
              </w:rPr>
            </w:r>
          </w:p>
        </w:tc>
        <w:tc>
          <w:tcPr>
            <w:tcW w:w="1264"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2026</w:t>
            </w:r>
          </w:p>
        </w:tc>
        <w:tc>
          <w:tcPr>
            <w:tcW w:w="1787"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10,32</w:t>
            </w:r>
          </w:p>
        </w:tc>
        <w:tc>
          <w:tcPr>
            <w:tcW w:w="1375"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Природный газ</w:t>
            </w:r>
          </w:p>
        </w:tc>
        <w:tc>
          <w:tcPr>
            <w:tcW w:w="1238"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дизельное топливо</w:t>
            </w:r>
          </w:p>
        </w:tc>
        <w:tc>
          <w:tcPr>
            <w:tcW w:w="1221"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1909,47</w:t>
            </w:r>
          </w:p>
        </w:tc>
        <w:tc>
          <w:tcPr>
            <w:tcW w:w="1595"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1654,66</w:t>
            </w:r>
          </w:p>
        </w:tc>
        <w:tc>
          <w:tcPr>
            <w:tcW w:w="1340"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176,52</w:t>
            </w:r>
          </w:p>
        </w:tc>
        <w:tc>
          <w:tcPr>
            <w:tcW w:w="705"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81,01</w:t>
            </w:r>
          </w:p>
        </w:tc>
        <w:tc>
          <w:tcPr>
            <w:tcW w:w="1817"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0,19</w:t>
            </w:r>
          </w:p>
        </w:tc>
      </w:tr>
      <w:tr>
        <w:trPr>
          <w:trHeight w:val="20" w:hRule="atLeast"/>
        </w:trPr>
        <w:tc>
          <w:tcPr>
            <w:tcW w:w="441" w:type="dxa"/>
            <w:vMerge w:val="continue"/>
            <w:tcBorders>
              <w:left w:val="single" w:sz="4" w:space="0" w:color="000000"/>
              <w:right w:val="single" w:sz="4" w:space="0" w:color="000000"/>
            </w:tcBorders>
            <w:vAlign w:val="center"/>
          </w:tcPr>
          <w:p>
            <w:pPr>
              <w:pStyle w:val="Normal"/>
              <w:rPr>
                <w:sz w:val="20"/>
                <w:szCs w:val="20"/>
                <w:lang w:eastAsia="ru-RU"/>
              </w:rPr>
            </w:pPr>
            <w:r>
              <w:rPr>
                <w:sz w:val="20"/>
                <w:szCs w:val="20"/>
                <w:lang w:eastAsia="ru-RU"/>
              </w:rPr>
            </w:r>
          </w:p>
        </w:tc>
        <w:tc>
          <w:tcPr>
            <w:tcW w:w="1785" w:type="dxa"/>
            <w:vMerge w:val="continue"/>
            <w:tcBorders>
              <w:left w:val="single" w:sz="4" w:space="0" w:color="000000"/>
              <w:right w:val="single" w:sz="4" w:space="0" w:color="000000"/>
            </w:tcBorders>
            <w:vAlign w:val="center"/>
          </w:tcPr>
          <w:p>
            <w:pPr>
              <w:pStyle w:val="Normal"/>
              <w:jc w:val="center"/>
              <w:rPr>
                <w:sz w:val="20"/>
                <w:szCs w:val="20"/>
                <w:lang w:eastAsia="ru-RU"/>
              </w:rPr>
            </w:pPr>
            <w:r>
              <w:rPr>
                <w:sz w:val="20"/>
                <w:szCs w:val="20"/>
                <w:lang w:eastAsia="ru-RU"/>
              </w:rPr>
            </w:r>
          </w:p>
        </w:tc>
        <w:tc>
          <w:tcPr>
            <w:tcW w:w="1264"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2027</w:t>
            </w:r>
          </w:p>
        </w:tc>
        <w:tc>
          <w:tcPr>
            <w:tcW w:w="1787"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17</w:t>
            </w:r>
          </w:p>
        </w:tc>
        <w:tc>
          <w:tcPr>
            <w:tcW w:w="1375"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Природный газ</w:t>
            </w:r>
          </w:p>
        </w:tc>
        <w:tc>
          <w:tcPr>
            <w:tcW w:w="1238"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Дизельное топливо</w:t>
            </w:r>
          </w:p>
        </w:tc>
        <w:tc>
          <w:tcPr>
            <w:tcW w:w="1221"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3099,47</w:t>
            </w:r>
          </w:p>
        </w:tc>
        <w:tc>
          <w:tcPr>
            <w:tcW w:w="1595"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2367,55</w:t>
            </w:r>
          </w:p>
        </w:tc>
        <w:tc>
          <w:tcPr>
            <w:tcW w:w="1340"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155,6</w:t>
            </w:r>
          </w:p>
        </w:tc>
        <w:tc>
          <w:tcPr>
            <w:tcW w:w="705"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91,8</w:t>
            </w:r>
          </w:p>
        </w:tc>
        <w:tc>
          <w:tcPr>
            <w:tcW w:w="1817"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0,28</w:t>
            </w:r>
          </w:p>
        </w:tc>
      </w:tr>
      <w:tr>
        <w:trPr>
          <w:trHeight w:val="20" w:hRule="atLeast"/>
        </w:trPr>
        <w:tc>
          <w:tcPr>
            <w:tcW w:w="441" w:type="dxa"/>
            <w:vMerge w:val="continue"/>
            <w:tcBorders>
              <w:left w:val="single" w:sz="4" w:space="0" w:color="000000"/>
              <w:right w:val="single" w:sz="4" w:space="0" w:color="000000"/>
            </w:tcBorders>
            <w:vAlign w:val="center"/>
          </w:tcPr>
          <w:p>
            <w:pPr>
              <w:pStyle w:val="Normal"/>
              <w:rPr>
                <w:sz w:val="20"/>
                <w:szCs w:val="20"/>
                <w:lang w:eastAsia="ru-RU"/>
              </w:rPr>
            </w:pPr>
            <w:r>
              <w:rPr>
                <w:sz w:val="20"/>
                <w:szCs w:val="20"/>
                <w:lang w:eastAsia="ru-RU"/>
              </w:rPr>
            </w:r>
          </w:p>
        </w:tc>
        <w:tc>
          <w:tcPr>
            <w:tcW w:w="1785" w:type="dxa"/>
            <w:vMerge w:val="continue"/>
            <w:tcBorders>
              <w:left w:val="single" w:sz="4" w:space="0" w:color="000000"/>
              <w:right w:val="single" w:sz="4" w:space="0" w:color="000000"/>
            </w:tcBorders>
            <w:vAlign w:val="center"/>
          </w:tcPr>
          <w:p>
            <w:pPr>
              <w:pStyle w:val="Normal"/>
              <w:jc w:val="center"/>
              <w:rPr>
                <w:sz w:val="20"/>
                <w:szCs w:val="20"/>
                <w:lang w:eastAsia="ru-RU"/>
              </w:rPr>
            </w:pPr>
            <w:r>
              <w:rPr>
                <w:sz w:val="20"/>
                <w:szCs w:val="20"/>
                <w:lang w:eastAsia="ru-RU"/>
              </w:rPr>
            </w:r>
          </w:p>
        </w:tc>
        <w:tc>
          <w:tcPr>
            <w:tcW w:w="1264"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2028</w:t>
            </w:r>
          </w:p>
        </w:tc>
        <w:tc>
          <w:tcPr>
            <w:tcW w:w="1787"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17</w:t>
            </w:r>
          </w:p>
        </w:tc>
        <w:tc>
          <w:tcPr>
            <w:tcW w:w="1375"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Природный газ</w:t>
            </w:r>
          </w:p>
        </w:tc>
        <w:tc>
          <w:tcPr>
            <w:tcW w:w="1238"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Дизельное топливо</w:t>
            </w:r>
          </w:p>
        </w:tc>
        <w:tc>
          <w:tcPr>
            <w:tcW w:w="1221"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3099,47</w:t>
            </w:r>
          </w:p>
        </w:tc>
        <w:tc>
          <w:tcPr>
            <w:tcW w:w="1595"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2367,55</w:t>
            </w:r>
          </w:p>
        </w:tc>
        <w:tc>
          <w:tcPr>
            <w:tcW w:w="1340"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155,6</w:t>
            </w:r>
          </w:p>
        </w:tc>
        <w:tc>
          <w:tcPr>
            <w:tcW w:w="705"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91,8</w:t>
            </w:r>
          </w:p>
        </w:tc>
        <w:tc>
          <w:tcPr>
            <w:tcW w:w="1817"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0,28</w:t>
            </w:r>
          </w:p>
        </w:tc>
      </w:tr>
      <w:tr>
        <w:trPr>
          <w:trHeight w:val="20" w:hRule="atLeast"/>
        </w:trPr>
        <w:tc>
          <w:tcPr>
            <w:tcW w:w="441" w:type="dxa"/>
            <w:vMerge w:val="continue"/>
            <w:tcBorders>
              <w:left w:val="single" w:sz="4" w:space="0" w:color="000000"/>
              <w:right w:val="single" w:sz="4" w:space="0" w:color="000000"/>
            </w:tcBorders>
            <w:vAlign w:val="center"/>
          </w:tcPr>
          <w:p>
            <w:pPr>
              <w:pStyle w:val="Normal"/>
              <w:rPr>
                <w:sz w:val="20"/>
                <w:szCs w:val="20"/>
                <w:lang w:eastAsia="ru-RU"/>
              </w:rPr>
            </w:pPr>
            <w:r>
              <w:rPr>
                <w:sz w:val="20"/>
                <w:szCs w:val="20"/>
                <w:lang w:eastAsia="ru-RU"/>
              </w:rPr>
            </w:r>
          </w:p>
        </w:tc>
        <w:tc>
          <w:tcPr>
            <w:tcW w:w="1785" w:type="dxa"/>
            <w:vMerge w:val="continue"/>
            <w:tcBorders>
              <w:left w:val="single" w:sz="4" w:space="0" w:color="000000"/>
              <w:right w:val="single" w:sz="4" w:space="0" w:color="000000"/>
            </w:tcBorders>
            <w:vAlign w:val="center"/>
          </w:tcPr>
          <w:p>
            <w:pPr>
              <w:pStyle w:val="Normal"/>
              <w:jc w:val="center"/>
              <w:rPr>
                <w:sz w:val="20"/>
                <w:szCs w:val="20"/>
                <w:lang w:eastAsia="ru-RU"/>
              </w:rPr>
            </w:pPr>
            <w:r>
              <w:rPr>
                <w:sz w:val="20"/>
                <w:szCs w:val="20"/>
                <w:lang w:eastAsia="ru-RU"/>
              </w:rPr>
            </w:r>
          </w:p>
        </w:tc>
        <w:tc>
          <w:tcPr>
            <w:tcW w:w="1264"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2029-2032</w:t>
            </w:r>
          </w:p>
        </w:tc>
        <w:tc>
          <w:tcPr>
            <w:tcW w:w="1787"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17</w:t>
            </w:r>
          </w:p>
        </w:tc>
        <w:tc>
          <w:tcPr>
            <w:tcW w:w="1375"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Природный газ</w:t>
            </w:r>
          </w:p>
        </w:tc>
        <w:tc>
          <w:tcPr>
            <w:tcW w:w="1238"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Дизельное топливо</w:t>
            </w:r>
          </w:p>
        </w:tc>
        <w:tc>
          <w:tcPr>
            <w:tcW w:w="1221"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3099,47</w:t>
            </w:r>
          </w:p>
        </w:tc>
        <w:tc>
          <w:tcPr>
            <w:tcW w:w="1595"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2367,55</w:t>
            </w:r>
          </w:p>
        </w:tc>
        <w:tc>
          <w:tcPr>
            <w:tcW w:w="1340"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155,6</w:t>
            </w:r>
          </w:p>
        </w:tc>
        <w:tc>
          <w:tcPr>
            <w:tcW w:w="705"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91,8</w:t>
            </w:r>
          </w:p>
        </w:tc>
        <w:tc>
          <w:tcPr>
            <w:tcW w:w="1817"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0,28</w:t>
            </w:r>
          </w:p>
        </w:tc>
      </w:tr>
      <w:tr>
        <w:trPr>
          <w:trHeight w:val="20" w:hRule="atLeast"/>
        </w:trPr>
        <w:tc>
          <w:tcPr>
            <w:tcW w:w="441" w:type="dxa"/>
            <w:vMerge w:val="continue"/>
            <w:tcBorders>
              <w:left w:val="single" w:sz="4" w:space="0" w:color="000000"/>
              <w:bottom w:val="single" w:sz="4" w:space="0" w:color="000000"/>
              <w:right w:val="single" w:sz="4" w:space="0" w:color="000000"/>
            </w:tcBorders>
            <w:vAlign w:val="center"/>
          </w:tcPr>
          <w:p>
            <w:pPr>
              <w:pStyle w:val="Normal"/>
              <w:rPr>
                <w:sz w:val="20"/>
                <w:szCs w:val="20"/>
                <w:lang w:eastAsia="ru-RU"/>
              </w:rPr>
            </w:pPr>
            <w:r>
              <w:rPr>
                <w:sz w:val="20"/>
                <w:szCs w:val="20"/>
                <w:lang w:eastAsia="ru-RU"/>
              </w:rPr>
            </w:r>
          </w:p>
        </w:tc>
        <w:tc>
          <w:tcPr>
            <w:tcW w:w="1785" w:type="dxa"/>
            <w:vMerge w:val="continue"/>
            <w:tcBorders>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r>
          </w:p>
        </w:tc>
        <w:tc>
          <w:tcPr>
            <w:tcW w:w="1264"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2033-2035</w:t>
            </w:r>
          </w:p>
        </w:tc>
        <w:tc>
          <w:tcPr>
            <w:tcW w:w="1787"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17</w:t>
            </w:r>
          </w:p>
        </w:tc>
        <w:tc>
          <w:tcPr>
            <w:tcW w:w="1375"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Природный газ</w:t>
            </w:r>
          </w:p>
        </w:tc>
        <w:tc>
          <w:tcPr>
            <w:tcW w:w="1238"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Дизельное топливо</w:t>
            </w:r>
          </w:p>
        </w:tc>
        <w:tc>
          <w:tcPr>
            <w:tcW w:w="1221"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3099,47</w:t>
            </w:r>
          </w:p>
        </w:tc>
        <w:tc>
          <w:tcPr>
            <w:tcW w:w="1595"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2367,55</w:t>
            </w:r>
          </w:p>
        </w:tc>
        <w:tc>
          <w:tcPr>
            <w:tcW w:w="1340"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155,6</w:t>
            </w:r>
          </w:p>
        </w:tc>
        <w:tc>
          <w:tcPr>
            <w:tcW w:w="705"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91,8</w:t>
            </w:r>
          </w:p>
        </w:tc>
        <w:tc>
          <w:tcPr>
            <w:tcW w:w="1817"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0,28</w:t>
            </w:r>
          </w:p>
        </w:tc>
      </w:tr>
      <w:tr>
        <w:trPr>
          <w:trHeight w:val="20" w:hRule="atLeast"/>
        </w:trPr>
        <w:tc>
          <w:tcPr>
            <w:tcW w:w="441" w:type="dxa"/>
            <w:tcBorders>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t>2</w:t>
            </w:r>
          </w:p>
        </w:tc>
        <w:tc>
          <w:tcPr>
            <w:tcW w:w="1785" w:type="dxa"/>
            <w:tcBorders>
              <w:left w:val="single" w:sz="4" w:space="0" w:color="000000"/>
              <w:bottom w:val="single" w:sz="4" w:space="0" w:color="000000"/>
              <w:right w:val="single" w:sz="4" w:space="0" w:color="000000"/>
            </w:tcBorders>
            <w:vAlign w:val="center"/>
          </w:tcPr>
          <w:p>
            <w:pPr>
              <w:pStyle w:val="Normal"/>
              <w:jc w:val="center"/>
              <w:rPr>
                <w:rFonts w:eastAsia="Calibri Light" w:cs="Calibri Light"/>
                <w:b/>
                <w:b/>
                <w:szCs w:val="26"/>
                <w:lang w:eastAsia="en-US"/>
              </w:rPr>
            </w:pPr>
            <w:r>
              <w:rPr>
                <w:sz w:val="20"/>
                <w:szCs w:val="20"/>
                <w:lang w:eastAsia="ru-RU"/>
              </w:rPr>
              <w:t>котельная № 2,</w:t>
            </w:r>
          </w:p>
          <w:p>
            <w:pPr>
              <w:pStyle w:val="Normal"/>
              <w:jc w:val="center"/>
              <w:rPr>
                <w:rFonts w:eastAsia="Calibri Light" w:cs="Calibri Light"/>
                <w:b/>
                <w:b/>
                <w:szCs w:val="26"/>
                <w:lang w:eastAsia="en-US"/>
              </w:rPr>
            </w:pPr>
            <w:r>
              <w:rPr>
                <w:sz w:val="20"/>
                <w:szCs w:val="20"/>
                <w:lang w:eastAsia="ru-RU"/>
              </w:rPr>
              <w:t xml:space="preserve"> </w:t>
            </w:r>
            <w:r>
              <w:rPr>
                <w:sz w:val="20"/>
                <w:szCs w:val="20"/>
                <w:lang w:eastAsia="ru-RU"/>
              </w:rPr>
              <w:t>пгт.Октябрьское, ул.Пионерская, 17б</w:t>
            </w:r>
          </w:p>
        </w:tc>
        <w:tc>
          <w:tcPr>
            <w:tcW w:w="1264"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2024</w:t>
            </w:r>
          </w:p>
        </w:tc>
        <w:tc>
          <w:tcPr>
            <w:tcW w:w="11078" w:type="dxa"/>
            <w:gridSpan w:val="8"/>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Строительство котельной по ул.Дзержинского, 14 в пгт.Октябрьское. Вывод из эксплуатации котельной № 2 по ул.Пионерская, 17Б и котельной № 6 по ул.Дзержинского, 2Б с переключением нагрузки на новую котельную по ул.Дзержинского, 14</w:t>
            </w:r>
          </w:p>
        </w:tc>
      </w:tr>
      <w:tr>
        <w:trPr>
          <w:trHeight w:val="20" w:hRule="atLeast"/>
        </w:trPr>
        <w:tc>
          <w:tcPr>
            <w:tcW w:w="441" w:type="dxa"/>
            <w:tcBorders>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t>3</w:t>
            </w:r>
          </w:p>
        </w:tc>
        <w:tc>
          <w:tcPr>
            <w:tcW w:w="1785" w:type="dxa"/>
            <w:tcBorders>
              <w:left w:val="single" w:sz="4" w:space="0" w:color="000000"/>
              <w:bottom w:val="single" w:sz="4" w:space="0" w:color="000000"/>
              <w:right w:val="single" w:sz="4" w:space="0" w:color="000000"/>
            </w:tcBorders>
            <w:vAlign w:val="center"/>
          </w:tcPr>
          <w:p>
            <w:pPr>
              <w:pStyle w:val="Normal"/>
              <w:jc w:val="center"/>
              <w:rPr>
                <w:rFonts w:eastAsia="Calibri Light" w:cs="Calibri Light"/>
                <w:b/>
                <w:b/>
                <w:szCs w:val="26"/>
                <w:lang w:eastAsia="en-US"/>
              </w:rPr>
            </w:pPr>
            <w:r>
              <w:rPr>
                <w:sz w:val="20"/>
                <w:szCs w:val="20"/>
                <w:lang w:eastAsia="ru-RU"/>
              </w:rPr>
              <w:t>котельная № 3,</w:t>
            </w:r>
          </w:p>
          <w:p>
            <w:pPr>
              <w:pStyle w:val="Normal"/>
              <w:jc w:val="center"/>
              <w:rPr>
                <w:rFonts w:eastAsia="Calibri Light" w:cs="Calibri Light"/>
                <w:b/>
                <w:b/>
                <w:szCs w:val="26"/>
                <w:lang w:eastAsia="en-US"/>
              </w:rPr>
            </w:pPr>
            <w:r>
              <w:rPr>
                <w:sz w:val="20"/>
                <w:szCs w:val="20"/>
                <w:lang w:eastAsia="ru-RU"/>
              </w:rPr>
              <w:t xml:space="preserve"> </w:t>
            </w:r>
            <w:r>
              <w:rPr>
                <w:sz w:val="20"/>
                <w:szCs w:val="20"/>
                <w:lang w:eastAsia="ru-RU"/>
              </w:rPr>
              <w:t>пгт.Октябрьское, ул.Чапаева, 6б</w:t>
            </w:r>
          </w:p>
        </w:tc>
        <w:tc>
          <w:tcPr>
            <w:tcW w:w="1264"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2024</w:t>
            </w:r>
          </w:p>
        </w:tc>
        <w:tc>
          <w:tcPr>
            <w:tcW w:w="11078" w:type="dxa"/>
            <w:gridSpan w:val="8"/>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Вывод из эксплуатации котельной № 3 по ул.Чапаева, 6Б с переключением нагрузки на котельную № 1 по ул.Сенькина, 46б</w:t>
            </w:r>
          </w:p>
        </w:tc>
      </w:tr>
      <w:tr>
        <w:trPr>
          <w:trHeight w:val="20" w:hRule="atLeast"/>
        </w:trPr>
        <w:tc>
          <w:tcPr>
            <w:tcW w:w="441" w:type="dxa"/>
            <w:tcBorders>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t>4</w:t>
            </w:r>
          </w:p>
        </w:tc>
        <w:tc>
          <w:tcPr>
            <w:tcW w:w="1785" w:type="dxa"/>
            <w:tcBorders>
              <w:left w:val="single" w:sz="4" w:space="0" w:color="000000"/>
              <w:bottom w:val="single" w:sz="4" w:space="0" w:color="000000"/>
              <w:right w:val="single" w:sz="4" w:space="0" w:color="000000"/>
            </w:tcBorders>
            <w:vAlign w:val="center"/>
          </w:tcPr>
          <w:p>
            <w:pPr>
              <w:pStyle w:val="Normal"/>
              <w:jc w:val="center"/>
              <w:rPr>
                <w:rFonts w:eastAsia="Calibri Light" w:cs="Calibri Light"/>
                <w:b/>
                <w:b/>
                <w:szCs w:val="26"/>
                <w:lang w:eastAsia="en-US"/>
              </w:rPr>
            </w:pPr>
            <w:r>
              <w:rPr>
                <w:sz w:val="20"/>
                <w:szCs w:val="20"/>
                <w:lang w:eastAsia="ru-RU"/>
              </w:rPr>
              <w:t xml:space="preserve">котельная № 6, </w:t>
            </w:r>
          </w:p>
          <w:p>
            <w:pPr>
              <w:pStyle w:val="Normal"/>
              <w:jc w:val="center"/>
              <w:rPr>
                <w:rFonts w:eastAsia="Calibri Light" w:cs="Calibri Light"/>
                <w:b/>
                <w:b/>
                <w:szCs w:val="26"/>
                <w:lang w:eastAsia="en-US"/>
              </w:rPr>
            </w:pPr>
            <w:r>
              <w:rPr>
                <w:sz w:val="20"/>
                <w:szCs w:val="20"/>
                <w:lang w:eastAsia="ru-RU"/>
              </w:rPr>
              <w:t>пгт.Октябрьское, ул.Дзержинского, 2б</w:t>
            </w:r>
          </w:p>
        </w:tc>
        <w:tc>
          <w:tcPr>
            <w:tcW w:w="1264"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2024</w:t>
            </w:r>
          </w:p>
        </w:tc>
        <w:tc>
          <w:tcPr>
            <w:tcW w:w="11078" w:type="dxa"/>
            <w:gridSpan w:val="8"/>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Строительство котельной по ул.Дзержинского, 14 в пгт.Октябрьское. Вывод из эксплуатации котельной № 2 по ул.Пионерская, 17Б и котельной № 6 по ул.Дзержинского, 2Б с переключением нагрузки на новую котельную по ул.Дзержинского, 14</w:t>
            </w:r>
          </w:p>
        </w:tc>
      </w:tr>
      <w:tr>
        <w:trPr>
          <w:trHeight w:val="20" w:hRule="atLeast"/>
        </w:trPr>
        <w:tc>
          <w:tcPr>
            <w:tcW w:w="441" w:type="dxa"/>
            <w:tcBorders>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t>5</w:t>
            </w:r>
          </w:p>
        </w:tc>
        <w:tc>
          <w:tcPr>
            <w:tcW w:w="1785" w:type="dxa"/>
            <w:tcBorders>
              <w:left w:val="single" w:sz="4" w:space="0" w:color="000000"/>
              <w:bottom w:val="single" w:sz="4" w:space="0" w:color="000000"/>
              <w:right w:val="single" w:sz="4" w:space="0" w:color="000000"/>
            </w:tcBorders>
            <w:vAlign w:val="center"/>
          </w:tcPr>
          <w:p>
            <w:pPr>
              <w:pStyle w:val="Normal"/>
              <w:jc w:val="center"/>
              <w:rPr>
                <w:rFonts w:eastAsia="Calibri Light" w:cs="Calibri Light"/>
                <w:b/>
                <w:b/>
                <w:szCs w:val="26"/>
                <w:lang w:eastAsia="en-US"/>
              </w:rPr>
            </w:pPr>
            <w:r>
              <w:rPr>
                <w:sz w:val="20"/>
                <w:szCs w:val="20"/>
                <w:lang w:eastAsia="ru-RU"/>
              </w:rPr>
              <w:t xml:space="preserve">котельная № 7, </w:t>
            </w:r>
          </w:p>
          <w:p>
            <w:pPr>
              <w:pStyle w:val="Normal"/>
              <w:jc w:val="center"/>
              <w:rPr>
                <w:rFonts w:eastAsia="Calibri Light" w:cs="Calibri Light"/>
                <w:b/>
                <w:b/>
                <w:szCs w:val="26"/>
                <w:lang w:eastAsia="en-US"/>
              </w:rPr>
            </w:pPr>
            <w:r>
              <w:rPr>
                <w:sz w:val="20"/>
                <w:szCs w:val="20"/>
                <w:lang w:eastAsia="ru-RU"/>
              </w:rPr>
              <w:t>пгт.Октябрьское, ул.Медицинская, 3Б</w:t>
            </w:r>
          </w:p>
        </w:tc>
        <w:tc>
          <w:tcPr>
            <w:tcW w:w="1264"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2024</w:t>
            </w:r>
          </w:p>
        </w:tc>
        <w:tc>
          <w:tcPr>
            <w:tcW w:w="11078" w:type="dxa"/>
            <w:gridSpan w:val="8"/>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xml:space="preserve">Вывод из эксплуатации котельной № 7 по ул.Медицинская, 3Б с переключением нагрузки на котельную № 12 </w:t>
            </w:r>
          </w:p>
          <w:p>
            <w:pPr>
              <w:pStyle w:val="Normal"/>
              <w:jc w:val="center"/>
              <w:rPr>
                <w:sz w:val="20"/>
                <w:szCs w:val="20"/>
                <w:lang w:eastAsia="ru-RU"/>
              </w:rPr>
            </w:pPr>
            <w:r>
              <w:rPr>
                <w:sz w:val="20"/>
                <w:szCs w:val="20"/>
                <w:lang w:eastAsia="ru-RU"/>
              </w:rPr>
              <w:t>по ул.Медицинская, 3К</w:t>
            </w:r>
          </w:p>
        </w:tc>
      </w:tr>
      <w:tr>
        <w:trPr>
          <w:trHeight w:val="460" w:hRule="atLeast"/>
        </w:trPr>
        <w:tc>
          <w:tcPr>
            <w:tcW w:w="441" w:type="dxa"/>
            <w:vMerge w:val="restart"/>
            <w:tcBorders>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6</w:t>
            </w:r>
          </w:p>
        </w:tc>
        <w:tc>
          <w:tcPr>
            <w:tcW w:w="1785" w:type="dxa"/>
            <w:vMerge w:val="restart"/>
            <w:tcBorders>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котельная № 12,</w:t>
            </w:r>
          </w:p>
          <w:p>
            <w:pPr>
              <w:pStyle w:val="Normal"/>
              <w:jc w:val="center"/>
              <w:rPr>
                <w:sz w:val="20"/>
                <w:szCs w:val="20"/>
                <w:lang w:eastAsia="ru-RU"/>
              </w:rPr>
            </w:pPr>
            <w:r>
              <w:rPr>
                <w:sz w:val="20"/>
                <w:szCs w:val="20"/>
                <w:lang w:eastAsia="ru-RU"/>
              </w:rPr>
              <w:t>пгт.Октябрьское, ул.Медицинская, 3к</w:t>
            </w:r>
          </w:p>
        </w:tc>
        <w:tc>
          <w:tcPr>
            <w:tcW w:w="1264" w:type="dxa"/>
            <w:tcBorders>
              <w:top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2024</w:t>
            </w:r>
          </w:p>
        </w:tc>
        <w:tc>
          <w:tcPr>
            <w:tcW w:w="1787"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5,16</w:t>
            </w:r>
          </w:p>
        </w:tc>
        <w:tc>
          <w:tcPr>
            <w:tcW w:w="1375"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Природный газ</w:t>
            </w:r>
          </w:p>
        </w:tc>
        <w:tc>
          <w:tcPr>
            <w:tcW w:w="1238"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w:t>
            </w:r>
          </w:p>
        </w:tc>
        <w:tc>
          <w:tcPr>
            <w:tcW w:w="1221"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1278,74</w:t>
            </w:r>
          </w:p>
        </w:tc>
        <w:tc>
          <w:tcPr>
            <w:tcW w:w="1595"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976,77</w:t>
            </w:r>
          </w:p>
        </w:tc>
        <w:tc>
          <w:tcPr>
            <w:tcW w:w="1340"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155,6</w:t>
            </w:r>
          </w:p>
        </w:tc>
        <w:tc>
          <w:tcPr>
            <w:tcW w:w="705"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91,8</w:t>
            </w:r>
          </w:p>
        </w:tc>
        <w:tc>
          <w:tcPr>
            <w:tcW w:w="1817"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0,11</w:t>
            </w:r>
          </w:p>
        </w:tc>
      </w:tr>
      <w:tr>
        <w:trPr>
          <w:trHeight w:val="20" w:hRule="atLeast"/>
        </w:trPr>
        <w:tc>
          <w:tcPr>
            <w:tcW w:w="441" w:type="dxa"/>
            <w:vMerge w:val="continue"/>
            <w:tcBorders>
              <w:left w:val="single" w:sz="4" w:space="0" w:color="000000"/>
              <w:bottom w:val="single" w:sz="4" w:space="0" w:color="000000"/>
              <w:right w:val="single" w:sz="4" w:space="0" w:color="000000"/>
            </w:tcBorders>
            <w:vAlign w:val="center"/>
          </w:tcPr>
          <w:p>
            <w:pPr>
              <w:pStyle w:val="Normal"/>
              <w:rPr>
                <w:sz w:val="20"/>
                <w:szCs w:val="20"/>
                <w:lang w:eastAsia="ru-RU"/>
              </w:rPr>
            </w:pPr>
            <w:r>
              <w:rPr>
                <w:sz w:val="20"/>
                <w:szCs w:val="20"/>
                <w:lang w:eastAsia="ru-RU"/>
              </w:rPr>
            </w:r>
          </w:p>
        </w:tc>
        <w:tc>
          <w:tcPr>
            <w:tcW w:w="1785" w:type="dxa"/>
            <w:vMerge w:val="continue"/>
            <w:tcBorders>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r>
          </w:p>
        </w:tc>
        <w:tc>
          <w:tcPr>
            <w:tcW w:w="1264" w:type="dxa"/>
            <w:tcBorders>
              <w:top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2025</w:t>
            </w:r>
          </w:p>
        </w:tc>
        <w:tc>
          <w:tcPr>
            <w:tcW w:w="1787"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5,16</w:t>
            </w:r>
          </w:p>
        </w:tc>
        <w:tc>
          <w:tcPr>
            <w:tcW w:w="1375"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Природный газ</w:t>
            </w:r>
          </w:p>
        </w:tc>
        <w:tc>
          <w:tcPr>
            <w:tcW w:w="1238"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w:t>
            </w:r>
          </w:p>
        </w:tc>
        <w:tc>
          <w:tcPr>
            <w:tcW w:w="1221"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1278,74</w:t>
            </w:r>
          </w:p>
        </w:tc>
        <w:tc>
          <w:tcPr>
            <w:tcW w:w="1595"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976,77</w:t>
            </w:r>
          </w:p>
        </w:tc>
        <w:tc>
          <w:tcPr>
            <w:tcW w:w="1340"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155,6</w:t>
            </w:r>
          </w:p>
        </w:tc>
        <w:tc>
          <w:tcPr>
            <w:tcW w:w="705"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91,8</w:t>
            </w:r>
          </w:p>
        </w:tc>
        <w:tc>
          <w:tcPr>
            <w:tcW w:w="1817"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0,11</w:t>
            </w:r>
          </w:p>
        </w:tc>
      </w:tr>
      <w:tr>
        <w:trPr>
          <w:trHeight w:val="20" w:hRule="atLeast"/>
        </w:trPr>
        <w:tc>
          <w:tcPr>
            <w:tcW w:w="441" w:type="dxa"/>
            <w:vMerge w:val="continue"/>
            <w:tcBorders>
              <w:left w:val="single" w:sz="4" w:space="0" w:color="000000"/>
              <w:bottom w:val="single" w:sz="4" w:space="0" w:color="000000"/>
              <w:right w:val="single" w:sz="4" w:space="0" w:color="000000"/>
            </w:tcBorders>
            <w:vAlign w:val="center"/>
          </w:tcPr>
          <w:p>
            <w:pPr>
              <w:pStyle w:val="Normal"/>
              <w:rPr>
                <w:sz w:val="20"/>
                <w:szCs w:val="20"/>
                <w:lang w:eastAsia="ru-RU"/>
              </w:rPr>
            </w:pPr>
            <w:r>
              <w:rPr>
                <w:sz w:val="20"/>
                <w:szCs w:val="20"/>
                <w:lang w:eastAsia="ru-RU"/>
              </w:rPr>
            </w:r>
          </w:p>
        </w:tc>
        <w:tc>
          <w:tcPr>
            <w:tcW w:w="1785" w:type="dxa"/>
            <w:vMerge w:val="continue"/>
            <w:tcBorders>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r>
          </w:p>
        </w:tc>
        <w:tc>
          <w:tcPr>
            <w:tcW w:w="1264"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2026</w:t>
            </w:r>
          </w:p>
        </w:tc>
        <w:tc>
          <w:tcPr>
            <w:tcW w:w="1787"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5,16</w:t>
            </w:r>
          </w:p>
        </w:tc>
        <w:tc>
          <w:tcPr>
            <w:tcW w:w="1375"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Природный газ</w:t>
            </w:r>
          </w:p>
        </w:tc>
        <w:tc>
          <w:tcPr>
            <w:tcW w:w="1238"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w:t>
            </w:r>
          </w:p>
        </w:tc>
        <w:tc>
          <w:tcPr>
            <w:tcW w:w="1221"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1278,74</w:t>
            </w:r>
          </w:p>
        </w:tc>
        <w:tc>
          <w:tcPr>
            <w:tcW w:w="1595"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976,77</w:t>
            </w:r>
          </w:p>
        </w:tc>
        <w:tc>
          <w:tcPr>
            <w:tcW w:w="1340"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155,6</w:t>
            </w:r>
          </w:p>
        </w:tc>
        <w:tc>
          <w:tcPr>
            <w:tcW w:w="705"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91,8</w:t>
            </w:r>
          </w:p>
        </w:tc>
        <w:tc>
          <w:tcPr>
            <w:tcW w:w="1817"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0,11</w:t>
            </w:r>
          </w:p>
        </w:tc>
      </w:tr>
      <w:tr>
        <w:trPr>
          <w:trHeight w:val="20" w:hRule="atLeast"/>
        </w:trPr>
        <w:tc>
          <w:tcPr>
            <w:tcW w:w="441" w:type="dxa"/>
            <w:vMerge w:val="continue"/>
            <w:tcBorders>
              <w:left w:val="single" w:sz="4" w:space="0" w:color="000000"/>
              <w:bottom w:val="single" w:sz="4" w:space="0" w:color="000000"/>
              <w:right w:val="single" w:sz="4" w:space="0" w:color="000000"/>
            </w:tcBorders>
            <w:vAlign w:val="center"/>
          </w:tcPr>
          <w:p>
            <w:pPr>
              <w:pStyle w:val="Normal"/>
              <w:rPr>
                <w:sz w:val="20"/>
                <w:szCs w:val="20"/>
                <w:lang w:eastAsia="ru-RU"/>
              </w:rPr>
            </w:pPr>
            <w:r>
              <w:rPr>
                <w:sz w:val="20"/>
                <w:szCs w:val="20"/>
                <w:lang w:eastAsia="ru-RU"/>
              </w:rPr>
            </w:r>
          </w:p>
        </w:tc>
        <w:tc>
          <w:tcPr>
            <w:tcW w:w="1785" w:type="dxa"/>
            <w:vMerge w:val="continue"/>
            <w:tcBorders>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r>
          </w:p>
        </w:tc>
        <w:tc>
          <w:tcPr>
            <w:tcW w:w="1264"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2027</w:t>
            </w:r>
          </w:p>
        </w:tc>
        <w:tc>
          <w:tcPr>
            <w:tcW w:w="1787"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5,16</w:t>
            </w:r>
          </w:p>
        </w:tc>
        <w:tc>
          <w:tcPr>
            <w:tcW w:w="1375"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Природный газ</w:t>
            </w:r>
          </w:p>
        </w:tc>
        <w:tc>
          <w:tcPr>
            <w:tcW w:w="1238"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w:t>
            </w:r>
          </w:p>
        </w:tc>
        <w:tc>
          <w:tcPr>
            <w:tcW w:w="1221"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1278,74</w:t>
            </w:r>
          </w:p>
        </w:tc>
        <w:tc>
          <w:tcPr>
            <w:tcW w:w="1595"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976,77</w:t>
            </w:r>
          </w:p>
        </w:tc>
        <w:tc>
          <w:tcPr>
            <w:tcW w:w="1340"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155,6</w:t>
            </w:r>
          </w:p>
        </w:tc>
        <w:tc>
          <w:tcPr>
            <w:tcW w:w="705"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91,8</w:t>
            </w:r>
          </w:p>
        </w:tc>
        <w:tc>
          <w:tcPr>
            <w:tcW w:w="1817"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0,11</w:t>
            </w:r>
          </w:p>
        </w:tc>
      </w:tr>
      <w:tr>
        <w:trPr>
          <w:trHeight w:val="20" w:hRule="atLeast"/>
        </w:trPr>
        <w:tc>
          <w:tcPr>
            <w:tcW w:w="441" w:type="dxa"/>
            <w:vMerge w:val="continue"/>
            <w:tcBorders>
              <w:left w:val="single" w:sz="4" w:space="0" w:color="000000"/>
              <w:bottom w:val="single" w:sz="4" w:space="0" w:color="000000"/>
              <w:right w:val="single" w:sz="4" w:space="0" w:color="000000"/>
            </w:tcBorders>
            <w:vAlign w:val="center"/>
          </w:tcPr>
          <w:p>
            <w:pPr>
              <w:pStyle w:val="Normal"/>
              <w:rPr>
                <w:sz w:val="20"/>
                <w:szCs w:val="20"/>
                <w:lang w:eastAsia="ru-RU"/>
              </w:rPr>
            </w:pPr>
            <w:r>
              <w:rPr>
                <w:sz w:val="20"/>
                <w:szCs w:val="20"/>
                <w:lang w:eastAsia="ru-RU"/>
              </w:rPr>
            </w:r>
          </w:p>
        </w:tc>
        <w:tc>
          <w:tcPr>
            <w:tcW w:w="1785" w:type="dxa"/>
            <w:vMerge w:val="continue"/>
            <w:tcBorders>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r>
          </w:p>
        </w:tc>
        <w:tc>
          <w:tcPr>
            <w:tcW w:w="1264"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2028</w:t>
            </w:r>
          </w:p>
        </w:tc>
        <w:tc>
          <w:tcPr>
            <w:tcW w:w="1787"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5,16</w:t>
            </w:r>
          </w:p>
        </w:tc>
        <w:tc>
          <w:tcPr>
            <w:tcW w:w="1375"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Природный газ</w:t>
            </w:r>
          </w:p>
        </w:tc>
        <w:tc>
          <w:tcPr>
            <w:tcW w:w="1238"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w:t>
            </w:r>
          </w:p>
        </w:tc>
        <w:tc>
          <w:tcPr>
            <w:tcW w:w="1221"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1278,74</w:t>
            </w:r>
          </w:p>
        </w:tc>
        <w:tc>
          <w:tcPr>
            <w:tcW w:w="1595"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976,77</w:t>
            </w:r>
          </w:p>
        </w:tc>
        <w:tc>
          <w:tcPr>
            <w:tcW w:w="1340"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155,6</w:t>
            </w:r>
          </w:p>
        </w:tc>
        <w:tc>
          <w:tcPr>
            <w:tcW w:w="705"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91,8</w:t>
            </w:r>
          </w:p>
        </w:tc>
        <w:tc>
          <w:tcPr>
            <w:tcW w:w="1817"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0,11</w:t>
            </w:r>
          </w:p>
        </w:tc>
      </w:tr>
      <w:tr>
        <w:trPr>
          <w:trHeight w:val="20" w:hRule="atLeast"/>
        </w:trPr>
        <w:tc>
          <w:tcPr>
            <w:tcW w:w="441" w:type="dxa"/>
            <w:vMerge w:val="continue"/>
            <w:tcBorders>
              <w:left w:val="single" w:sz="4" w:space="0" w:color="000000"/>
              <w:bottom w:val="single" w:sz="4" w:space="0" w:color="000000"/>
              <w:right w:val="single" w:sz="4" w:space="0" w:color="000000"/>
            </w:tcBorders>
            <w:vAlign w:val="center"/>
          </w:tcPr>
          <w:p>
            <w:pPr>
              <w:pStyle w:val="Normal"/>
              <w:rPr>
                <w:sz w:val="20"/>
                <w:szCs w:val="20"/>
                <w:lang w:eastAsia="ru-RU"/>
              </w:rPr>
            </w:pPr>
            <w:r>
              <w:rPr>
                <w:sz w:val="20"/>
                <w:szCs w:val="20"/>
                <w:lang w:eastAsia="ru-RU"/>
              </w:rPr>
            </w:r>
          </w:p>
        </w:tc>
        <w:tc>
          <w:tcPr>
            <w:tcW w:w="1785" w:type="dxa"/>
            <w:vMerge w:val="continue"/>
            <w:tcBorders>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r>
          </w:p>
        </w:tc>
        <w:tc>
          <w:tcPr>
            <w:tcW w:w="1264"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2029-2032</w:t>
            </w:r>
          </w:p>
        </w:tc>
        <w:tc>
          <w:tcPr>
            <w:tcW w:w="1787"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5,16</w:t>
            </w:r>
          </w:p>
        </w:tc>
        <w:tc>
          <w:tcPr>
            <w:tcW w:w="1375"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Природный газ</w:t>
            </w:r>
          </w:p>
        </w:tc>
        <w:tc>
          <w:tcPr>
            <w:tcW w:w="1238"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w:t>
            </w:r>
          </w:p>
        </w:tc>
        <w:tc>
          <w:tcPr>
            <w:tcW w:w="1221"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1278,74</w:t>
            </w:r>
          </w:p>
        </w:tc>
        <w:tc>
          <w:tcPr>
            <w:tcW w:w="1595"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976,77</w:t>
            </w:r>
          </w:p>
        </w:tc>
        <w:tc>
          <w:tcPr>
            <w:tcW w:w="1340"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155,6</w:t>
            </w:r>
          </w:p>
        </w:tc>
        <w:tc>
          <w:tcPr>
            <w:tcW w:w="705"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91,8</w:t>
            </w:r>
          </w:p>
        </w:tc>
        <w:tc>
          <w:tcPr>
            <w:tcW w:w="1817"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0,11</w:t>
            </w:r>
          </w:p>
        </w:tc>
      </w:tr>
      <w:tr>
        <w:trPr>
          <w:trHeight w:val="20" w:hRule="atLeast"/>
        </w:trPr>
        <w:tc>
          <w:tcPr>
            <w:tcW w:w="441" w:type="dxa"/>
            <w:vMerge w:val="continue"/>
            <w:tcBorders>
              <w:left w:val="single" w:sz="4" w:space="0" w:color="000000"/>
              <w:bottom w:val="single" w:sz="4" w:space="0" w:color="000000"/>
              <w:right w:val="single" w:sz="4" w:space="0" w:color="000000"/>
            </w:tcBorders>
            <w:vAlign w:val="center"/>
          </w:tcPr>
          <w:p>
            <w:pPr>
              <w:pStyle w:val="Normal"/>
              <w:rPr>
                <w:sz w:val="20"/>
                <w:szCs w:val="20"/>
                <w:lang w:eastAsia="ru-RU"/>
              </w:rPr>
            </w:pPr>
            <w:r>
              <w:rPr>
                <w:sz w:val="20"/>
                <w:szCs w:val="20"/>
                <w:lang w:eastAsia="ru-RU"/>
              </w:rPr>
            </w:r>
          </w:p>
        </w:tc>
        <w:tc>
          <w:tcPr>
            <w:tcW w:w="1785" w:type="dxa"/>
            <w:vMerge w:val="continue"/>
            <w:tcBorders>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r>
          </w:p>
        </w:tc>
        <w:tc>
          <w:tcPr>
            <w:tcW w:w="1264"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2033-2035</w:t>
            </w:r>
          </w:p>
        </w:tc>
        <w:tc>
          <w:tcPr>
            <w:tcW w:w="1787"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5,16</w:t>
            </w:r>
          </w:p>
        </w:tc>
        <w:tc>
          <w:tcPr>
            <w:tcW w:w="1375"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Природный газ</w:t>
            </w:r>
          </w:p>
        </w:tc>
        <w:tc>
          <w:tcPr>
            <w:tcW w:w="1238"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w:t>
            </w:r>
          </w:p>
        </w:tc>
        <w:tc>
          <w:tcPr>
            <w:tcW w:w="1221"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1278,74</w:t>
            </w:r>
          </w:p>
        </w:tc>
        <w:tc>
          <w:tcPr>
            <w:tcW w:w="1595"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976,77</w:t>
            </w:r>
          </w:p>
        </w:tc>
        <w:tc>
          <w:tcPr>
            <w:tcW w:w="1340"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155,6</w:t>
            </w:r>
          </w:p>
        </w:tc>
        <w:tc>
          <w:tcPr>
            <w:tcW w:w="705"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91,8</w:t>
            </w:r>
          </w:p>
        </w:tc>
        <w:tc>
          <w:tcPr>
            <w:tcW w:w="1817"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0,11</w:t>
            </w:r>
          </w:p>
        </w:tc>
      </w:tr>
      <w:tr>
        <w:trPr>
          <w:trHeight w:val="20" w:hRule="atLeast"/>
        </w:trPr>
        <w:tc>
          <w:tcPr>
            <w:tcW w:w="441" w:type="dxa"/>
            <w:vMerge w:val="restart"/>
            <w:tcBorders>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t>7</w:t>
            </w:r>
          </w:p>
        </w:tc>
        <w:tc>
          <w:tcPr>
            <w:tcW w:w="1785" w:type="dxa"/>
            <w:vMerge w:val="restart"/>
            <w:tcBorders>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t>котельная № 8,</w:t>
            </w:r>
          </w:p>
          <w:p>
            <w:pPr>
              <w:pStyle w:val="Normal"/>
              <w:jc w:val="center"/>
              <w:rPr>
                <w:sz w:val="20"/>
                <w:szCs w:val="20"/>
                <w:lang w:eastAsia="ru-RU"/>
              </w:rPr>
            </w:pPr>
            <w:r>
              <w:rPr>
                <w:sz w:val="20"/>
                <w:szCs w:val="20"/>
                <w:lang w:eastAsia="ru-RU"/>
              </w:rPr>
              <w:t>пгт.Октябрьское, ул.50 лет Победы, 38А</w:t>
            </w:r>
          </w:p>
        </w:tc>
        <w:tc>
          <w:tcPr>
            <w:tcW w:w="1264"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2024</w:t>
            </w:r>
          </w:p>
        </w:tc>
        <w:tc>
          <w:tcPr>
            <w:tcW w:w="1787"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0,43</w:t>
            </w:r>
          </w:p>
        </w:tc>
        <w:tc>
          <w:tcPr>
            <w:tcW w:w="1375"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Природный газ</w:t>
            </w:r>
          </w:p>
        </w:tc>
        <w:tc>
          <w:tcPr>
            <w:tcW w:w="1238"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 </w:t>
            </w:r>
          </w:p>
        </w:tc>
        <w:tc>
          <w:tcPr>
            <w:tcW w:w="1221"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36,56</w:t>
            </w:r>
          </w:p>
        </w:tc>
        <w:tc>
          <w:tcPr>
            <w:tcW w:w="1595"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31,68</w:t>
            </w:r>
          </w:p>
        </w:tc>
        <w:tc>
          <w:tcPr>
            <w:tcW w:w="1340"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176,52</w:t>
            </w:r>
          </w:p>
        </w:tc>
        <w:tc>
          <w:tcPr>
            <w:tcW w:w="705"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81,01</w:t>
            </w:r>
          </w:p>
        </w:tc>
        <w:tc>
          <w:tcPr>
            <w:tcW w:w="1817"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0,004</w:t>
            </w:r>
          </w:p>
        </w:tc>
      </w:tr>
      <w:tr>
        <w:trPr>
          <w:trHeight w:val="20" w:hRule="atLeast"/>
        </w:trPr>
        <w:tc>
          <w:tcPr>
            <w:tcW w:w="441" w:type="dxa"/>
            <w:vMerge w:val="continue"/>
            <w:tcBorders>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r>
          </w:p>
        </w:tc>
        <w:tc>
          <w:tcPr>
            <w:tcW w:w="1785" w:type="dxa"/>
            <w:vMerge w:val="continue"/>
            <w:tcBorders>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r>
          </w:p>
        </w:tc>
        <w:tc>
          <w:tcPr>
            <w:tcW w:w="1264"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2025</w:t>
            </w:r>
          </w:p>
        </w:tc>
        <w:tc>
          <w:tcPr>
            <w:tcW w:w="11078" w:type="dxa"/>
            <w:gridSpan w:val="8"/>
            <w:vMerge w:val="restart"/>
            <w:tcBorders>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t xml:space="preserve">Децентрализация системы теплоснабжения пгт.Октябрьское путем перехода на автономные источники теплоснабжения, </w:t>
            </w:r>
          </w:p>
          <w:p>
            <w:pPr>
              <w:pStyle w:val="Normal"/>
              <w:jc w:val="center"/>
              <w:rPr>
                <w:sz w:val="20"/>
                <w:szCs w:val="20"/>
                <w:lang w:eastAsia="ru-RU"/>
              </w:rPr>
            </w:pPr>
            <w:r>
              <w:rPr>
                <w:sz w:val="20"/>
                <w:szCs w:val="20"/>
                <w:lang w:eastAsia="ru-RU"/>
              </w:rPr>
              <w:t>отказ от эксплуатации тепловых сетей, вывод котельной № 8 пгт.Октябрьское, ул.50 лет Победы, 38а из эксплуатации</w:t>
            </w:r>
          </w:p>
        </w:tc>
      </w:tr>
      <w:tr>
        <w:trPr>
          <w:trHeight w:val="20" w:hRule="atLeast"/>
        </w:trPr>
        <w:tc>
          <w:tcPr>
            <w:tcW w:w="441" w:type="dxa"/>
            <w:vMerge w:val="continue"/>
            <w:tcBorders>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r>
          </w:p>
        </w:tc>
        <w:tc>
          <w:tcPr>
            <w:tcW w:w="1785" w:type="dxa"/>
            <w:vMerge w:val="continue"/>
            <w:tcBorders>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r>
          </w:p>
        </w:tc>
        <w:tc>
          <w:tcPr>
            <w:tcW w:w="1264"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2026-2030</w:t>
            </w:r>
          </w:p>
        </w:tc>
        <w:tc>
          <w:tcPr>
            <w:tcW w:w="11078" w:type="dxa"/>
            <w:gridSpan w:val="8"/>
            <w:vMerge w:val="continue"/>
            <w:tcBorders>
              <w:bottom w:val="single" w:sz="4" w:space="0" w:color="000000"/>
              <w:right w:val="single" w:sz="4" w:space="0" w:color="000000"/>
            </w:tcBorders>
            <w:vAlign w:val="center"/>
          </w:tcPr>
          <w:p>
            <w:pPr>
              <w:pStyle w:val="Normal"/>
              <w:rPr>
                <w:sz w:val="20"/>
                <w:szCs w:val="20"/>
                <w:lang w:eastAsia="ru-RU"/>
              </w:rPr>
            </w:pPr>
            <w:r>
              <w:rPr>
                <w:sz w:val="20"/>
                <w:szCs w:val="20"/>
                <w:lang w:eastAsia="ru-RU"/>
              </w:rPr>
            </w:r>
          </w:p>
        </w:tc>
      </w:tr>
      <w:tr>
        <w:trPr>
          <w:trHeight w:val="20" w:hRule="atLeast"/>
        </w:trPr>
        <w:tc>
          <w:tcPr>
            <w:tcW w:w="441" w:type="dxa"/>
            <w:vMerge w:val="continue"/>
            <w:tcBorders>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r>
          </w:p>
        </w:tc>
        <w:tc>
          <w:tcPr>
            <w:tcW w:w="1785" w:type="dxa"/>
            <w:vMerge w:val="continue"/>
            <w:tcBorders>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r>
          </w:p>
        </w:tc>
        <w:tc>
          <w:tcPr>
            <w:tcW w:w="1264"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2031-2032</w:t>
            </w:r>
          </w:p>
        </w:tc>
        <w:tc>
          <w:tcPr>
            <w:tcW w:w="11078" w:type="dxa"/>
            <w:gridSpan w:val="8"/>
            <w:vMerge w:val="continue"/>
            <w:tcBorders>
              <w:bottom w:val="single" w:sz="4" w:space="0" w:color="000000"/>
              <w:right w:val="single" w:sz="4" w:space="0" w:color="000000"/>
            </w:tcBorders>
            <w:vAlign w:val="center"/>
          </w:tcPr>
          <w:p>
            <w:pPr>
              <w:pStyle w:val="Normal"/>
              <w:rPr>
                <w:sz w:val="20"/>
                <w:szCs w:val="20"/>
                <w:lang w:eastAsia="ru-RU"/>
              </w:rPr>
            </w:pPr>
            <w:r>
              <w:rPr>
                <w:sz w:val="20"/>
                <w:szCs w:val="20"/>
                <w:lang w:eastAsia="ru-RU"/>
              </w:rPr>
            </w:r>
          </w:p>
        </w:tc>
      </w:tr>
      <w:tr>
        <w:trPr>
          <w:trHeight w:val="20" w:hRule="atLeast"/>
        </w:trPr>
        <w:tc>
          <w:tcPr>
            <w:tcW w:w="441" w:type="dxa"/>
            <w:vMerge w:val="restart"/>
            <w:tcBorders>
              <w:left w:val="single" w:sz="4" w:space="0" w:color="000000"/>
              <w:right w:val="single" w:sz="4" w:space="0" w:color="000000"/>
            </w:tcBorders>
            <w:vAlign w:val="center"/>
          </w:tcPr>
          <w:p>
            <w:pPr>
              <w:pStyle w:val="Normal"/>
              <w:jc w:val="center"/>
              <w:rPr>
                <w:sz w:val="20"/>
                <w:szCs w:val="20"/>
                <w:lang w:eastAsia="ru-RU"/>
              </w:rPr>
            </w:pPr>
            <w:r>
              <w:rPr>
                <w:sz w:val="20"/>
                <w:szCs w:val="20"/>
                <w:lang w:eastAsia="ru-RU"/>
              </w:rPr>
              <w:t>8</w:t>
            </w:r>
          </w:p>
        </w:tc>
        <w:tc>
          <w:tcPr>
            <w:tcW w:w="1785" w:type="dxa"/>
            <w:vMerge w:val="restart"/>
            <w:tcBorders>
              <w:left w:val="single" w:sz="4" w:space="0" w:color="000000"/>
              <w:right w:val="single" w:sz="4" w:space="0" w:color="000000"/>
            </w:tcBorders>
            <w:vAlign w:val="center"/>
          </w:tcPr>
          <w:p>
            <w:pPr>
              <w:pStyle w:val="Normal"/>
              <w:jc w:val="center"/>
              <w:rPr>
                <w:sz w:val="20"/>
                <w:szCs w:val="20"/>
                <w:lang w:eastAsia="ru-RU"/>
              </w:rPr>
            </w:pPr>
            <w:r>
              <w:rPr>
                <w:sz w:val="20"/>
                <w:szCs w:val="20"/>
                <w:lang w:eastAsia="ru-RU"/>
              </w:rPr>
              <w:t>перспективная котельная,</w:t>
            </w:r>
          </w:p>
          <w:p>
            <w:pPr>
              <w:pStyle w:val="Normal"/>
              <w:jc w:val="center"/>
              <w:rPr>
                <w:sz w:val="20"/>
                <w:szCs w:val="20"/>
                <w:lang w:eastAsia="ru-RU"/>
              </w:rPr>
            </w:pPr>
            <w:r>
              <w:rPr>
                <w:sz w:val="20"/>
                <w:szCs w:val="20"/>
                <w:lang w:eastAsia="ru-RU"/>
              </w:rPr>
              <w:t>пгт.Октябрьское, ул.Дзержинского, 14</w:t>
            </w:r>
          </w:p>
        </w:tc>
        <w:tc>
          <w:tcPr>
            <w:tcW w:w="1264"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r>
          </w:p>
        </w:tc>
        <w:tc>
          <w:tcPr>
            <w:tcW w:w="11078" w:type="dxa"/>
            <w:gridSpan w:val="8"/>
            <w:tcBorders>
              <w:bottom w:val="single" w:sz="4" w:space="0" w:color="000000"/>
              <w:right w:val="single" w:sz="4" w:space="0" w:color="000000"/>
            </w:tcBorders>
            <w:vAlign w:val="center"/>
          </w:tcPr>
          <w:p>
            <w:pPr>
              <w:pStyle w:val="Normal"/>
              <w:rPr>
                <w:sz w:val="20"/>
                <w:szCs w:val="20"/>
                <w:lang w:eastAsia="ru-RU"/>
              </w:rPr>
            </w:pPr>
            <w:r>
              <w:rPr>
                <w:sz w:val="20"/>
                <w:szCs w:val="20"/>
                <w:lang w:eastAsia="ru-RU"/>
              </w:rPr>
              <w:t>Строительство котельной по ул.Дзержинского, 14 в пгт.Октябрьское. Вывод из эксплуатации котельной № 2 по ул.Пионерская, 17Б и котельной № 6 по ул.Дзержинского, 2Б с переключением нагрузки на новую котельную по ул.Дзержинского, 14</w:t>
            </w:r>
          </w:p>
        </w:tc>
      </w:tr>
      <w:tr>
        <w:trPr>
          <w:trHeight w:val="20" w:hRule="atLeast"/>
        </w:trPr>
        <w:tc>
          <w:tcPr>
            <w:tcW w:w="441" w:type="dxa"/>
            <w:vMerge w:val="continue"/>
            <w:tcBorders>
              <w:left w:val="single" w:sz="4" w:space="0" w:color="000000"/>
              <w:right w:val="single" w:sz="4" w:space="0" w:color="000000"/>
            </w:tcBorders>
            <w:vAlign w:val="center"/>
          </w:tcPr>
          <w:p>
            <w:pPr>
              <w:pStyle w:val="Normal"/>
              <w:rPr>
                <w:sz w:val="20"/>
                <w:szCs w:val="20"/>
                <w:lang w:eastAsia="ru-RU"/>
              </w:rPr>
            </w:pPr>
            <w:r>
              <w:rPr>
                <w:sz w:val="20"/>
                <w:szCs w:val="20"/>
                <w:lang w:eastAsia="ru-RU"/>
              </w:rPr>
            </w:r>
          </w:p>
        </w:tc>
        <w:tc>
          <w:tcPr>
            <w:tcW w:w="1785" w:type="dxa"/>
            <w:vMerge w:val="continue"/>
            <w:tcBorders>
              <w:left w:val="single" w:sz="4" w:space="0" w:color="000000"/>
              <w:right w:val="single" w:sz="4" w:space="0" w:color="000000"/>
            </w:tcBorders>
            <w:vAlign w:val="center"/>
          </w:tcPr>
          <w:p>
            <w:pPr>
              <w:pStyle w:val="Normal"/>
              <w:rPr>
                <w:sz w:val="20"/>
                <w:szCs w:val="20"/>
                <w:lang w:eastAsia="ru-RU"/>
              </w:rPr>
            </w:pPr>
            <w:r>
              <w:rPr>
                <w:sz w:val="20"/>
                <w:szCs w:val="20"/>
                <w:lang w:eastAsia="ru-RU"/>
              </w:rPr>
            </w:r>
          </w:p>
        </w:tc>
        <w:tc>
          <w:tcPr>
            <w:tcW w:w="1264"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2024</w:t>
            </w:r>
          </w:p>
        </w:tc>
        <w:tc>
          <w:tcPr>
            <w:tcW w:w="1787"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11,13</w:t>
            </w:r>
          </w:p>
        </w:tc>
        <w:tc>
          <w:tcPr>
            <w:tcW w:w="1375"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Природный газ</w:t>
            </w:r>
          </w:p>
        </w:tc>
        <w:tc>
          <w:tcPr>
            <w:tcW w:w="1238"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w:t>
            </w:r>
          </w:p>
        </w:tc>
        <w:tc>
          <w:tcPr>
            <w:tcW w:w="1221"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2030,54</w:t>
            </w:r>
          </w:p>
        </w:tc>
        <w:tc>
          <w:tcPr>
            <w:tcW w:w="1595"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1026,6</w:t>
            </w:r>
          </w:p>
        </w:tc>
        <w:tc>
          <w:tcPr>
            <w:tcW w:w="1340"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155,6</w:t>
            </w:r>
          </w:p>
        </w:tc>
        <w:tc>
          <w:tcPr>
            <w:tcW w:w="705"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91,8</w:t>
            </w:r>
          </w:p>
        </w:tc>
        <w:tc>
          <w:tcPr>
            <w:tcW w:w="1817"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0,12</w:t>
            </w:r>
          </w:p>
        </w:tc>
      </w:tr>
      <w:tr>
        <w:trPr>
          <w:trHeight w:val="20" w:hRule="atLeast"/>
        </w:trPr>
        <w:tc>
          <w:tcPr>
            <w:tcW w:w="441" w:type="dxa"/>
            <w:vMerge w:val="continue"/>
            <w:tcBorders>
              <w:left w:val="single" w:sz="4" w:space="0" w:color="000000"/>
              <w:right w:val="single" w:sz="4" w:space="0" w:color="000000"/>
            </w:tcBorders>
            <w:vAlign w:val="center"/>
          </w:tcPr>
          <w:p>
            <w:pPr>
              <w:pStyle w:val="Normal"/>
              <w:rPr>
                <w:sz w:val="20"/>
                <w:szCs w:val="20"/>
                <w:lang w:eastAsia="ru-RU"/>
              </w:rPr>
            </w:pPr>
            <w:r>
              <w:rPr>
                <w:sz w:val="20"/>
                <w:szCs w:val="20"/>
                <w:lang w:eastAsia="ru-RU"/>
              </w:rPr>
            </w:r>
          </w:p>
        </w:tc>
        <w:tc>
          <w:tcPr>
            <w:tcW w:w="1785" w:type="dxa"/>
            <w:vMerge w:val="continue"/>
            <w:tcBorders>
              <w:left w:val="single" w:sz="4" w:space="0" w:color="000000"/>
              <w:right w:val="single" w:sz="4" w:space="0" w:color="000000"/>
            </w:tcBorders>
            <w:vAlign w:val="center"/>
          </w:tcPr>
          <w:p>
            <w:pPr>
              <w:pStyle w:val="Normal"/>
              <w:rPr>
                <w:sz w:val="20"/>
                <w:szCs w:val="20"/>
                <w:lang w:eastAsia="ru-RU"/>
              </w:rPr>
            </w:pPr>
            <w:r>
              <w:rPr>
                <w:sz w:val="20"/>
                <w:szCs w:val="20"/>
                <w:lang w:eastAsia="ru-RU"/>
              </w:rPr>
            </w:r>
          </w:p>
        </w:tc>
        <w:tc>
          <w:tcPr>
            <w:tcW w:w="1264"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2025</w:t>
            </w:r>
          </w:p>
        </w:tc>
        <w:tc>
          <w:tcPr>
            <w:tcW w:w="1787"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11,13</w:t>
            </w:r>
          </w:p>
        </w:tc>
        <w:tc>
          <w:tcPr>
            <w:tcW w:w="1375"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Природный газ</w:t>
            </w:r>
          </w:p>
        </w:tc>
        <w:tc>
          <w:tcPr>
            <w:tcW w:w="1238"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w:t>
            </w:r>
          </w:p>
        </w:tc>
        <w:tc>
          <w:tcPr>
            <w:tcW w:w="1221"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2030,54</w:t>
            </w:r>
          </w:p>
        </w:tc>
        <w:tc>
          <w:tcPr>
            <w:tcW w:w="1595"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1026,60</w:t>
            </w:r>
          </w:p>
        </w:tc>
        <w:tc>
          <w:tcPr>
            <w:tcW w:w="1340"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155,6</w:t>
            </w:r>
          </w:p>
        </w:tc>
        <w:tc>
          <w:tcPr>
            <w:tcW w:w="705"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91,8</w:t>
            </w:r>
          </w:p>
        </w:tc>
        <w:tc>
          <w:tcPr>
            <w:tcW w:w="1817"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0,12</w:t>
            </w:r>
          </w:p>
        </w:tc>
      </w:tr>
      <w:tr>
        <w:trPr>
          <w:trHeight w:val="20" w:hRule="atLeast"/>
        </w:trPr>
        <w:tc>
          <w:tcPr>
            <w:tcW w:w="441" w:type="dxa"/>
            <w:vMerge w:val="continue"/>
            <w:tcBorders>
              <w:left w:val="single" w:sz="4" w:space="0" w:color="000000"/>
              <w:right w:val="single" w:sz="4" w:space="0" w:color="000000"/>
            </w:tcBorders>
            <w:vAlign w:val="center"/>
          </w:tcPr>
          <w:p>
            <w:pPr>
              <w:pStyle w:val="Normal"/>
              <w:rPr>
                <w:sz w:val="20"/>
                <w:szCs w:val="20"/>
                <w:lang w:eastAsia="ru-RU"/>
              </w:rPr>
            </w:pPr>
            <w:r>
              <w:rPr>
                <w:sz w:val="20"/>
                <w:szCs w:val="20"/>
                <w:lang w:eastAsia="ru-RU"/>
              </w:rPr>
            </w:r>
          </w:p>
        </w:tc>
        <w:tc>
          <w:tcPr>
            <w:tcW w:w="1785" w:type="dxa"/>
            <w:vMerge w:val="continue"/>
            <w:tcBorders>
              <w:left w:val="single" w:sz="4" w:space="0" w:color="000000"/>
              <w:right w:val="single" w:sz="4" w:space="0" w:color="000000"/>
            </w:tcBorders>
            <w:vAlign w:val="center"/>
          </w:tcPr>
          <w:p>
            <w:pPr>
              <w:pStyle w:val="Normal"/>
              <w:rPr>
                <w:sz w:val="20"/>
                <w:szCs w:val="20"/>
                <w:lang w:eastAsia="ru-RU"/>
              </w:rPr>
            </w:pPr>
            <w:r>
              <w:rPr>
                <w:sz w:val="20"/>
                <w:szCs w:val="20"/>
                <w:lang w:eastAsia="ru-RU"/>
              </w:rPr>
            </w:r>
          </w:p>
        </w:tc>
        <w:tc>
          <w:tcPr>
            <w:tcW w:w="1264"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2026</w:t>
            </w:r>
          </w:p>
        </w:tc>
        <w:tc>
          <w:tcPr>
            <w:tcW w:w="1787"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11,13</w:t>
            </w:r>
          </w:p>
        </w:tc>
        <w:tc>
          <w:tcPr>
            <w:tcW w:w="1375"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Природный газ</w:t>
            </w:r>
          </w:p>
        </w:tc>
        <w:tc>
          <w:tcPr>
            <w:tcW w:w="1238"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w:t>
            </w:r>
          </w:p>
        </w:tc>
        <w:tc>
          <w:tcPr>
            <w:tcW w:w="1221"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2030,54</w:t>
            </w:r>
          </w:p>
        </w:tc>
        <w:tc>
          <w:tcPr>
            <w:tcW w:w="1595"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1026,60</w:t>
            </w:r>
          </w:p>
        </w:tc>
        <w:tc>
          <w:tcPr>
            <w:tcW w:w="1340"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155,6</w:t>
            </w:r>
          </w:p>
        </w:tc>
        <w:tc>
          <w:tcPr>
            <w:tcW w:w="705"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91,8</w:t>
            </w:r>
          </w:p>
        </w:tc>
        <w:tc>
          <w:tcPr>
            <w:tcW w:w="1817"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0,12</w:t>
            </w:r>
          </w:p>
        </w:tc>
      </w:tr>
      <w:tr>
        <w:trPr>
          <w:trHeight w:val="20" w:hRule="atLeast"/>
        </w:trPr>
        <w:tc>
          <w:tcPr>
            <w:tcW w:w="441" w:type="dxa"/>
            <w:vMerge w:val="continue"/>
            <w:tcBorders>
              <w:left w:val="single" w:sz="4" w:space="0" w:color="000000"/>
              <w:right w:val="single" w:sz="4" w:space="0" w:color="000000"/>
            </w:tcBorders>
            <w:vAlign w:val="center"/>
          </w:tcPr>
          <w:p>
            <w:pPr>
              <w:pStyle w:val="Normal"/>
              <w:rPr>
                <w:sz w:val="20"/>
                <w:szCs w:val="20"/>
                <w:lang w:eastAsia="ru-RU"/>
              </w:rPr>
            </w:pPr>
            <w:r>
              <w:rPr>
                <w:sz w:val="20"/>
                <w:szCs w:val="20"/>
                <w:lang w:eastAsia="ru-RU"/>
              </w:rPr>
            </w:r>
          </w:p>
        </w:tc>
        <w:tc>
          <w:tcPr>
            <w:tcW w:w="1785" w:type="dxa"/>
            <w:vMerge w:val="continue"/>
            <w:tcBorders>
              <w:left w:val="single" w:sz="4" w:space="0" w:color="000000"/>
              <w:right w:val="single" w:sz="4" w:space="0" w:color="000000"/>
            </w:tcBorders>
            <w:vAlign w:val="center"/>
          </w:tcPr>
          <w:p>
            <w:pPr>
              <w:pStyle w:val="Normal"/>
              <w:rPr>
                <w:sz w:val="20"/>
                <w:szCs w:val="20"/>
                <w:lang w:eastAsia="ru-RU"/>
              </w:rPr>
            </w:pPr>
            <w:r>
              <w:rPr>
                <w:sz w:val="20"/>
                <w:szCs w:val="20"/>
                <w:lang w:eastAsia="ru-RU"/>
              </w:rPr>
            </w:r>
          </w:p>
        </w:tc>
        <w:tc>
          <w:tcPr>
            <w:tcW w:w="1264"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2027</w:t>
            </w:r>
          </w:p>
        </w:tc>
        <w:tc>
          <w:tcPr>
            <w:tcW w:w="1787"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11,13</w:t>
            </w:r>
          </w:p>
        </w:tc>
        <w:tc>
          <w:tcPr>
            <w:tcW w:w="1375"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Природный газ</w:t>
            </w:r>
          </w:p>
        </w:tc>
        <w:tc>
          <w:tcPr>
            <w:tcW w:w="1238"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w:t>
            </w:r>
          </w:p>
        </w:tc>
        <w:tc>
          <w:tcPr>
            <w:tcW w:w="1221"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2030,54</w:t>
            </w:r>
          </w:p>
        </w:tc>
        <w:tc>
          <w:tcPr>
            <w:tcW w:w="1595"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1026,60</w:t>
            </w:r>
          </w:p>
        </w:tc>
        <w:tc>
          <w:tcPr>
            <w:tcW w:w="1340"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155,6</w:t>
            </w:r>
          </w:p>
        </w:tc>
        <w:tc>
          <w:tcPr>
            <w:tcW w:w="705"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91,8</w:t>
            </w:r>
          </w:p>
        </w:tc>
        <w:tc>
          <w:tcPr>
            <w:tcW w:w="1817" w:type="dxa"/>
            <w:tcBorders>
              <w:bottom w:val="single" w:sz="8" w:space="0" w:color="000000"/>
              <w:right w:val="single" w:sz="8" w:space="0" w:color="000000"/>
            </w:tcBorders>
            <w:shd w:color="auto" w:fill="auto" w:val="clear"/>
            <w:vAlign w:val="center"/>
          </w:tcPr>
          <w:p>
            <w:pPr>
              <w:pStyle w:val="Normal"/>
              <w:jc w:val="center"/>
              <w:rPr>
                <w:sz w:val="20"/>
                <w:szCs w:val="20"/>
                <w:lang w:eastAsia="ru-RU"/>
              </w:rPr>
            </w:pPr>
            <w:r>
              <w:rPr>
                <w:sz w:val="20"/>
                <w:szCs w:val="20"/>
              </w:rPr>
              <w:t>0,12</w:t>
            </w:r>
          </w:p>
        </w:tc>
      </w:tr>
      <w:tr>
        <w:trPr>
          <w:trHeight w:val="20" w:hRule="atLeast"/>
        </w:trPr>
        <w:tc>
          <w:tcPr>
            <w:tcW w:w="441" w:type="dxa"/>
            <w:vMerge w:val="continue"/>
            <w:tcBorders>
              <w:left w:val="single" w:sz="4" w:space="0" w:color="000000"/>
              <w:right w:val="single" w:sz="4" w:space="0" w:color="000000"/>
            </w:tcBorders>
            <w:vAlign w:val="center"/>
          </w:tcPr>
          <w:p>
            <w:pPr>
              <w:pStyle w:val="Normal"/>
              <w:rPr>
                <w:sz w:val="20"/>
                <w:szCs w:val="20"/>
                <w:lang w:eastAsia="ru-RU"/>
              </w:rPr>
            </w:pPr>
            <w:r>
              <w:rPr>
                <w:sz w:val="20"/>
                <w:szCs w:val="20"/>
                <w:lang w:eastAsia="ru-RU"/>
              </w:rPr>
            </w:r>
          </w:p>
        </w:tc>
        <w:tc>
          <w:tcPr>
            <w:tcW w:w="1785" w:type="dxa"/>
            <w:vMerge w:val="continue"/>
            <w:tcBorders>
              <w:left w:val="single" w:sz="4" w:space="0" w:color="000000"/>
              <w:right w:val="single" w:sz="4" w:space="0" w:color="000000"/>
            </w:tcBorders>
            <w:vAlign w:val="center"/>
          </w:tcPr>
          <w:p>
            <w:pPr>
              <w:pStyle w:val="Normal"/>
              <w:rPr>
                <w:sz w:val="20"/>
                <w:szCs w:val="20"/>
                <w:lang w:eastAsia="ru-RU"/>
              </w:rPr>
            </w:pPr>
            <w:r>
              <w:rPr>
                <w:sz w:val="20"/>
                <w:szCs w:val="20"/>
                <w:lang w:eastAsia="ru-RU"/>
              </w:rPr>
            </w:r>
          </w:p>
        </w:tc>
        <w:tc>
          <w:tcPr>
            <w:tcW w:w="1264"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2028</w:t>
            </w:r>
          </w:p>
        </w:tc>
        <w:tc>
          <w:tcPr>
            <w:tcW w:w="1787" w:type="dxa"/>
            <w:tcBorders>
              <w:bottom w:val="single" w:sz="8" w:space="0" w:color="000000"/>
              <w:right w:val="single" w:sz="8" w:space="0" w:color="000000"/>
            </w:tcBorders>
            <w:shd w:color="auto" w:fill="auto" w:val="clear"/>
            <w:vAlign w:val="center"/>
          </w:tcPr>
          <w:p>
            <w:pPr>
              <w:pStyle w:val="Normal"/>
              <w:jc w:val="center"/>
              <w:rPr>
                <w:sz w:val="20"/>
                <w:szCs w:val="20"/>
              </w:rPr>
            </w:pPr>
            <w:r>
              <w:rPr>
                <w:sz w:val="20"/>
                <w:szCs w:val="20"/>
              </w:rPr>
              <w:t>11,13</w:t>
            </w:r>
          </w:p>
        </w:tc>
        <w:tc>
          <w:tcPr>
            <w:tcW w:w="1375" w:type="dxa"/>
            <w:tcBorders>
              <w:bottom w:val="single" w:sz="8" w:space="0" w:color="000000"/>
              <w:right w:val="single" w:sz="8" w:space="0" w:color="000000"/>
            </w:tcBorders>
            <w:shd w:color="auto" w:fill="auto" w:val="clear"/>
            <w:vAlign w:val="center"/>
          </w:tcPr>
          <w:p>
            <w:pPr>
              <w:pStyle w:val="Normal"/>
              <w:jc w:val="center"/>
              <w:rPr>
                <w:sz w:val="20"/>
                <w:szCs w:val="20"/>
              </w:rPr>
            </w:pPr>
            <w:r>
              <w:rPr>
                <w:sz w:val="20"/>
                <w:szCs w:val="20"/>
              </w:rPr>
              <w:t>Природный газ</w:t>
            </w:r>
          </w:p>
        </w:tc>
        <w:tc>
          <w:tcPr>
            <w:tcW w:w="1238" w:type="dxa"/>
            <w:tcBorders>
              <w:bottom w:val="single" w:sz="8" w:space="0" w:color="000000"/>
              <w:right w:val="single" w:sz="8" w:space="0" w:color="000000"/>
            </w:tcBorders>
            <w:shd w:color="auto" w:fill="auto" w:val="clear"/>
            <w:vAlign w:val="center"/>
          </w:tcPr>
          <w:p>
            <w:pPr>
              <w:pStyle w:val="Normal"/>
              <w:jc w:val="center"/>
              <w:rPr>
                <w:sz w:val="20"/>
                <w:szCs w:val="20"/>
              </w:rPr>
            </w:pPr>
            <w:r>
              <w:rPr>
                <w:sz w:val="20"/>
                <w:szCs w:val="20"/>
              </w:rPr>
              <w:t>-</w:t>
            </w:r>
          </w:p>
        </w:tc>
        <w:tc>
          <w:tcPr>
            <w:tcW w:w="1221" w:type="dxa"/>
            <w:tcBorders>
              <w:bottom w:val="single" w:sz="8" w:space="0" w:color="000000"/>
              <w:right w:val="single" w:sz="8" w:space="0" w:color="000000"/>
            </w:tcBorders>
            <w:shd w:color="auto" w:fill="auto" w:val="clear"/>
            <w:vAlign w:val="center"/>
          </w:tcPr>
          <w:p>
            <w:pPr>
              <w:pStyle w:val="Normal"/>
              <w:jc w:val="center"/>
              <w:rPr>
                <w:sz w:val="20"/>
                <w:szCs w:val="20"/>
              </w:rPr>
            </w:pPr>
            <w:r>
              <w:rPr>
                <w:sz w:val="20"/>
                <w:szCs w:val="20"/>
              </w:rPr>
              <w:t>2030,54</w:t>
            </w:r>
          </w:p>
        </w:tc>
        <w:tc>
          <w:tcPr>
            <w:tcW w:w="1595" w:type="dxa"/>
            <w:tcBorders>
              <w:bottom w:val="single" w:sz="8" w:space="0" w:color="000000"/>
              <w:right w:val="single" w:sz="8" w:space="0" w:color="000000"/>
            </w:tcBorders>
            <w:shd w:color="auto" w:fill="auto" w:val="clear"/>
            <w:vAlign w:val="center"/>
          </w:tcPr>
          <w:p>
            <w:pPr>
              <w:pStyle w:val="Normal"/>
              <w:jc w:val="center"/>
              <w:rPr>
                <w:sz w:val="20"/>
                <w:szCs w:val="20"/>
              </w:rPr>
            </w:pPr>
            <w:r>
              <w:rPr>
                <w:sz w:val="20"/>
                <w:szCs w:val="20"/>
              </w:rPr>
              <w:t>1026,60</w:t>
            </w:r>
          </w:p>
        </w:tc>
        <w:tc>
          <w:tcPr>
            <w:tcW w:w="1340" w:type="dxa"/>
            <w:tcBorders>
              <w:bottom w:val="single" w:sz="8" w:space="0" w:color="000000"/>
              <w:right w:val="single" w:sz="8" w:space="0" w:color="000000"/>
            </w:tcBorders>
            <w:shd w:color="auto" w:fill="auto" w:val="clear"/>
            <w:vAlign w:val="center"/>
          </w:tcPr>
          <w:p>
            <w:pPr>
              <w:pStyle w:val="Normal"/>
              <w:jc w:val="center"/>
              <w:rPr>
                <w:sz w:val="20"/>
                <w:szCs w:val="20"/>
              </w:rPr>
            </w:pPr>
            <w:r>
              <w:rPr>
                <w:sz w:val="20"/>
                <w:szCs w:val="20"/>
              </w:rPr>
              <w:t>155,6</w:t>
            </w:r>
          </w:p>
        </w:tc>
        <w:tc>
          <w:tcPr>
            <w:tcW w:w="705" w:type="dxa"/>
            <w:tcBorders>
              <w:bottom w:val="single" w:sz="8" w:space="0" w:color="000000"/>
              <w:right w:val="single" w:sz="8" w:space="0" w:color="000000"/>
            </w:tcBorders>
            <w:shd w:color="auto" w:fill="auto" w:val="clear"/>
            <w:vAlign w:val="center"/>
          </w:tcPr>
          <w:p>
            <w:pPr>
              <w:pStyle w:val="Normal"/>
              <w:jc w:val="center"/>
              <w:rPr>
                <w:sz w:val="20"/>
                <w:szCs w:val="20"/>
              </w:rPr>
            </w:pPr>
            <w:r>
              <w:rPr>
                <w:sz w:val="20"/>
                <w:szCs w:val="20"/>
              </w:rPr>
              <w:t>91,8</w:t>
            </w:r>
          </w:p>
        </w:tc>
        <w:tc>
          <w:tcPr>
            <w:tcW w:w="1817" w:type="dxa"/>
            <w:tcBorders>
              <w:bottom w:val="single" w:sz="8" w:space="0" w:color="000000"/>
              <w:right w:val="single" w:sz="8" w:space="0" w:color="000000"/>
            </w:tcBorders>
            <w:shd w:color="auto" w:fill="auto" w:val="clear"/>
            <w:vAlign w:val="center"/>
          </w:tcPr>
          <w:p>
            <w:pPr>
              <w:pStyle w:val="Normal"/>
              <w:jc w:val="center"/>
              <w:rPr>
                <w:sz w:val="20"/>
                <w:szCs w:val="20"/>
              </w:rPr>
            </w:pPr>
            <w:r>
              <w:rPr>
                <w:sz w:val="20"/>
                <w:szCs w:val="20"/>
              </w:rPr>
              <w:t>0,12</w:t>
            </w:r>
          </w:p>
        </w:tc>
      </w:tr>
      <w:tr>
        <w:trPr>
          <w:trHeight w:val="20" w:hRule="atLeast"/>
        </w:trPr>
        <w:tc>
          <w:tcPr>
            <w:tcW w:w="441" w:type="dxa"/>
            <w:vMerge w:val="continue"/>
            <w:tcBorders>
              <w:left w:val="single" w:sz="4" w:space="0" w:color="000000"/>
              <w:right w:val="single" w:sz="4" w:space="0" w:color="000000"/>
            </w:tcBorders>
            <w:vAlign w:val="center"/>
          </w:tcPr>
          <w:p>
            <w:pPr>
              <w:pStyle w:val="Normal"/>
              <w:rPr>
                <w:sz w:val="20"/>
                <w:szCs w:val="20"/>
                <w:lang w:eastAsia="ru-RU"/>
              </w:rPr>
            </w:pPr>
            <w:r>
              <w:rPr>
                <w:sz w:val="20"/>
                <w:szCs w:val="20"/>
                <w:lang w:eastAsia="ru-RU"/>
              </w:rPr>
            </w:r>
          </w:p>
        </w:tc>
        <w:tc>
          <w:tcPr>
            <w:tcW w:w="1785" w:type="dxa"/>
            <w:vMerge w:val="continue"/>
            <w:tcBorders>
              <w:left w:val="single" w:sz="4" w:space="0" w:color="000000"/>
              <w:right w:val="single" w:sz="4" w:space="0" w:color="000000"/>
            </w:tcBorders>
            <w:vAlign w:val="center"/>
          </w:tcPr>
          <w:p>
            <w:pPr>
              <w:pStyle w:val="Normal"/>
              <w:rPr>
                <w:sz w:val="20"/>
                <w:szCs w:val="20"/>
                <w:lang w:eastAsia="ru-RU"/>
              </w:rPr>
            </w:pPr>
            <w:r>
              <w:rPr>
                <w:sz w:val="20"/>
                <w:szCs w:val="20"/>
                <w:lang w:eastAsia="ru-RU"/>
              </w:rPr>
            </w:r>
          </w:p>
        </w:tc>
        <w:tc>
          <w:tcPr>
            <w:tcW w:w="1264"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2029-2032</w:t>
            </w:r>
          </w:p>
        </w:tc>
        <w:tc>
          <w:tcPr>
            <w:tcW w:w="1787" w:type="dxa"/>
            <w:tcBorders>
              <w:bottom w:val="single" w:sz="8" w:space="0" w:color="000000"/>
              <w:right w:val="single" w:sz="8" w:space="0" w:color="000000"/>
            </w:tcBorders>
            <w:shd w:color="auto" w:fill="auto" w:val="clear"/>
            <w:vAlign w:val="center"/>
          </w:tcPr>
          <w:p>
            <w:pPr>
              <w:pStyle w:val="Normal"/>
              <w:jc w:val="center"/>
              <w:rPr>
                <w:sz w:val="20"/>
                <w:szCs w:val="20"/>
              </w:rPr>
            </w:pPr>
            <w:r>
              <w:rPr>
                <w:sz w:val="20"/>
                <w:szCs w:val="20"/>
              </w:rPr>
              <w:t>11,13</w:t>
            </w:r>
          </w:p>
        </w:tc>
        <w:tc>
          <w:tcPr>
            <w:tcW w:w="1375" w:type="dxa"/>
            <w:tcBorders>
              <w:bottom w:val="single" w:sz="8" w:space="0" w:color="000000"/>
              <w:right w:val="single" w:sz="8" w:space="0" w:color="000000"/>
            </w:tcBorders>
            <w:shd w:color="auto" w:fill="auto" w:val="clear"/>
            <w:vAlign w:val="center"/>
          </w:tcPr>
          <w:p>
            <w:pPr>
              <w:pStyle w:val="Normal"/>
              <w:jc w:val="center"/>
              <w:rPr>
                <w:sz w:val="20"/>
                <w:szCs w:val="20"/>
              </w:rPr>
            </w:pPr>
            <w:r>
              <w:rPr>
                <w:sz w:val="20"/>
                <w:szCs w:val="20"/>
              </w:rPr>
              <w:t>Природный газ</w:t>
            </w:r>
          </w:p>
        </w:tc>
        <w:tc>
          <w:tcPr>
            <w:tcW w:w="1238" w:type="dxa"/>
            <w:tcBorders>
              <w:bottom w:val="single" w:sz="8" w:space="0" w:color="000000"/>
              <w:right w:val="single" w:sz="8" w:space="0" w:color="000000"/>
            </w:tcBorders>
            <w:shd w:color="auto" w:fill="auto" w:val="clear"/>
            <w:vAlign w:val="center"/>
          </w:tcPr>
          <w:p>
            <w:pPr>
              <w:pStyle w:val="Normal"/>
              <w:jc w:val="center"/>
              <w:rPr>
                <w:sz w:val="20"/>
                <w:szCs w:val="20"/>
              </w:rPr>
            </w:pPr>
            <w:r>
              <w:rPr>
                <w:sz w:val="20"/>
                <w:szCs w:val="20"/>
              </w:rPr>
              <w:t>-</w:t>
            </w:r>
          </w:p>
        </w:tc>
        <w:tc>
          <w:tcPr>
            <w:tcW w:w="1221" w:type="dxa"/>
            <w:tcBorders>
              <w:bottom w:val="single" w:sz="8" w:space="0" w:color="000000"/>
              <w:right w:val="single" w:sz="8" w:space="0" w:color="000000"/>
            </w:tcBorders>
            <w:shd w:color="auto" w:fill="auto" w:val="clear"/>
            <w:vAlign w:val="center"/>
          </w:tcPr>
          <w:p>
            <w:pPr>
              <w:pStyle w:val="Normal"/>
              <w:jc w:val="center"/>
              <w:rPr>
                <w:sz w:val="20"/>
                <w:szCs w:val="20"/>
              </w:rPr>
            </w:pPr>
            <w:r>
              <w:rPr>
                <w:sz w:val="20"/>
                <w:szCs w:val="20"/>
              </w:rPr>
              <w:t>2030,54</w:t>
            </w:r>
          </w:p>
        </w:tc>
        <w:tc>
          <w:tcPr>
            <w:tcW w:w="1595" w:type="dxa"/>
            <w:tcBorders>
              <w:bottom w:val="single" w:sz="8" w:space="0" w:color="000000"/>
              <w:right w:val="single" w:sz="8" w:space="0" w:color="000000"/>
            </w:tcBorders>
            <w:shd w:color="auto" w:fill="auto" w:val="clear"/>
            <w:vAlign w:val="center"/>
          </w:tcPr>
          <w:p>
            <w:pPr>
              <w:pStyle w:val="Normal"/>
              <w:jc w:val="center"/>
              <w:rPr>
                <w:sz w:val="20"/>
                <w:szCs w:val="20"/>
              </w:rPr>
            </w:pPr>
            <w:r>
              <w:rPr>
                <w:sz w:val="20"/>
                <w:szCs w:val="20"/>
              </w:rPr>
              <w:t>1026,60</w:t>
            </w:r>
          </w:p>
        </w:tc>
        <w:tc>
          <w:tcPr>
            <w:tcW w:w="1340" w:type="dxa"/>
            <w:tcBorders>
              <w:bottom w:val="single" w:sz="8" w:space="0" w:color="000000"/>
              <w:right w:val="single" w:sz="8" w:space="0" w:color="000000"/>
            </w:tcBorders>
            <w:shd w:color="auto" w:fill="auto" w:val="clear"/>
            <w:vAlign w:val="center"/>
          </w:tcPr>
          <w:p>
            <w:pPr>
              <w:pStyle w:val="Normal"/>
              <w:jc w:val="center"/>
              <w:rPr>
                <w:sz w:val="20"/>
                <w:szCs w:val="20"/>
              </w:rPr>
            </w:pPr>
            <w:r>
              <w:rPr>
                <w:sz w:val="20"/>
                <w:szCs w:val="20"/>
              </w:rPr>
              <w:t>155,6</w:t>
            </w:r>
          </w:p>
        </w:tc>
        <w:tc>
          <w:tcPr>
            <w:tcW w:w="705" w:type="dxa"/>
            <w:tcBorders>
              <w:bottom w:val="single" w:sz="8" w:space="0" w:color="000000"/>
              <w:right w:val="single" w:sz="8" w:space="0" w:color="000000"/>
            </w:tcBorders>
            <w:shd w:color="auto" w:fill="auto" w:val="clear"/>
            <w:vAlign w:val="center"/>
          </w:tcPr>
          <w:p>
            <w:pPr>
              <w:pStyle w:val="Normal"/>
              <w:jc w:val="center"/>
              <w:rPr>
                <w:sz w:val="20"/>
                <w:szCs w:val="20"/>
              </w:rPr>
            </w:pPr>
            <w:r>
              <w:rPr>
                <w:sz w:val="20"/>
                <w:szCs w:val="20"/>
              </w:rPr>
              <w:t>91,8</w:t>
            </w:r>
          </w:p>
        </w:tc>
        <w:tc>
          <w:tcPr>
            <w:tcW w:w="1817" w:type="dxa"/>
            <w:tcBorders>
              <w:bottom w:val="single" w:sz="8" w:space="0" w:color="000000"/>
              <w:right w:val="single" w:sz="8" w:space="0" w:color="000000"/>
            </w:tcBorders>
            <w:shd w:color="auto" w:fill="auto" w:val="clear"/>
            <w:vAlign w:val="center"/>
          </w:tcPr>
          <w:p>
            <w:pPr>
              <w:pStyle w:val="Normal"/>
              <w:jc w:val="center"/>
              <w:rPr>
                <w:sz w:val="20"/>
                <w:szCs w:val="20"/>
              </w:rPr>
            </w:pPr>
            <w:r>
              <w:rPr>
                <w:sz w:val="20"/>
                <w:szCs w:val="20"/>
              </w:rPr>
              <w:t>0,12</w:t>
            </w:r>
          </w:p>
        </w:tc>
      </w:tr>
      <w:tr>
        <w:trPr>
          <w:trHeight w:val="20" w:hRule="atLeast"/>
        </w:trPr>
        <w:tc>
          <w:tcPr>
            <w:tcW w:w="441" w:type="dxa"/>
            <w:vMerge w:val="continue"/>
            <w:tcBorders>
              <w:left w:val="single" w:sz="4" w:space="0" w:color="000000"/>
              <w:bottom w:val="single" w:sz="4" w:space="0" w:color="000000"/>
              <w:right w:val="single" w:sz="4" w:space="0" w:color="000000"/>
            </w:tcBorders>
            <w:vAlign w:val="center"/>
          </w:tcPr>
          <w:p>
            <w:pPr>
              <w:pStyle w:val="Normal"/>
              <w:rPr>
                <w:sz w:val="20"/>
                <w:szCs w:val="20"/>
                <w:lang w:eastAsia="ru-RU"/>
              </w:rPr>
            </w:pPr>
            <w:r>
              <w:rPr>
                <w:sz w:val="20"/>
                <w:szCs w:val="20"/>
                <w:lang w:eastAsia="ru-RU"/>
              </w:rPr>
            </w:r>
          </w:p>
        </w:tc>
        <w:tc>
          <w:tcPr>
            <w:tcW w:w="1785" w:type="dxa"/>
            <w:vMerge w:val="continue"/>
            <w:tcBorders>
              <w:left w:val="single" w:sz="4" w:space="0" w:color="000000"/>
              <w:bottom w:val="single" w:sz="4" w:space="0" w:color="000000"/>
              <w:right w:val="single" w:sz="4" w:space="0" w:color="000000"/>
            </w:tcBorders>
            <w:vAlign w:val="center"/>
          </w:tcPr>
          <w:p>
            <w:pPr>
              <w:pStyle w:val="Normal"/>
              <w:rPr>
                <w:sz w:val="20"/>
                <w:szCs w:val="20"/>
                <w:lang w:eastAsia="ru-RU"/>
              </w:rPr>
            </w:pPr>
            <w:r>
              <w:rPr>
                <w:sz w:val="20"/>
                <w:szCs w:val="20"/>
                <w:lang w:eastAsia="ru-RU"/>
              </w:rPr>
            </w:r>
          </w:p>
        </w:tc>
        <w:tc>
          <w:tcPr>
            <w:tcW w:w="1264" w:type="dxa"/>
            <w:tcBorders>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2033-2035</w:t>
            </w:r>
          </w:p>
        </w:tc>
        <w:tc>
          <w:tcPr>
            <w:tcW w:w="1787" w:type="dxa"/>
            <w:tcBorders>
              <w:bottom w:val="single" w:sz="8" w:space="0" w:color="000000"/>
              <w:right w:val="single" w:sz="8" w:space="0" w:color="000000"/>
            </w:tcBorders>
            <w:shd w:color="auto" w:fill="auto" w:val="clear"/>
            <w:vAlign w:val="center"/>
          </w:tcPr>
          <w:p>
            <w:pPr>
              <w:pStyle w:val="Normal"/>
              <w:jc w:val="center"/>
              <w:rPr>
                <w:sz w:val="20"/>
                <w:szCs w:val="20"/>
              </w:rPr>
            </w:pPr>
            <w:r>
              <w:rPr>
                <w:sz w:val="20"/>
                <w:szCs w:val="20"/>
              </w:rPr>
              <w:t>11,13</w:t>
            </w:r>
          </w:p>
        </w:tc>
        <w:tc>
          <w:tcPr>
            <w:tcW w:w="1375" w:type="dxa"/>
            <w:tcBorders>
              <w:bottom w:val="single" w:sz="8" w:space="0" w:color="000000"/>
              <w:right w:val="single" w:sz="8" w:space="0" w:color="000000"/>
            </w:tcBorders>
            <w:shd w:color="auto" w:fill="auto" w:val="clear"/>
            <w:vAlign w:val="center"/>
          </w:tcPr>
          <w:p>
            <w:pPr>
              <w:pStyle w:val="Normal"/>
              <w:jc w:val="center"/>
              <w:rPr>
                <w:sz w:val="20"/>
                <w:szCs w:val="20"/>
              </w:rPr>
            </w:pPr>
            <w:r>
              <w:rPr>
                <w:sz w:val="20"/>
                <w:szCs w:val="20"/>
              </w:rPr>
              <w:t>Природный газ</w:t>
            </w:r>
          </w:p>
        </w:tc>
        <w:tc>
          <w:tcPr>
            <w:tcW w:w="1238" w:type="dxa"/>
            <w:tcBorders>
              <w:bottom w:val="single" w:sz="8" w:space="0" w:color="000000"/>
              <w:right w:val="single" w:sz="8" w:space="0" w:color="000000"/>
            </w:tcBorders>
            <w:shd w:color="auto" w:fill="auto" w:val="clear"/>
            <w:vAlign w:val="center"/>
          </w:tcPr>
          <w:p>
            <w:pPr>
              <w:pStyle w:val="Normal"/>
              <w:jc w:val="center"/>
              <w:rPr>
                <w:sz w:val="20"/>
                <w:szCs w:val="20"/>
              </w:rPr>
            </w:pPr>
            <w:r>
              <w:rPr>
                <w:sz w:val="20"/>
                <w:szCs w:val="20"/>
              </w:rPr>
              <w:t>-</w:t>
            </w:r>
          </w:p>
        </w:tc>
        <w:tc>
          <w:tcPr>
            <w:tcW w:w="1221" w:type="dxa"/>
            <w:tcBorders>
              <w:bottom w:val="single" w:sz="8" w:space="0" w:color="000000"/>
              <w:right w:val="single" w:sz="8" w:space="0" w:color="000000"/>
            </w:tcBorders>
            <w:shd w:color="auto" w:fill="auto" w:val="clear"/>
            <w:vAlign w:val="center"/>
          </w:tcPr>
          <w:p>
            <w:pPr>
              <w:pStyle w:val="Normal"/>
              <w:jc w:val="center"/>
              <w:rPr>
                <w:sz w:val="20"/>
                <w:szCs w:val="20"/>
              </w:rPr>
            </w:pPr>
            <w:r>
              <w:rPr>
                <w:sz w:val="20"/>
                <w:szCs w:val="20"/>
              </w:rPr>
              <w:t>2030,54</w:t>
            </w:r>
          </w:p>
        </w:tc>
        <w:tc>
          <w:tcPr>
            <w:tcW w:w="1595" w:type="dxa"/>
            <w:tcBorders>
              <w:bottom w:val="single" w:sz="8" w:space="0" w:color="000000"/>
              <w:right w:val="single" w:sz="8" w:space="0" w:color="000000"/>
            </w:tcBorders>
            <w:shd w:color="auto" w:fill="auto" w:val="clear"/>
            <w:vAlign w:val="center"/>
          </w:tcPr>
          <w:p>
            <w:pPr>
              <w:pStyle w:val="Normal"/>
              <w:jc w:val="center"/>
              <w:rPr>
                <w:sz w:val="20"/>
                <w:szCs w:val="20"/>
              </w:rPr>
            </w:pPr>
            <w:r>
              <w:rPr>
                <w:sz w:val="20"/>
                <w:szCs w:val="20"/>
              </w:rPr>
              <w:t>1026,60</w:t>
            </w:r>
          </w:p>
        </w:tc>
        <w:tc>
          <w:tcPr>
            <w:tcW w:w="1340" w:type="dxa"/>
            <w:tcBorders>
              <w:bottom w:val="single" w:sz="8" w:space="0" w:color="000000"/>
              <w:right w:val="single" w:sz="8" w:space="0" w:color="000000"/>
            </w:tcBorders>
            <w:shd w:color="auto" w:fill="auto" w:val="clear"/>
            <w:vAlign w:val="center"/>
          </w:tcPr>
          <w:p>
            <w:pPr>
              <w:pStyle w:val="Normal"/>
              <w:jc w:val="center"/>
              <w:rPr>
                <w:sz w:val="20"/>
                <w:szCs w:val="20"/>
              </w:rPr>
            </w:pPr>
            <w:r>
              <w:rPr>
                <w:sz w:val="20"/>
                <w:szCs w:val="20"/>
              </w:rPr>
              <w:t>155,6</w:t>
            </w:r>
          </w:p>
        </w:tc>
        <w:tc>
          <w:tcPr>
            <w:tcW w:w="705" w:type="dxa"/>
            <w:tcBorders>
              <w:bottom w:val="single" w:sz="8" w:space="0" w:color="000000"/>
              <w:right w:val="single" w:sz="8" w:space="0" w:color="000000"/>
            </w:tcBorders>
            <w:shd w:color="auto" w:fill="auto" w:val="clear"/>
            <w:vAlign w:val="center"/>
          </w:tcPr>
          <w:p>
            <w:pPr>
              <w:pStyle w:val="Normal"/>
              <w:jc w:val="center"/>
              <w:rPr>
                <w:sz w:val="20"/>
                <w:szCs w:val="20"/>
              </w:rPr>
            </w:pPr>
            <w:r>
              <w:rPr>
                <w:sz w:val="20"/>
                <w:szCs w:val="20"/>
              </w:rPr>
              <w:t>91,8</w:t>
            </w:r>
          </w:p>
        </w:tc>
        <w:tc>
          <w:tcPr>
            <w:tcW w:w="1817" w:type="dxa"/>
            <w:tcBorders>
              <w:bottom w:val="single" w:sz="8" w:space="0" w:color="000000"/>
              <w:right w:val="single" w:sz="8" w:space="0" w:color="000000"/>
            </w:tcBorders>
            <w:shd w:color="auto" w:fill="auto" w:val="clear"/>
            <w:vAlign w:val="center"/>
          </w:tcPr>
          <w:p>
            <w:pPr>
              <w:pStyle w:val="Normal"/>
              <w:jc w:val="center"/>
              <w:rPr>
                <w:sz w:val="20"/>
                <w:szCs w:val="20"/>
              </w:rPr>
            </w:pPr>
            <w:r>
              <w:rPr>
                <w:sz w:val="20"/>
                <w:szCs w:val="20"/>
              </w:rPr>
              <w:t>0,12</w:t>
            </w:r>
            <w:bookmarkStart w:id="1203" w:name="_Hlk161086547"/>
            <w:bookmarkEnd w:id="1203"/>
          </w:p>
        </w:tc>
      </w:tr>
    </w:tbl>
    <w:p>
      <w:pPr>
        <w:pStyle w:val="2"/>
        <w:spacing w:before="0" w:after="0"/>
        <w:ind w:hanging="0"/>
        <w:rPr>
          <w:rFonts w:cs="Times New Roman"/>
          <w:color w:val="auto"/>
        </w:rPr>
      </w:pPr>
      <w:r>
        <w:rPr>
          <w:rFonts w:cs="Times New Roman"/>
          <w:color w:val="auto"/>
        </w:rPr>
      </w:r>
    </w:p>
    <w:p>
      <w:pPr>
        <w:pStyle w:val="2"/>
        <w:spacing w:before="0" w:after="0"/>
        <w:rPr>
          <w:rFonts w:cs="Times New Roman"/>
          <w:color w:val="auto"/>
        </w:rPr>
      </w:pPr>
      <w:bookmarkStart w:id="1204" w:name="_Toc181365950"/>
      <w:r>
        <w:rPr>
          <w:rFonts w:cs="Times New Roman"/>
          <w:color w:val="auto"/>
        </w:rPr>
        <w:t>10.2. Результаты расчетов по каждому источнику тепловой энергии нормативных запасов топлива</w:t>
      </w:r>
      <w:bookmarkEnd w:id="1204"/>
    </w:p>
    <w:p>
      <w:pPr>
        <w:pStyle w:val="2"/>
        <w:spacing w:before="0" w:after="0"/>
        <w:rPr>
          <w:rFonts w:cs="Times New Roman"/>
          <w:color w:val="auto"/>
        </w:rPr>
      </w:pPr>
      <w:r>
        <w:rPr>
          <w:b w:val="false"/>
        </w:rPr>
        <w:t xml:space="preserve">Расчеты нормативных объемов запаса резервного топлива выполняются в соответствии с </w:t>
      </w:r>
      <w:r>
        <w:rPr>
          <w:b w:val="false"/>
          <w:bCs/>
          <w:shd w:fill="FFFFFF" w:val="clear"/>
        </w:rPr>
        <w:t xml:space="preserve">приказом </w:t>
      </w:r>
      <w:r>
        <w:rPr>
          <w:b w:val="false"/>
        </w:rPr>
        <w:t>Минэнерго России от 10.08.2012 № 377 «О порядке определения нормативов технологических потерь при передаче тепловой энергии, теплоносителя, нормативов удельного расхода топлива при производстве тепловой энергии,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в том числе в целях государственного регулирования цен (тарифов) в сфере теплоснабжения»</w:t>
      </w:r>
      <w:r>
        <w:rPr>
          <w:b w:val="false"/>
          <w:bCs/>
          <w:shd w:fill="FFFFFF" w:val="clear"/>
        </w:rPr>
        <w:t>.</w:t>
      </w:r>
    </w:p>
    <w:p>
      <w:pPr>
        <w:pStyle w:val="2"/>
        <w:spacing w:before="0" w:after="0"/>
        <w:rPr>
          <w:b w:val="false"/>
          <w:b w:val="false"/>
          <w:highlight w:val="white"/>
        </w:rPr>
      </w:pPr>
      <w:r>
        <w:rPr>
          <w:b w:val="false"/>
          <w:shd w:fill="FFFFFF" w:val="clear"/>
        </w:rPr>
        <w:t xml:space="preserve">Результаты расчетов </w:t>
      </w:r>
      <w:r>
        <w:rPr>
          <w:rFonts w:cs="Times New Roman"/>
          <w:b w:val="false"/>
          <w:color w:val="auto"/>
        </w:rPr>
        <w:t xml:space="preserve">по каждому источнику тепловой энергии нормативных запасов топлива </w:t>
      </w:r>
      <w:r>
        <w:rPr>
          <w:b w:val="false"/>
          <w:shd w:fill="FFFFFF" w:val="clear"/>
        </w:rPr>
        <w:t>приведены в таблице 31.</w:t>
      </w:r>
    </w:p>
    <w:p>
      <w:pPr>
        <w:pStyle w:val="Normal"/>
        <w:jc w:val="right"/>
        <w:rPr>
          <w:rFonts w:eastAsia="Calibri" w:cs="Calibri"/>
          <w:szCs w:val="22"/>
          <w:lang w:eastAsia="en-US"/>
        </w:rPr>
      </w:pPr>
      <w:r>
        <w:rPr>
          <w:rFonts w:eastAsia="Calibri" w:cs="Calibri"/>
          <w:szCs w:val="22"/>
          <w:lang w:eastAsia="en-US"/>
        </w:rPr>
        <w:t>Таблица 31 – Расчеты по каждому источнику тепловой энергии нормативных запасов топлива</w:t>
      </w:r>
    </w:p>
    <w:tbl>
      <w:tblPr>
        <w:tblW w:w="5000" w:type="pct"/>
        <w:jc w:val="left"/>
        <w:tblInd w:w="0" w:type="dxa"/>
        <w:tblCellMar>
          <w:top w:w="0" w:type="dxa"/>
          <w:left w:w="108" w:type="dxa"/>
          <w:bottom w:w="0" w:type="dxa"/>
          <w:right w:w="108" w:type="dxa"/>
        </w:tblCellMar>
        <w:tblLook w:val="04a0" w:noVBand="1" w:noHBand="0" w:lastColumn="0" w:firstColumn="1" w:lastRow="0" w:firstRow="1"/>
      </w:tblPr>
      <w:tblGrid>
        <w:gridCol w:w="597"/>
        <w:gridCol w:w="1925"/>
        <w:gridCol w:w="1372"/>
        <w:gridCol w:w="1256"/>
        <w:gridCol w:w="1673"/>
        <w:gridCol w:w="2077"/>
        <w:gridCol w:w="1406"/>
        <w:gridCol w:w="1661"/>
        <w:gridCol w:w="877"/>
        <w:gridCol w:w="879"/>
        <w:gridCol w:w="845"/>
      </w:tblGrid>
      <w:tr>
        <w:trPr>
          <w:tblHeader w:val="true"/>
          <w:trHeight w:val="20" w:hRule="atLeast"/>
        </w:trPr>
        <w:tc>
          <w:tcPr>
            <w:tcW w:w="5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xml:space="preserve">№ </w:t>
            </w:r>
            <w:r>
              <w:rPr>
                <w:sz w:val="20"/>
                <w:szCs w:val="20"/>
                <w:lang w:eastAsia="ru-RU"/>
              </w:rPr>
              <w:t xml:space="preserve">п/п </w:t>
            </w:r>
          </w:p>
        </w:tc>
        <w:tc>
          <w:tcPr>
            <w:tcW w:w="192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Наименование и адрес котельной</w:t>
            </w:r>
          </w:p>
        </w:tc>
        <w:tc>
          <w:tcPr>
            <w:tcW w:w="13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Основное топливо</w:t>
            </w:r>
          </w:p>
        </w:tc>
        <w:tc>
          <w:tcPr>
            <w:tcW w:w="12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Резервное топливо</w:t>
            </w:r>
          </w:p>
        </w:tc>
        <w:tc>
          <w:tcPr>
            <w:tcW w:w="167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Qmax- среднее значение отпуска тепловой энергии в тепловую сеть (выработка котельными) всамом холодном месяце в году, Гкал/сутки</w:t>
            </w:r>
          </w:p>
        </w:tc>
        <w:tc>
          <w:tcPr>
            <w:tcW w:w="20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Нср.т. - расчетный норматив средневзвешенного удельного расхода топлива на отпущенную тепловую энергию в самом холодном месяце в году, тут/Гкал</w:t>
            </w:r>
          </w:p>
        </w:tc>
        <w:tc>
          <w:tcPr>
            <w:tcW w:w="140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К - коэффициент перевода натурального топлива в условное.</w:t>
            </w:r>
          </w:p>
        </w:tc>
        <w:tc>
          <w:tcPr>
            <w:tcW w:w="16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Т - дительность периода формирования</w:t>
            </w:r>
          </w:p>
        </w:tc>
        <w:tc>
          <w:tcPr>
            <w:tcW w:w="8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ННЗТ, т</w:t>
            </w:r>
          </w:p>
        </w:tc>
        <w:tc>
          <w:tcPr>
            <w:tcW w:w="8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ОНЗТ, т</w:t>
            </w:r>
          </w:p>
        </w:tc>
        <w:tc>
          <w:tcPr>
            <w:tcW w:w="84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в т.ч. НЭЗТ, т</w:t>
            </w:r>
          </w:p>
        </w:tc>
      </w:tr>
      <w:tr>
        <w:trPr>
          <w:tblHeader w:val="true"/>
          <w:trHeight w:val="458" w:hRule="atLeast"/>
        </w:trPr>
        <w:tc>
          <w:tcPr>
            <w:tcW w:w="14568" w:type="dxa"/>
            <w:gridSpan w:val="11"/>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Городское поселение Октябрьское </w:t>
            </w:r>
          </w:p>
        </w:tc>
      </w:tr>
      <w:tr>
        <w:trPr>
          <w:trHeight w:val="458" w:hRule="atLeast"/>
        </w:trPr>
        <w:tc>
          <w:tcPr>
            <w:tcW w:w="5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w:t>
            </w:r>
          </w:p>
        </w:tc>
        <w:tc>
          <w:tcPr>
            <w:tcW w:w="192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xml:space="preserve">котельная № 1, </w:t>
            </w:r>
          </w:p>
          <w:p>
            <w:pPr>
              <w:pStyle w:val="Normal"/>
              <w:jc w:val="center"/>
              <w:rPr>
                <w:sz w:val="20"/>
                <w:szCs w:val="20"/>
                <w:lang w:eastAsia="ru-RU"/>
              </w:rPr>
            </w:pPr>
            <w:r>
              <w:rPr>
                <w:sz w:val="20"/>
                <w:szCs w:val="20"/>
                <w:lang w:eastAsia="ru-RU"/>
              </w:rPr>
              <w:t>пгт.Октябрьское, ул.Сенькина, 46б</w:t>
            </w:r>
          </w:p>
        </w:tc>
        <w:tc>
          <w:tcPr>
            <w:tcW w:w="13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Природный газ</w:t>
            </w:r>
          </w:p>
        </w:tc>
        <w:tc>
          <w:tcPr>
            <w:tcW w:w="12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Дизельное топливо</w:t>
            </w:r>
          </w:p>
        </w:tc>
        <w:tc>
          <w:tcPr>
            <w:tcW w:w="167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160,51</w:t>
            </w:r>
          </w:p>
        </w:tc>
        <w:tc>
          <w:tcPr>
            <w:tcW w:w="20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0,3</w:t>
            </w:r>
          </w:p>
        </w:tc>
        <w:tc>
          <w:tcPr>
            <w:tcW w:w="140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1,5</w:t>
            </w:r>
          </w:p>
        </w:tc>
        <w:tc>
          <w:tcPr>
            <w:tcW w:w="16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5,0</w:t>
            </w:r>
          </w:p>
        </w:tc>
        <w:tc>
          <w:tcPr>
            <w:tcW w:w="8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91,0</w:t>
            </w:r>
          </w:p>
        </w:tc>
        <w:tc>
          <w:tcPr>
            <w:tcW w:w="8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636,0</w:t>
            </w:r>
          </w:p>
        </w:tc>
        <w:tc>
          <w:tcPr>
            <w:tcW w:w="84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545,0</w:t>
            </w:r>
          </w:p>
        </w:tc>
      </w:tr>
      <w:tr>
        <w:trPr>
          <w:trHeight w:val="458" w:hRule="atLeast"/>
        </w:trPr>
        <w:tc>
          <w:tcPr>
            <w:tcW w:w="5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2</w:t>
            </w:r>
          </w:p>
        </w:tc>
        <w:tc>
          <w:tcPr>
            <w:tcW w:w="192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котельная № 7,</w:t>
            </w:r>
          </w:p>
          <w:p>
            <w:pPr>
              <w:pStyle w:val="Normal"/>
              <w:jc w:val="center"/>
              <w:rPr>
                <w:sz w:val="20"/>
                <w:szCs w:val="20"/>
                <w:lang w:eastAsia="ru-RU"/>
              </w:rPr>
            </w:pPr>
            <w:r>
              <w:rPr>
                <w:sz w:val="20"/>
                <w:szCs w:val="20"/>
                <w:lang w:eastAsia="ru-RU"/>
              </w:rPr>
              <w:t>пгт.Октябрьское, ул.Медицинская, 3Б</w:t>
            </w:r>
          </w:p>
        </w:tc>
        <w:tc>
          <w:tcPr>
            <w:tcW w:w="13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Природный газ</w:t>
            </w:r>
          </w:p>
        </w:tc>
        <w:tc>
          <w:tcPr>
            <w:tcW w:w="12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Дизельное топливо</w:t>
            </w:r>
          </w:p>
        </w:tc>
        <w:tc>
          <w:tcPr>
            <w:tcW w:w="167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2,9</w:t>
            </w:r>
          </w:p>
        </w:tc>
        <w:tc>
          <w:tcPr>
            <w:tcW w:w="20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0,3</w:t>
            </w:r>
          </w:p>
        </w:tc>
        <w:tc>
          <w:tcPr>
            <w:tcW w:w="140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1,5</w:t>
            </w:r>
          </w:p>
        </w:tc>
        <w:tc>
          <w:tcPr>
            <w:tcW w:w="16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5,0</w:t>
            </w:r>
          </w:p>
        </w:tc>
        <w:tc>
          <w:tcPr>
            <w:tcW w:w="8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9,0</w:t>
            </w:r>
          </w:p>
        </w:tc>
        <w:tc>
          <w:tcPr>
            <w:tcW w:w="8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65,0</w:t>
            </w:r>
          </w:p>
        </w:tc>
        <w:tc>
          <w:tcPr>
            <w:tcW w:w="84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56,0</w:t>
            </w:r>
          </w:p>
        </w:tc>
      </w:tr>
    </w:tbl>
    <w:p>
      <w:pPr>
        <w:sectPr>
          <w:headerReference w:type="default" r:id="rId65"/>
          <w:footerReference w:type="default" r:id="rId66"/>
          <w:type w:val="nextPage"/>
          <w:pgSz w:orient="landscape" w:w="16838" w:h="11906"/>
          <w:pgMar w:left="1701" w:right="567" w:header="567" w:top="1701" w:footer="567" w:bottom="850" w:gutter="0"/>
          <w:pgNumType w:fmt="decimal"/>
          <w:formProt w:val="false"/>
          <w:textDirection w:val="lrTb"/>
          <w:docGrid w:type="default" w:linePitch="326" w:charSpace="0"/>
        </w:sectPr>
      </w:pPr>
    </w:p>
    <w:p>
      <w:pPr>
        <w:pStyle w:val="Normal"/>
        <w:keepNext w:val="true"/>
        <w:keepLines/>
        <w:numPr>
          <w:ilvl w:val="0"/>
          <w:numId w:val="0"/>
        </w:numPr>
        <w:ind w:left="0" w:firstLine="709"/>
        <w:jc w:val="both"/>
        <w:outlineLvl w:val="1"/>
        <w:rPr>
          <w:rFonts w:eastAsia="Calibri Light" w:cs="Calibri Light"/>
          <w:b/>
          <w:b/>
          <w:szCs w:val="26"/>
          <w:lang w:eastAsia="en-US"/>
        </w:rPr>
      </w:pPr>
      <w:bookmarkStart w:id="1205" w:name="_Toc535409611"/>
      <w:bookmarkStart w:id="1206" w:name="_Toc160530045"/>
      <w:bookmarkStart w:id="1207" w:name="_Toc181340510"/>
      <w:bookmarkStart w:id="1208" w:name="sub_1702"/>
      <w:bookmarkEnd w:id="1208"/>
      <w:r>
        <w:rPr>
          <w:rFonts w:eastAsia="Calibri Light" w:cs="Calibri Light"/>
          <w:b/>
          <w:szCs w:val="26"/>
          <w:lang w:eastAsia="en-US"/>
        </w:rPr>
        <w:t>10.3. Вид топлива, потребляемый источником тепловой энергии, в том числе с использованием возобновляемых источников энергии и местных видов топлива</w:t>
      </w:r>
      <w:bookmarkStart w:id="1209" w:name="_Hlk160710637"/>
      <w:bookmarkEnd w:id="1205"/>
      <w:bookmarkEnd w:id="1206"/>
      <w:bookmarkEnd w:id="1207"/>
      <w:bookmarkEnd w:id="1209"/>
    </w:p>
    <w:p>
      <w:pPr>
        <w:pStyle w:val="Normal"/>
        <w:ind w:firstLine="709"/>
        <w:jc w:val="both"/>
        <w:rPr>
          <w:rFonts w:eastAsia="Calibri" w:cs="Calibri"/>
          <w:szCs w:val="22"/>
          <w:lang w:eastAsia="ru-RU"/>
        </w:rPr>
      </w:pPr>
      <w:r>
        <w:rPr>
          <w:rFonts w:eastAsia="Calibri" w:cs="Calibri"/>
          <w:szCs w:val="22"/>
          <w:lang w:eastAsia="en-US"/>
        </w:rPr>
        <w:t xml:space="preserve">На котельных поселения в качестве основного топлива используется природный газ, в </w:t>
      </w:r>
      <w:r>
        <w:rPr>
          <w:rFonts w:eastAsia="Calibri" w:cs="Calibri"/>
          <w:szCs w:val="22"/>
          <w:lang w:eastAsia="ru-RU"/>
        </w:rPr>
        <w:t xml:space="preserve">качестве резервного топлива – дизельное топливо. </w:t>
      </w:r>
      <w:bookmarkStart w:id="1210" w:name="_Toc181340511"/>
      <w:bookmarkStart w:id="1211" w:name="_Toc160530046"/>
    </w:p>
    <w:p>
      <w:pPr>
        <w:pStyle w:val="Normal"/>
        <w:ind w:firstLine="709"/>
        <w:jc w:val="both"/>
        <w:rPr>
          <w:rFonts w:eastAsia="Calibri" w:cs="Calibri"/>
          <w:szCs w:val="22"/>
          <w:lang w:eastAsia="ru-RU"/>
        </w:rPr>
      </w:pPr>
      <w:r>
        <w:rPr>
          <w:rFonts w:eastAsia="Calibri" w:cs="Calibri"/>
          <w:szCs w:val="22"/>
          <w:lang w:eastAsia="ru-RU"/>
        </w:rPr>
      </w:r>
    </w:p>
    <w:p>
      <w:pPr>
        <w:pStyle w:val="Normal"/>
        <w:ind w:firstLine="709"/>
        <w:jc w:val="both"/>
        <w:rPr>
          <w:rFonts w:eastAsia="Calibri" w:cs="Calibri"/>
          <w:szCs w:val="22"/>
          <w:lang w:eastAsia="ru-RU"/>
        </w:rPr>
      </w:pPr>
      <w:r>
        <w:rPr>
          <w:rFonts w:eastAsia="Calibri Light" w:cs="Calibri Light"/>
          <w:b/>
          <w:szCs w:val="26"/>
          <w:lang w:eastAsia="en-US"/>
        </w:rPr>
        <w:t>10.4.</w:t>
      </w:r>
      <w:bookmarkEnd w:id="1211"/>
      <w:r>
        <w:rPr>
          <w:rFonts w:eastAsia="Calibri Light" w:cs="Calibri Light"/>
          <w:b/>
          <w:szCs w:val="26"/>
          <w:lang w:eastAsia="en-US"/>
        </w:rPr>
        <w:t xml:space="preserve"> Виды топлива (в случае, если топливом является уголь, - вид ископаемого угля в соответствии с Межгосударственным стандартом ГОСТ 25543-2013 «Угли бурые, каменные и антрациты. Классификация по генетическим и технологическим параметрам»), их долю и значение низшей теплоты сгорания топлива, используемые для производства тепловой энергии по каждой системе теплоснабжения</w:t>
      </w:r>
      <w:bookmarkEnd w:id="1210"/>
    </w:p>
    <w:p>
      <w:pPr>
        <w:pStyle w:val="Normal"/>
        <w:ind w:firstLine="709"/>
        <w:jc w:val="both"/>
        <w:rPr>
          <w:rFonts w:eastAsia="Calibri" w:cs="Calibri"/>
          <w:szCs w:val="22"/>
          <w:lang w:eastAsia="ru-RU"/>
        </w:rPr>
      </w:pPr>
      <w:r>
        <w:rPr>
          <w:rFonts w:eastAsia="Calibri" w:cs="Calibri"/>
          <w:szCs w:val="22"/>
          <w:lang w:eastAsia="en-US"/>
        </w:rPr>
        <w:t xml:space="preserve">На котельных поселения в качестве основного топлива используется природный газ, в </w:t>
      </w:r>
      <w:r>
        <w:rPr>
          <w:rFonts w:eastAsia="Calibri" w:cs="Calibri"/>
          <w:szCs w:val="22"/>
          <w:lang w:eastAsia="ru-RU"/>
        </w:rPr>
        <w:t xml:space="preserve">качестве резервного топлива – дизельное топливо. </w:t>
      </w:r>
    </w:p>
    <w:p>
      <w:pPr>
        <w:pStyle w:val="Normal"/>
        <w:ind w:firstLine="709"/>
        <w:jc w:val="both"/>
        <w:rPr>
          <w:rFonts w:eastAsia="Calibri" w:cs="Calibri"/>
          <w:szCs w:val="22"/>
          <w:lang w:eastAsia="ru-RU"/>
        </w:rPr>
      </w:pPr>
      <w:r>
        <w:rPr>
          <w:rFonts w:eastAsia="Calibri" w:cs="Calibri"/>
          <w:szCs w:val="22"/>
          <w:lang w:eastAsia="ru-RU"/>
        </w:rPr>
        <w:t>Характеристики топлива:</w:t>
      </w:r>
    </w:p>
    <w:p>
      <w:pPr>
        <w:pStyle w:val="Normal"/>
        <w:ind w:firstLine="709"/>
        <w:jc w:val="both"/>
        <w:rPr>
          <w:rFonts w:eastAsia="Calibri" w:cs="Calibri"/>
          <w:szCs w:val="22"/>
          <w:lang w:eastAsia="ru-RU"/>
        </w:rPr>
      </w:pPr>
      <w:r>
        <w:rPr>
          <w:rFonts w:eastAsia="Calibri" w:cs="Calibri"/>
          <w:szCs w:val="22"/>
          <w:lang w:eastAsia="ru-RU"/>
        </w:rPr>
        <w:t>- природный газ: плотность газа 0,702 кг/м</w:t>
      </w:r>
      <w:r>
        <w:rPr>
          <w:rFonts w:eastAsia="Calibri" w:cs="Calibri"/>
          <w:szCs w:val="22"/>
          <w:vertAlign w:val="superscript"/>
          <w:lang w:eastAsia="ru-RU"/>
        </w:rPr>
        <w:t>3</w:t>
      </w:r>
      <w:r>
        <w:rPr>
          <w:rFonts w:eastAsia="Calibri" w:cs="Calibri"/>
          <w:szCs w:val="22"/>
          <w:lang w:eastAsia="ru-RU"/>
        </w:rPr>
        <w:t xml:space="preserve"> при температуре 0 °С и давлении 0,10132 МПа. Низшая теплота сгорания</w:t>
      </w:r>
      <w:r>
        <w:rPr>
          <w:rFonts w:eastAsia="Calibri" w:cs="Calibri"/>
          <w:szCs w:val="22"/>
          <w:lang w:eastAsia="en-US"/>
        </w:rPr>
        <w:t xml:space="preserve"> 8,216 Гкал/тыс. </w:t>
      </w:r>
      <w:r>
        <w:rPr>
          <w:rFonts w:eastAsia="Calibri" w:cs="Calibri"/>
          <w:szCs w:val="22"/>
          <w:lang w:eastAsia="ru-RU"/>
        </w:rPr>
        <w:t>м</w:t>
      </w:r>
      <w:r>
        <w:rPr>
          <w:rFonts w:eastAsia="Calibri" w:cs="Calibri"/>
          <w:szCs w:val="22"/>
          <w:vertAlign w:val="superscript"/>
          <w:lang w:eastAsia="ru-RU"/>
        </w:rPr>
        <w:t>3</w:t>
      </w:r>
      <w:r>
        <w:rPr>
          <w:rFonts w:eastAsia="Calibri" w:cs="Calibri"/>
          <w:szCs w:val="22"/>
          <w:lang w:eastAsia="ru-RU"/>
        </w:rPr>
        <w:t>;</w:t>
      </w:r>
    </w:p>
    <w:p>
      <w:pPr>
        <w:pStyle w:val="Normal"/>
        <w:ind w:firstLine="709"/>
        <w:jc w:val="both"/>
        <w:rPr>
          <w:rFonts w:eastAsia="Calibri" w:cs="Calibri"/>
          <w:szCs w:val="22"/>
          <w:lang w:eastAsia="ru-RU"/>
        </w:rPr>
      </w:pPr>
      <w:r>
        <w:rPr>
          <w:rFonts w:eastAsia="Calibri" w:cs="Calibri"/>
          <w:szCs w:val="22"/>
          <w:lang w:eastAsia="ru-RU"/>
        </w:rPr>
        <w:t>- дизельное топливо: высшая теплота сгорания, сухое беззольное состояние - 10700 Ккал/кг,  низшая теплота сгорания на рабочее состояние – 10127 Ккал/кг.</w:t>
      </w:r>
    </w:p>
    <w:p>
      <w:pPr>
        <w:pStyle w:val="Normal"/>
        <w:ind w:firstLine="709"/>
        <w:jc w:val="both"/>
        <w:rPr>
          <w:rFonts w:eastAsia="Calibri" w:cs="Calibri"/>
          <w:szCs w:val="22"/>
          <w:lang w:eastAsia="en-US"/>
        </w:rPr>
      </w:pPr>
      <w:r>
        <w:rPr>
          <w:rFonts w:eastAsia="Calibri" w:cs="Calibri"/>
          <w:szCs w:val="22"/>
          <w:lang w:eastAsia="en-US"/>
        </w:rPr>
      </w:r>
    </w:p>
    <w:p>
      <w:pPr>
        <w:pStyle w:val="Normal"/>
        <w:keepNext w:val="true"/>
        <w:keepLines/>
        <w:numPr>
          <w:ilvl w:val="0"/>
          <w:numId w:val="0"/>
        </w:numPr>
        <w:ind w:left="0" w:firstLine="709"/>
        <w:jc w:val="both"/>
        <w:outlineLvl w:val="1"/>
        <w:rPr>
          <w:rFonts w:eastAsia="Calibri Light" w:cs="Calibri Light"/>
          <w:b/>
          <w:b/>
          <w:szCs w:val="26"/>
          <w:lang w:eastAsia="en-US"/>
        </w:rPr>
      </w:pPr>
      <w:bookmarkStart w:id="1212" w:name="_Toc181340512"/>
      <w:bookmarkStart w:id="1213" w:name="_Toc160530047"/>
      <w:bookmarkStart w:id="1214" w:name="_Hlk161212196"/>
      <w:bookmarkEnd w:id="1214"/>
      <w:r>
        <w:rPr>
          <w:rFonts w:eastAsia="Calibri Light" w:cs="Calibri Light"/>
          <w:b/>
          <w:szCs w:val="26"/>
          <w:lang w:eastAsia="en-US"/>
        </w:rPr>
        <w:t>10.5. Преобладающий в поселении вид топлива, определяемый по совокупности всех систем теплоснабжения, находящихся в соответствующем поселении.</w:t>
      </w:r>
      <w:bookmarkEnd w:id="1212"/>
      <w:bookmarkEnd w:id="1213"/>
    </w:p>
    <w:p>
      <w:pPr>
        <w:pStyle w:val="Normal"/>
        <w:keepNext w:val="true"/>
        <w:keepLines/>
        <w:numPr>
          <w:ilvl w:val="0"/>
          <w:numId w:val="0"/>
        </w:numPr>
        <w:ind w:left="0" w:firstLine="709"/>
        <w:jc w:val="both"/>
        <w:outlineLvl w:val="1"/>
        <w:rPr>
          <w:rFonts w:eastAsia="Calibri Light" w:cs="Calibri Light"/>
          <w:b/>
          <w:b/>
          <w:szCs w:val="26"/>
          <w:lang w:eastAsia="en-US"/>
        </w:rPr>
      </w:pPr>
      <w:r>
        <w:rPr>
          <w:rFonts w:eastAsia="Calibri" w:cs="Calibri"/>
          <w:szCs w:val="22"/>
          <w:lang w:eastAsia="en-US"/>
        </w:rPr>
        <w:t>Преобладающим видом топлива в поселении является природный газ.</w:t>
      </w:r>
    </w:p>
    <w:p>
      <w:pPr>
        <w:pStyle w:val="Normal"/>
        <w:ind w:firstLine="709"/>
        <w:jc w:val="both"/>
        <w:rPr>
          <w:rFonts w:eastAsia="Calibri" w:cs="Calibri"/>
          <w:szCs w:val="22"/>
          <w:lang w:eastAsia="en-US"/>
        </w:rPr>
      </w:pPr>
      <w:r>
        <w:rPr>
          <w:rFonts w:eastAsia="Calibri" w:cs="Calibri"/>
          <w:szCs w:val="22"/>
          <w:lang w:eastAsia="en-US"/>
        </w:rPr>
      </w:r>
    </w:p>
    <w:p>
      <w:pPr>
        <w:pStyle w:val="Normal"/>
        <w:keepNext w:val="true"/>
        <w:keepLines/>
        <w:numPr>
          <w:ilvl w:val="0"/>
          <w:numId w:val="0"/>
        </w:numPr>
        <w:ind w:left="0" w:firstLine="709"/>
        <w:jc w:val="both"/>
        <w:outlineLvl w:val="1"/>
        <w:rPr>
          <w:rFonts w:eastAsia="Calibri Light" w:cs="Calibri Light"/>
          <w:b/>
          <w:b/>
          <w:szCs w:val="26"/>
          <w:lang w:eastAsia="en-US"/>
        </w:rPr>
      </w:pPr>
      <w:bookmarkStart w:id="1215" w:name="_Toc160530048"/>
      <w:bookmarkStart w:id="1216" w:name="_Toc181340513"/>
      <w:r>
        <w:rPr>
          <w:rFonts w:eastAsia="Calibri Light" w:cs="Calibri Light"/>
          <w:b/>
          <w:szCs w:val="26"/>
          <w:lang w:eastAsia="en-US"/>
        </w:rPr>
        <w:t>10.6. Приоритетное направление развития топливного баланса поселения</w:t>
      </w:r>
      <w:bookmarkEnd w:id="1215"/>
      <w:bookmarkEnd w:id="1216"/>
    </w:p>
    <w:p>
      <w:pPr>
        <w:pStyle w:val="Normal"/>
        <w:keepNext w:val="true"/>
        <w:keepLines/>
        <w:numPr>
          <w:ilvl w:val="0"/>
          <w:numId w:val="0"/>
        </w:numPr>
        <w:ind w:left="0" w:firstLine="709"/>
        <w:jc w:val="both"/>
        <w:outlineLvl w:val="1"/>
        <w:rPr>
          <w:rFonts w:eastAsia="Calibri Light" w:cs="Calibri Light"/>
          <w:b/>
          <w:b/>
          <w:szCs w:val="26"/>
          <w:lang w:eastAsia="en-US"/>
        </w:rPr>
      </w:pPr>
      <w:r>
        <w:rPr>
          <w:szCs w:val="28"/>
          <w:lang w:eastAsia="ru-RU"/>
        </w:rPr>
        <w:t>В качестве основного вида топлива планируется использовать природный газ. Перевод котельной на другие виды топлива не планируется.</w:t>
      </w:r>
      <w:bookmarkStart w:id="1217" w:name="_Toc160530049"/>
      <w:bookmarkStart w:id="1218" w:name="_Toc181340514"/>
      <w:bookmarkStart w:id="1219" w:name="_Hlk160710652"/>
      <w:bookmarkStart w:id="1220" w:name="_Hlk160648677"/>
      <w:bookmarkEnd w:id="1219"/>
      <w:bookmarkEnd w:id="1220"/>
    </w:p>
    <w:p>
      <w:pPr>
        <w:pStyle w:val="Normal"/>
        <w:keepNext w:val="true"/>
        <w:keepLines/>
        <w:numPr>
          <w:ilvl w:val="0"/>
          <w:numId w:val="0"/>
        </w:numPr>
        <w:ind w:left="0" w:firstLine="709"/>
        <w:jc w:val="both"/>
        <w:outlineLvl w:val="1"/>
        <w:rPr>
          <w:rFonts w:eastAsia="Calibri Light" w:cs="Calibri Light"/>
          <w:b/>
          <w:b/>
          <w:szCs w:val="26"/>
          <w:lang w:eastAsia="en-US"/>
        </w:rPr>
      </w:pPr>
      <w:r>
        <w:rPr>
          <w:rFonts w:eastAsia="Calibri Light" w:cs="Calibri Light"/>
          <w:b/>
          <w:szCs w:val="26"/>
          <w:lang w:eastAsia="en-US"/>
        </w:rPr>
      </w:r>
    </w:p>
    <w:p>
      <w:pPr>
        <w:pStyle w:val="Normal"/>
        <w:keepNext w:val="true"/>
        <w:keepLines/>
        <w:numPr>
          <w:ilvl w:val="0"/>
          <w:numId w:val="0"/>
        </w:numPr>
        <w:ind w:left="0" w:firstLine="709"/>
        <w:jc w:val="both"/>
        <w:outlineLvl w:val="1"/>
        <w:rPr>
          <w:rFonts w:eastAsia="Calibri Light" w:cs="Calibri Light"/>
          <w:b/>
          <w:b/>
          <w:szCs w:val="26"/>
          <w:lang w:eastAsia="en-US"/>
        </w:rPr>
      </w:pPr>
      <w:r>
        <w:rPr>
          <w:rFonts w:eastAsia="Calibri Light" w:cs="Calibri Light"/>
          <w:b/>
          <w:szCs w:val="26"/>
          <w:lang w:eastAsia="en-US"/>
        </w:rPr>
        <w:t>10.7. Описание изменений в перспективных топливных балансах за период, предшествующий актуализации схемы теплоснабжения, в том числе с учетом введенных в эксплуатацию построенных и реконструированных источников тепловой энергии</w:t>
      </w:r>
      <w:bookmarkStart w:id="1221" w:name="_Hlk160648690"/>
      <w:bookmarkEnd w:id="1217"/>
      <w:bookmarkEnd w:id="1218"/>
    </w:p>
    <w:p>
      <w:pPr>
        <w:pStyle w:val="Normal"/>
        <w:keepNext w:val="true"/>
        <w:keepLines/>
        <w:numPr>
          <w:ilvl w:val="0"/>
          <w:numId w:val="0"/>
        </w:numPr>
        <w:ind w:left="0" w:firstLine="709"/>
        <w:jc w:val="both"/>
        <w:outlineLvl w:val="1"/>
        <w:rPr>
          <w:rFonts w:eastAsia="Calibri Light" w:cs="Calibri Light"/>
          <w:b/>
          <w:b/>
          <w:szCs w:val="26"/>
          <w:lang w:eastAsia="en-US"/>
        </w:rPr>
      </w:pPr>
      <w:r>
        <w:rPr>
          <w:rFonts w:eastAsia="Calibri" w:cs="Calibri"/>
          <w:szCs w:val="22"/>
          <w:lang w:eastAsia="en-US"/>
        </w:rPr>
        <w:t>Существующие и перспективные топливные балансы приведены в соответствие с уровнем потребления топлива, сложившегося на момент актуализации схемы теплоснабжения. Балансы сформированы с учетом актуализированного прогноза прироста тепловых нагрузок, представленного в Главе 2.</w:t>
      </w:r>
      <w:bookmarkEnd w:id="1221"/>
    </w:p>
    <w:p>
      <w:pPr>
        <w:pStyle w:val="Normal"/>
        <w:rPr>
          <w:rFonts w:eastAsia="Calibri" w:cs="Calibri"/>
          <w:szCs w:val="22"/>
          <w:lang w:eastAsia="en-US"/>
        </w:rPr>
      </w:pPr>
      <w:r>
        <w:rPr>
          <w:rFonts w:eastAsia="Calibri" w:cs="Calibri"/>
          <w:szCs w:val="22"/>
          <w:lang w:eastAsia="en-US"/>
        </w:rPr>
      </w:r>
    </w:p>
    <w:p>
      <w:pPr>
        <w:pStyle w:val="Normal"/>
        <w:jc w:val="center"/>
        <w:rPr>
          <w:rFonts w:eastAsia="Calibri" w:cs="Calibri"/>
          <w:b/>
          <w:b/>
          <w:bCs/>
          <w:szCs w:val="22"/>
          <w:lang w:eastAsia="en-US"/>
        </w:rPr>
      </w:pPr>
      <w:bookmarkStart w:id="1222" w:name="_Toc181340515"/>
      <w:bookmarkStart w:id="1223" w:name="_Toc160455168"/>
      <w:bookmarkStart w:id="1224" w:name="_Toc160530051"/>
      <w:r>
        <w:rPr>
          <w:rFonts w:eastAsia="Calibri"/>
          <w:b/>
          <w:bCs/>
          <w:szCs w:val="22"/>
          <w:lang w:eastAsia="en-US"/>
        </w:rPr>
        <w:t>Глава 11 «Оценка надежности теплоснабжения»</w:t>
      </w:r>
      <w:bookmarkEnd w:id="1222"/>
      <w:bookmarkEnd w:id="1223"/>
      <w:bookmarkEnd w:id="1224"/>
    </w:p>
    <w:p>
      <w:pPr>
        <w:pStyle w:val="Normal"/>
        <w:keepNext w:val="true"/>
        <w:keepLines/>
        <w:numPr>
          <w:ilvl w:val="0"/>
          <w:numId w:val="0"/>
        </w:numPr>
        <w:spacing w:before="0" w:after="120"/>
        <w:ind w:left="0" w:hanging="0"/>
        <w:jc w:val="both"/>
        <w:outlineLvl w:val="1"/>
        <w:rPr>
          <w:rFonts w:eastAsia="Calibri"/>
          <w:szCs w:val="22"/>
          <w:lang w:eastAsia="en-US"/>
        </w:rPr>
      </w:pPr>
      <w:r>
        <w:rPr>
          <w:rFonts w:eastAsia="Calibri"/>
          <w:szCs w:val="22"/>
          <w:lang w:eastAsia="en-US"/>
        </w:rPr>
      </w:r>
    </w:p>
    <w:p>
      <w:pPr>
        <w:pStyle w:val="Normal"/>
        <w:keepNext w:val="true"/>
        <w:keepLines/>
        <w:numPr>
          <w:ilvl w:val="0"/>
          <w:numId w:val="0"/>
        </w:numPr>
        <w:ind w:left="0" w:firstLine="709"/>
        <w:jc w:val="both"/>
        <w:outlineLvl w:val="1"/>
        <w:rPr>
          <w:rFonts w:eastAsia="Calibri Light" w:cs="Calibri Light"/>
          <w:b/>
          <w:b/>
          <w:szCs w:val="26"/>
          <w:lang w:eastAsia="en-US"/>
        </w:rPr>
      </w:pPr>
      <w:bookmarkStart w:id="1225" w:name="_Toc181340516"/>
      <w:bookmarkStart w:id="1226" w:name="_Toc160530052"/>
      <w:bookmarkStart w:id="1227" w:name="_Toc160455169"/>
      <w:bookmarkStart w:id="1228" w:name="_Toc160186174"/>
      <w:bookmarkStart w:id="1229" w:name="_Toc158278769"/>
      <w:r>
        <w:rPr>
          <w:rFonts w:eastAsia="Calibri Light" w:cs="Calibri Light"/>
          <w:b/>
          <w:szCs w:val="26"/>
          <w:lang w:eastAsia="en-US"/>
        </w:rPr>
        <w:t>11.1. Обоснование метода и результатов обработки данных по отказам участков тепловых сетей (аварийным ситуациям), средней частоты отказов участков тепловых сетей (аварийных ситуаций) в каждой системе теплоснабжения</w:t>
      </w:r>
      <w:bookmarkEnd w:id="1225"/>
      <w:bookmarkEnd w:id="1226"/>
      <w:bookmarkEnd w:id="1227"/>
      <w:bookmarkEnd w:id="1228"/>
      <w:bookmarkEnd w:id="1229"/>
    </w:p>
    <w:p>
      <w:pPr>
        <w:pStyle w:val="Normal"/>
        <w:keepNext w:val="true"/>
        <w:keepLines/>
        <w:numPr>
          <w:ilvl w:val="0"/>
          <w:numId w:val="0"/>
        </w:numPr>
        <w:ind w:left="0" w:firstLine="709"/>
        <w:jc w:val="both"/>
        <w:outlineLvl w:val="1"/>
        <w:rPr>
          <w:rFonts w:eastAsia="Calibri Light" w:cs="Calibri Light"/>
          <w:szCs w:val="26"/>
          <w:lang w:eastAsia="en-US"/>
        </w:rPr>
      </w:pPr>
      <w:r>
        <w:rPr/>
        <w:t>Методика расчета и оценки показателей надежности системы теплоснабжения выполняется в соответствии с приложением № 18 Методических указаний по разработке схем теплоснабжения, утвержденных приказом Минэнерго России от 05.03.2019 № 212. Основные положения данной методики приведены в части 9 Главы 1 настоящего документа.</w:t>
      </w:r>
    </w:p>
    <w:p>
      <w:pPr>
        <w:pStyle w:val="Normal"/>
        <w:jc w:val="right"/>
        <w:rPr>
          <w:rFonts w:eastAsia="Calibri" w:cs="Calibri"/>
          <w:iCs/>
          <w:szCs w:val="18"/>
          <w:lang w:eastAsia="en-US"/>
        </w:rPr>
      </w:pPr>
      <w:r>
        <w:rPr>
          <w:rFonts w:eastAsia="Calibri" w:cs="Calibri"/>
          <w:iCs/>
          <w:szCs w:val="18"/>
          <w:lang w:eastAsia="en-US"/>
        </w:rPr>
        <w:t>Таблица 32 – Надежность систем теплоснабжения котельных</w:t>
      </w:r>
    </w:p>
    <w:tbl>
      <w:tblPr>
        <w:tblW w:w="5000" w:type="pct"/>
        <w:jc w:val="center"/>
        <w:tblInd w:w="0" w:type="dxa"/>
        <w:tblCellMar>
          <w:top w:w="0" w:type="dxa"/>
          <w:left w:w="108" w:type="dxa"/>
          <w:bottom w:w="0" w:type="dxa"/>
          <w:right w:w="108" w:type="dxa"/>
        </w:tblCellMar>
        <w:tblLook w:val="04a0" w:noVBand="1" w:noHBand="0" w:lastColumn="0" w:firstColumn="1" w:lastRow="0" w:firstRow="1"/>
      </w:tblPr>
      <w:tblGrid>
        <w:gridCol w:w="501"/>
        <w:gridCol w:w="2246"/>
        <w:gridCol w:w="2092"/>
        <w:gridCol w:w="1716"/>
        <w:gridCol w:w="3083"/>
      </w:tblGrid>
      <w:tr>
        <w:trPr>
          <w:tblHeader w:val="true"/>
          <w:cantSplit w:val="true"/>
        </w:trPr>
        <w:tc>
          <w:tcPr>
            <w:tcW w:w="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rPr>
              <w:t xml:space="preserve">№ </w:t>
            </w:r>
            <w:r>
              <w:rPr>
                <w:sz w:val="20"/>
                <w:szCs w:val="20"/>
              </w:rPr>
              <w:t>п/п</w:t>
            </w:r>
          </w:p>
        </w:tc>
        <w:tc>
          <w:tcPr>
            <w:tcW w:w="22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rPr>
              <w:t>Наименование источника</w:t>
            </w:r>
          </w:p>
        </w:tc>
        <w:tc>
          <w:tcPr>
            <w:tcW w:w="20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bCs/>
                <w:sz w:val="20"/>
                <w:szCs w:val="20"/>
              </w:rPr>
            </w:pPr>
            <w:r>
              <w:rPr>
                <w:bCs/>
                <w:sz w:val="20"/>
                <w:szCs w:val="20"/>
              </w:rPr>
              <w:t>Нормативные значения показателей надежности теплоснабжения</w:t>
            </w:r>
          </w:p>
        </w:tc>
        <w:tc>
          <w:tcPr>
            <w:tcW w:w="17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bCs/>
                <w:sz w:val="20"/>
                <w:szCs w:val="20"/>
              </w:rPr>
            </w:pPr>
            <w:r>
              <w:rPr>
                <w:bCs/>
                <w:sz w:val="20"/>
                <w:szCs w:val="20"/>
              </w:rPr>
              <w:t>Расчетные значения показателей надежности теплоснабжения</w:t>
            </w:r>
          </w:p>
        </w:tc>
        <w:tc>
          <w:tcPr>
            <w:tcW w:w="308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rPr>
              <w:t>Заключение</w:t>
            </w:r>
          </w:p>
        </w:tc>
      </w:tr>
      <w:tr>
        <w:trPr>
          <w:cantSplit w:val="true"/>
        </w:trPr>
        <w:tc>
          <w:tcPr>
            <w:tcW w:w="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spacing w:before="0" w:after="200"/>
              <w:ind w:left="0" w:hanging="0"/>
              <w:jc w:val="center"/>
              <w:rPr>
                <w:rFonts w:ascii="Times New Roman" w:hAnsi="Times New Roman" w:cs="Times New Roman"/>
                <w:sz w:val="20"/>
                <w:szCs w:val="20"/>
              </w:rPr>
            </w:pPr>
            <w:r>
              <w:rPr>
                <w:rFonts w:cs="Times New Roman" w:ascii="Times New Roman" w:hAnsi="Times New Roman"/>
                <w:sz w:val="20"/>
                <w:szCs w:val="20"/>
                <w:lang w:eastAsia="ru-RU"/>
              </w:rPr>
              <w:t>1</w:t>
            </w:r>
          </w:p>
        </w:tc>
        <w:tc>
          <w:tcPr>
            <w:tcW w:w="2246"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jc w:val="center"/>
              <w:rPr>
                <w:sz w:val="20"/>
                <w:szCs w:val="20"/>
              </w:rPr>
            </w:pPr>
            <w:r>
              <w:rPr>
                <w:sz w:val="20"/>
                <w:szCs w:val="20"/>
              </w:rPr>
              <w:t xml:space="preserve">котельная № 1, </w:t>
            </w:r>
          </w:p>
          <w:p>
            <w:pPr>
              <w:pStyle w:val="Normal"/>
              <w:jc w:val="center"/>
              <w:rPr>
                <w:sz w:val="20"/>
                <w:szCs w:val="20"/>
              </w:rPr>
            </w:pPr>
            <w:r>
              <w:rPr>
                <w:sz w:val="20"/>
                <w:szCs w:val="20"/>
              </w:rPr>
              <w:t xml:space="preserve">пгт.Октябрьское, </w:t>
            </w:r>
          </w:p>
          <w:p>
            <w:pPr>
              <w:pStyle w:val="Normal"/>
              <w:jc w:val="center"/>
              <w:rPr>
                <w:sz w:val="20"/>
                <w:szCs w:val="20"/>
              </w:rPr>
            </w:pPr>
            <w:r>
              <w:rPr>
                <w:sz w:val="20"/>
                <w:szCs w:val="20"/>
              </w:rPr>
              <w:t>ул.Сенькина, 46б</w:t>
            </w:r>
          </w:p>
        </w:tc>
        <w:tc>
          <w:tcPr>
            <w:tcW w:w="2092"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rPr>
              <w:t>Вероятность безотказной работы системы теплоснабжения Р=0,9;</w:t>
            </w:r>
          </w:p>
          <w:p>
            <w:pPr>
              <w:pStyle w:val="Normal"/>
              <w:jc w:val="center"/>
              <w:rPr>
                <w:sz w:val="20"/>
                <w:szCs w:val="20"/>
              </w:rPr>
            </w:pPr>
            <w:r>
              <w:rPr>
                <w:sz w:val="20"/>
                <w:szCs w:val="20"/>
              </w:rPr>
              <w:t>Коэффициент готовности Кг=0,97</w:t>
            </w:r>
          </w:p>
        </w:tc>
        <w:tc>
          <w:tcPr>
            <w:tcW w:w="1716"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jc w:val="center"/>
              <w:rPr>
                <w:sz w:val="20"/>
                <w:szCs w:val="20"/>
              </w:rPr>
            </w:pPr>
            <w:r>
              <w:rPr>
                <w:sz w:val="20"/>
                <w:szCs w:val="20"/>
              </w:rPr>
              <w:t>Р=0,92085; Кг=0,998612</w:t>
            </w:r>
          </w:p>
        </w:tc>
        <w:tc>
          <w:tcPr>
            <w:tcW w:w="3083"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jc w:val="both"/>
              <w:rPr>
                <w:sz w:val="20"/>
                <w:szCs w:val="20"/>
              </w:rPr>
            </w:pPr>
            <w:r>
              <w:rPr>
                <w:bCs/>
                <w:sz w:val="20"/>
                <w:szCs w:val="20"/>
              </w:rPr>
              <w:t xml:space="preserve">Вероятность безотказной работы системы соответствует нормативным требованиям, </w:t>
            </w:r>
            <w:r>
              <w:rPr>
                <w:sz w:val="20"/>
                <w:szCs w:val="20"/>
              </w:rPr>
              <w:t xml:space="preserve">коэффициент готовности </w:t>
            </w:r>
            <w:r>
              <w:rPr>
                <w:bCs/>
                <w:sz w:val="20"/>
                <w:szCs w:val="20"/>
              </w:rPr>
              <w:t>соответствует нормативным требованиям</w:t>
            </w:r>
          </w:p>
        </w:tc>
      </w:tr>
      <w:tr>
        <w:trPr>
          <w:cantSplit w:val="true"/>
        </w:trPr>
        <w:tc>
          <w:tcPr>
            <w:tcW w:w="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spacing w:before="0" w:after="200"/>
              <w:ind w:left="0" w:hanging="0"/>
              <w:jc w:val="center"/>
              <w:rPr>
                <w:rFonts w:ascii="Times New Roman" w:hAnsi="Times New Roman" w:cs="Times New Roman"/>
                <w:sz w:val="20"/>
                <w:szCs w:val="20"/>
                <w:lang w:eastAsia="ru-RU"/>
              </w:rPr>
            </w:pPr>
            <w:r>
              <w:rPr>
                <w:rFonts w:cs="Times New Roman" w:ascii="Times New Roman" w:hAnsi="Times New Roman"/>
                <w:sz w:val="20"/>
                <w:szCs w:val="20"/>
                <w:lang w:eastAsia="ru-RU"/>
              </w:rPr>
              <w:t>2</w:t>
            </w:r>
          </w:p>
        </w:tc>
        <w:tc>
          <w:tcPr>
            <w:tcW w:w="2246"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jc w:val="center"/>
              <w:rPr>
                <w:sz w:val="20"/>
                <w:szCs w:val="20"/>
              </w:rPr>
            </w:pPr>
            <w:r>
              <w:rPr>
                <w:sz w:val="20"/>
                <w:szCs w:val="20"/>
              </w:rPr>
              <w:t xml:space="preserve">котельная № 2, </w:t>
            </w:r>
          </w:p>
          <w:p>
            <w:pPr>
              <w:pStyle w:val="Normal"/>
              <w:jc w:val="center"/>
              <w:rPr>
                <w:sz w:val="20"/>
                <w:szCs w:val="20"/>
              </w:rPr>
            </w:pPr>
            <w:r>
              <w:rPr>
                <w:sz w:val="20"/>
                <w:szCs w:val="20"/>
              </w:rPr>
              <w:t xml:space="preserve">пгт.Октябрьское, </w:t>
            </w:r>
          </w:p>
          <w:p>
            <w:pPr>
              <w:pStyle w:val="Normal"/>
              <w:jc w:val="center"/>
              <w:rPr>
                <w:sz w:val="20"/>
                <w:szCs w:val="20"/>
              </w:rPr>
            </w:pPr>
            <w:r>
              <w:rPr>
                <w:sz w:val="20"/>
                <w:szCs w:val="20"/>
              </w:rPr>
              <w:t>ул.Пионерская, 17б</w:t>
            </w:r>
          </w:p>
        </w:tc>
        <w:tc>
          <w:tcPr>
            <w:tcW w:w="209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rPr>
            </w:r>
          </w:p>
        </w:tc>
        <w:tc>
          <w:tcPr>
            <w:tcW w:w="1716"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jc w:val="center"/>
              <w:rPr>
                <w:sz w:val="20"/>
                <w:szCs w:val="20"/>
              </w:rPr>
            </w:pPr>
            <w:r>
              <w:rPr>
                <w:sz w:val="20"/>
                <w:szCs w:val="20"/>
              </w:rPr>
              <w:t>Р=0,94121; Кг=0,998233</w:t>
            </w:r>
          </w:p>
        </w:tc>
        <w:tc>
          <w:tcPr>
            <w:tcW w:w="3083"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jc w:val="both"/>
              <w:rPr>
                <w:bCs/>
                <w:sz w:val="20"/>
                <w:szCs w:val="20"/>
              </w:rPr>
            </w:pPr>
            <w:r>
              <w:rPr>
                <w:bCs/>
                <w:sz w:val="20"/>
                <w:szCs w:val="20"/>
              </w:rPr>
              <w:t xml:space="preserve">Вероятность безотказной работы системы соответствует нормативным требованиям, </w:t>
            </w:r>
            <w:r>
              <w:rPr>
                <w:sz w:val="20"/>
                <w:szCs w:val="20"/>
              </w:rPr>
              <w:t xml:space="preserve">коэффициент готовности </w:t>
            </w:r>
            <w:r>
              <w:rPr>
                <w:bCs/>
                <w:sz w:val="20"/>
                <w:szCs w:val="20"/>
              </w:rPr>
              <w:t>соответствует нормативным требованиям</w:t>
            </w:r>
          </w:p>
        </w:tc>
      </w:tr>
      <w:tr>
        <w:trPr>
          <w:cantSplit w:val="true"/>
        </w:trPr>
        <w:tc>
          <w:tcPr>
            <w:tcW w:w="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spacing w:before="0" w:after="200"/>
              <w:ind w:left="0" w:hanging="0"/>
              <w:jc w:val="center"/>
              <w:rPr>
                <w:rFonts w:ascii="Times New Roman" w:hAnsi="Times New Roman" w:cs="Times New Roman"/>
                <w:sz w:val="20"/>
                <w:szCs w:val="20"/>
                <w:lang w:eastAsia="ru-RU"/>
              </w:rPr>
            </w:pPr>
            <w:r>
              <w:rPr>
                <w:rFonts w:cs="Times New Roman" w:ascii="Times New Roman" w:hAnsi="Times New Roman"/>
                <w:sz w:val="20"/>
                <w:szCs w:val="20"/>
                <w:lang w:eastAsia="ru-RU"/>
              </w:rPr>
              <w:t>3</w:t>
            </w:r>
          </w:p>
        </w:tc>
        <w:tc>
          <w:tcPr>
            <w:tcW w:w="2246"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jc w:val="center"/>
              <w:rPr>
                <w:sz w:val="20"/>
                <w:szCs w:val="20"/>
              </w:rPr>
            </w:pPr>
            <w:r>
              <w:rPr>
                <w:sz w:val="20"/>
                <w:szCs w:val="20"/>
              </w:rPr>
              <w:t>котельная № 3,</w:t>
            </w:r>
          </w:p>
          <w:p>
            <w:pPr>
              <w:pStyle w:val="Normal"/>
              <w:jc w:val="center"/>
              <w:rPr>
                <w:sz w:val="20"/>
                <w:szCs w:val="20"/>
              </w:rPr>
            </w:pPr>
            <w:r>
              <w:rPr>
                <w:sz w:val="20"/>
                <w:szCs w:val="20"/>
              </w:rPr>
              <w:t xml:space="preserve"> </w:t>
            </w:r>
            <w:r>
              <w:rPr>
                <w:sz w:val="20"/>
                <w:szCs w:val="20"/>
              </w:rPr>
              <w:t xml:space="preserve">пгт.Октябрьское, </w:t>
            </w:r>
          </w:p>
          <w:p>
            <w:pPr>
              <w:pStyle w:val="Normal"/>
              <w:jc w:val="center"/>
              <w:rPr>
                <w:sz w:val="20"/>
                <w:szCs w:val="20"/>
              </w:rPr>
            </w:pPr>
            <w:r>
              <w:rPr>
                <w:sz w:val="20"/>
                <w:szCs w:val="20"/>
              </w:rPr>
              <w:t>ул.Чапаева, 6б</w:t>
            </w:r>
          </w:p>
        </w:tc>
        <w:tc>
          <w:tcPr>
            <w:tcW w:w="209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rPr>
            </w:r>
          </w:p>
        </w:tc>
        <w:tc>
          <w:tcPr>
            <w:tcW w:w="1716"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jc w:val="center"/>
              <w:rPr>
                <w:sz w:val="20"/>
                <w:szCs w:val="20"/>
              </w:rPr>
            </w:pPr>
            <w:r>
              <w:rPr>
                <w:sz w:val="20"/>
                <w:szCs w:val="20"/>
              </w:rPr>
              <w:t>Р=0,92164; Кг=0,998251</w:t>
            </w:r>
          </w:p>
        </w:tc>
        <w:tc>
          <w:tcPr>
            <w:tcW w:w="3083"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jc w:val="both"/>
              <w:rPr>
                <w:bCs/>
                <w:sz w:val="20"/>
                <w:szCs w:val="20"/>
              </w:rPr>
            </w:pPr>
            <w:r>
              <w:rPr>
                <w:bCs/>
                <w:sz w:val="20"/>
                <w:szCs w:val="20"/>
              </w:rPr>
              <w:t xml:space="preserve">Вероятность безотказной работы системы соответствует нормативным требованиям, </w:t>
            </w:r>
            <w:r>
              <w:rPr>
                <w:sz w:val="20"/>
                <w:szCs w:val="20"/>
              </w:rPr>
              <w:t xml:space="preserve">коэффициент готовности </w:t>
            </w:r>
            <w:r>
              <w:rPr>
                <w:bCs/>
                <w:sz w:val="20"/>
                <w:szCs w:val="20"/>
              </w:rPr>
              <w:t>соответствует нормативным требованиям</w:t>
            </w:r>
          </w:p>
        </w:tc>
      </w:tr>
      <w:tr>
        <w:trPr>
          <w:cantSplit w:val="true"/>
        </w:trPr>
        <w:tc>
          <w:tcPr>
            <w:tcW w:w="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spacing w:before="0" w:after="200"/>
              <w:ind w:left="0" w:hanging="0"/>
              <w:jc w:val="center"/>
              <w:rPr>
                <w:rFonts w:ascii="Times New Roman" w:hAnsi="Times New Roman" w:cs="Times New Roman"/>
                <w:sz w:val="20"/>
                <w:szCs w:val="20"/>
                <w:lang w:eastAsia="ru-RU"/>
              </w:rPr>
            </w:pPr>
            <w:r>
              <w:rPr>
                <w:rFonts w:cs="Times New Roman" w:ascii="Times New Roman" w:hAnsi="Times New Roman"/>
                <w:sz w:val="20"/>
                <w:szCs w:val="20"/>
                <w:lang w:eastAsia="ru-RU"/>
              </w:rPr>
              <w:t>4</w:t>
            </w:r>
          </w:p>
        </w:tc>
        <w:tc>
          <w:tcPr>
            <w:tcW w:w="2246"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jc w:val="center"/>
              <w:rPr>
                <w:sz w:val="20"/>
                <w:szCs w:val="20"/>
              </w:rPr>
            </w:pPr>
            <w:r>
              <w:rPr>
                <w:sz w:val="20"/>
                <w:szCs w:val="20"/>
              </w:rPr>
              <w:t xml:space="preserve">котельная № 6, </w:t>
            </w:r>
          </w:p>
          <w:p>
            <w:pPr>
              <w:pStyle w:val="Normal"/>
              <w:jc w:val="center"/>
              <w:rPr>
                <w:sz w:val="20"/>
                <w:szCs w:val="20"/>
              </w:rPr>
            </w:pPr>
            <w:r>
              <w:rPr>
                <w:sz w:val="20"/>
                <w:szCs w:val="20"/>
              </w:rPr>
              <w:t xml:space="preserve">пгт.Октябрьское, </w:t>
            </w:r>
          </w:p>
          <w:p>
            <w:pPr>
              <w:pStyle w:val="Normal"/>
              <w:jc w:val="center"/>
              <w:rPr>
                <w:sz w:val="20"/>
                <w:szCs w:val="20"/>
              </w:rPr>
            </w:pPr>
            <w:r>
              <w:rPr>
                <w:sz w:val="20"/>
                <w:szCs w:val="20"/>
              </w:rPr>
              <w:t>ул.Дзержинского, 2б</w:t>
            </w:r>
          </w:p>
        </w:tc>
        <w:tc>
          <w:tcPr>
            <w:tcW w:w="209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rPr>
            </w:r>
          </w:p>
        </w:tc>
        <w:tc>
          <w:tcPr>
            <w:tcW w:w="1716"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jc w:val="center"/>
              <w:rPr>
                <w:sz w:val="20"/>
                <w:szCs w:val="20"/>
              </w:rPr>
            </w:pPr>
            <w:r>
              <w:rPr>
                <w:sz w:val="20"/>
                <w:szCs w:val="20"/>
              </w:rPr>
              <w:t>Р=0,96875; Кг=0,999262</w:t>
            </w:r>
          </w:p>
        </w:tc>
        <w:tc>
          <w:tcPr>
            <w:tcW w:w="3083"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jc w:val="both"/>
              <w:rPr>
                <w:bCs/>
                <w:sz w:val="20"/>
                <w:szCs w:val="20"/>
              </w:rPr>
            </w:pPr>
            <w:r>
              <w:rPr>
                <w:bCs/>
                <w:sz w:val="20"/>
                <w:szCs w:val="20"/>
              </w:rPr>
              <w:t xml:space="preserve">Вероятность безотказной работы системы соответствует нормативным требованиям, </w:t>
            </w:r>
            <w:r>
              <w:rPr>
                <w:sz w:val="20"/>
                <w:szCs w:val="20"/>
              </w:rPr>
              <w:t xml:space="preserve">коэффициент готовности </w:t>
            </w:r>
            <w:r>
              <w:rPr>
                <w:bCs/>
                <w:sz w:val="20"/>
                <w:szCs w:val="20"/>
              </w:rPr>
              <w:t>соответствует нормативным требованиям</w:t>
            </w:r>
          </w:p>
        </w:tc>
      </w:tr>
      <w:tr>
        <w:trPr>
          <w:cantSplit w:val="true"/>
        </w:trPr>
        <w:tc>
          <w:tcPr>
            <w:tcW w:w="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spacing w:before="0" w:after="200"/>
              <w:ind w:left="0" w:hanging="0"/>
              <w:jc w:val="center"/>
              <w:rPr>
                <w:rFonts w:ascii="Times New Roman" w:hAnsi="Times New Roman" w:cs="Times New Roman"/>
                <w:sz w:val="20"/>
                <w:szCs w:val="20"/>
                <w:lang w:eastAsia="ru-RU"/>
              </w:rPr>
            </w:pPr>
            <w:r>
              <w:rPr>
                <w:rFonts w:cs="Times New Roman" w:ascii="Times New Roman" w:hAnsi="Times New Roman"/>
                <w:sz w:val="20"/>
                <w:szCs w:val="20"/>
                <w:lang w:eastAsia="ru-RU"/>
              </w:rPr>
              <w:t>5</w:t>
            </w:r>
          </w:p>
        </w:tc>
        <w:tc>
          <w:tcPr>
            <w:tcW w:w="2246"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jc w:val="center"/>
              <w:rPr>
                <w:sz w:val="20"/>
                <w:szCs w:val="20"/>
              </w:rPr>
            </w:pPr>
            <w:r>
              <w:rPr>
                <w:sz w:val="20"/>
                <w:szCs w:val="20"/>
              </w:rPr>
              <w:t>котельная № 7,</w:t>
            </w:r>
          </w:p>
          <w:p>
            <w:pPr>
              <w:pStyle w:val="Normal"/>
              <w:jc w:val="center"/>
              <w:rPr>
                <w:sz w:val="20"/>
                <w:szCs w:val="20"/>
              </w:rPr>
            </w:pPr>
            <w:r>
              <w:rPr>
                <w:sz w:val="20"/>
                <w:szCs w:val="20"/>
              </w:rPr>
              <w:t xml:space="preserve">пгт.Октябрьское, </w:t>
            </w:r>
          </w:p>
          <w:p>
            <w:pPr>
              <w:pStyle w:val="Normal"/>
              <w:jc w:val="center"/>
              <w:rPr>
                <w:sz w:val="20"/>
                <w:szCs w:val="20"/>
              </w:rPr>
            </w:pPr>
            <w:r>
              <w:rPr>
                <w:sz w:val="20"/>
                <w:szCs w:val="20"/>
              </w:rPr>
              <w:t>ул.Медицинская, 3Б</w:t>
            </w:r>
          </w:p>
        </w:tc>
        <w:tc>
          <w:tcPr>
            <w:tcW w:w="209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rPr>
            </w:r>
          </w:p>
        </w:tc>
        <w:tc>
          <w:tcPr>
            <w:tcW w:w="1716"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jc w:val="center"/>
              <w:rPr>
                <w:sz w:val="20"/>
                <w:szCs w:val="20"/>
              </w:rPr>
            </w:pPr>
            <w:r>
              <w:rPr>
                <w:sz w:val="20"/>
                <w:szCs w:val="20"/>
              </w:rPr>
              <w:t>Р=0,92699; Кг=0,999059</w:t>
            </w:r>
          </w:p>
        </w:tc>
        <w:tc>
          <w:tcPr>
            <w:tcW w:w="3083"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jc w:val="both"/>
              <w:rPr>
                <w:bCs/>
                <w:sz w:val="20"/>
                <w:szCs w:val="20"/>
              </w:rPr>
            </w:pPr>
            <w:r>
              <w:rPr>
                <w:bCs/>
                <w:sz w:val="20"/>
                <w:szCs w:val="20"/>
              </w:rPr>
              <w:t xml:space="preserve">Вероятность безотказной работы системы соответствует нормативным требованиям, </w:t>
            </w:r>
            <w:r>
              <w:rPr>
                <w:sz w:val="20"/>
                <w:szCs w:val="20"/>
              </w:rPr>
              <w:t xml:space="preserve">коэффициент готовности </w:t>
            </w:r>
            <w:r>
              <w:rPr>
                <w:bCs/>
                <w:sz w:val="20"/>
                <w:szCs w:val="20"/>
              </w:rPr>
              <w:t>соответствует нормативным требованиям</w:t>
            </w:r>
          </w:p>
        </w:tc>
      </w:tr>
      <w:tr>
        <w:trPr>
          <w:cantSplit w:val="true"/>
        </w:trPr>
        <w:tc>
          <w:tcPr>
            <w:tcW w:w="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spacing w:before="0" w:after="200"/>
              <w:ind w:left="0" w:hanging="0"/>
              <w:jc w:val="center"/>
              <w:rPr>
                <w:rFonts w:ascii="Times New Roman" w:hAnsi="Times New Roman" w:cs="Times New Roman"/>
                <w:sz w:val="20"/>
                <w:szCs w:val="20"/>
                <w:lang w:eastAsia="ru-RU"/>
              </w:rPr>
            </w:pPr>
            <w:r>
              <w:rPr>
                <w:rFonts w:cs="Times New Roman" w:ascii="Times New Roman" w:hAnsi="Times New Roman"/>
                <w:sz w:val="20"/>
                <w:szCs w:val="20"/>
                <w:lang w:eastAsia="ru-RU"/>
              </w:rPr>
              <w:t>6</w:t>
            </w:r>
          </w:p>
        </w:tc>
        <w:tc>
          <w:tcPr>
            <w:tcW w:w="2246"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jc w:val="center"/>
              <w:rPr>
                <w:sz w:val="20"/>
                <w:szCs w:val="20"/>
              </w:rPr>
            </w:pPr>
            <w:r>
              <w:rPr>
                <w:sz w:val="20"/>
                <w:szCs w:val="20"/>
              </w:rPr>
              <w:t xml:space="preserve">котельная № 12, </w:t>
            </w:r>
          </w:p>
          <w:p>
            <w:pPr>
              <w:pStyle w:val="Normal"/>
              <w:jc w:val="center"/>
              <w:rPr>
                <w:sz w:val="20"/>
                <w:szCs w:val="20"/>
              </w:rPr>
            </w:pPr>
            <w:r>
              <w:rPr>
                <w:sz w:val="20"/>
                <w:szCs w:val="20"/>
              </w:rPr>
              <w:t xml:space="preserve">пгт.Октябрьское, </w:t>
            </w:r>
          </w:p>
          <w:p>
            <w:pPr>
              <w:pStyle w:val="Normal"/>
              <w:jc w:val="center"/>
              <w:rPr>
                <w:sz w:val="20"/>
                <w:szCs w:val="20"/>
              </w:rPr>
            </w:pPr>
            <w:r>
              <w:rPr>
                <w:sz w:val="20"/>
                <w:szCs w:val="20"/>
              </w:rPr>
              <w:t>ул.Медицинская, 3к</w:t>
            </w:r>
          </w:p>
        </w:tc>
        <w:tc>
          <w:tcPr>
            <w:tcW w:w="209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rPr>
            </w:r>
          </w:p>
        </w:tc>
        <w:tc>
          <w:tcPr>
            <w:tcW w:w="1716"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jc w:val="center"/>
              <w:rPr>
                <w:sz w:val="20"/>
                <w:szCs w:val="20"/>
              </w:rPr>
            </w:pPr>
            <w:r>
              <w:rPr>
                <w:sz w:val="20"/>
                <w:szCs w:val="20"/>
              </w:rPr>
              <w:t>Р=0,93696; Кг=0,998767</w:t>
            </w:r>
          </w:p>
        </w:tc>
        <w:tc>
          <w:tcPr>
            <w:tcW w:w="3083"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jc w:val="both"/>
              <w:rPr>
                <w:bCs/>
                <w:sz w:val="20"/>
                <w:szCs w:val="20"/>
              </w:rPr>
            </w:pPr>
            <w:r>
              <w:rPr>
                <w:bCs/>
                <w:sz w:val="20"/>
                <w:szCs w:val="20"/>
              </w:rPr>
              <w:t xml:space="preserve">Вероятность безотказной работы системы соответствует нормативным требованиям, </w:t>
            </w:r>
            <w:r>
              <w:rPr>
                <w:sz w:val="20"/>
                <w:szCs w:val="20"/>
              </w:rPr>
              <w:t xml:space="preserve">коэффициент готовности </w:t>
            </w:r>
            <w:r>
              <w:rPr>
                <w:bCs/>
                <w:sz w:val="20"/>
                <w:szCs w:val="20"/>
              </w:rPr>
              <w:t>соответствует нормативным требованиям</w:t>
            </w:r>
          </w:p>
        </w:tc>
      </w:tr>
      <w:tr>
        <w:trPr>
          <w:cantSplit w:val="true"/>
        </w:trPr>
        <w:tc>
          <w:tcPr>
            <w:tcW w:w="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spacing w:before="0" w:after="200"/>
              <w:ind w:left="0" w:hanging="0"/>
              <w:jc w:val="center"/>
              <w:rPr>
                <w:rFonts w:ascii="Times New Roman" w:hAnsi="Times New Roman" w:cs="Times New Roman"/>
                <w:sz w:val="20"/>
                <w:szCs w:val="20"/>
                <w:lang w:eastAsia="ru-RU"/>
              </w:rPr>
            </w:pPr>
            <w:r>
              <w:rPr>
                <w:rFonts w:cs="Times New Roman" w:ascii="Times New Roman" w:hAnsi="Times New Roman"/>
                <w:sz w:val="20"/>
                <w:szCs w:val="20"/>
                <w:lang w:eastAsia="ru-RU"/>
              </w:rPr>
              <w:t>7</w:t>
            </w:r>
          </w:p>
        </w:tc>
        <w:tc>
          <w:tcPr>
            <w:tcW w:w="2246"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jc w:val="center"/>
              <w:rPr>
                <w:sz w:val="20"/>
                <w:szCs w:val="20"/>
              </w:rPr>
            </w:pPr>
            <w:r>
              <w:rPr>
                <w:sz w:val="20"/>
                <w:szCs w:val="20"/>
              </w:rPr>
              <w:t xml:space="preserve">Котельная №8, </w:t>
            </w:r>
          </w:p>
          <w:p>
            <w:pPr>
              <w:pStyle w:val="Normal"/>
              <w:jc w:val="center"/>
              <w:rPr>
                <w:sz w:val="20"/>
                <w:szCs w:val="20"/>
              </w:rPr>
            </w:pPr>
            <w:r>
              <w:rPr>
                <w:sz w:val="20"/>
                <w:szCs w:val="20"/>
              </w:rPr>
              <w:t xml:space="preserve">пгт. Октябрьское, </w:t>
            </w:r>
          </w:p>
          <w:p>
            <w:pPr>
              <w:pStyle w:val="Normal"/>
              <w:jc w:val="center"/>
              <w:rPr>
                <w:sz w:val="20"/>
                <w:szCs w:val="20"/>
              </w:rPr>
            </w:pPr>
            <w:r>
              <w:rPr>
                <w:sz w:val="20"/>
                <w:szCs w:val="20"/>
              </w:rPr>
              <w:t>ул. 50 лет, 38А</w:t>
            </w:r>
          </w:p>
        </w:tc>
        <w:tc>
          <w:tcPr>
            <w:tcW w:w="209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rPr>
            </w:r>
          </w:p>
        </w:tc>
        <w:tc>
          <w:tcPr>
            <w:tcW w:w="1716"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jc w:val="center"/>
              <w:rPr>
                <w:sz w:val="20"/>
                <w:szCs w:val="20"/>
              </w:rPr>
            </w:pPr>
            <w:r>
              <w:rPr>
                <w:sz w:val="20"/>
                <w:szCs w:val="20"/>
              </w:rPr>
              <w:t>Р=0,99298; Кг=0,999876</w:t>
            </w:r>
          </w:p>
        </w:tc>
        <w:tc>
          <w:tcPr>
            <w:tcW w:w="3083"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jc w:val="both"/>
              <w:rPr>
                <w:bCs/>
                <w:sz w:val="20"/>
                <w:szCs w:val="20"/>
              </w:rPr>
            </w:pPr>
            <w:r>
              <w:rPr>
                <w:bCs/>
                <w:sz w:val="20"/>
                <w:szCs w:val="20"/>
              </w:rPr>
              <w:t xml:space="preserve">Вероятность безотказной работы системы соответствует нормативным требованиям, </w:t>
            </w:r>
            <w:r>
              <w:rPr>
                <w:sz w:val="20"/>
                <w:szCs w:val="20"/>
              </w:rPr>
              <w:t xml:space="preserve">коэффициент готовности </w:t>
            </w:r>
            <w:r>
              <w:rPr>
                <w:bCs/>
                <w:sz w:val="20"/>
                <w:szCs w:val="20"/>
              </w:rPr>
              <w:t>соответствует нормативным требованиям</w:t>
            </w:r>
          </w:p>
        </w:tc>
      </w:tr>
    </w:tbl>
    <w:p>
      <w:pPr>
        <w:pStyle w:val="Normal"/>
        <w:rPr>
          <w:rFonts w:eastAsia="Calibri"/>
          <w:iCs/>
          <w:szCs w:val="18"/>
          <w:lang w:eastAsia="en-US"/>
        </w:rPr>
      </w:pPr>
      <w:r>
        <w:rPr>
          <w:rFonts w:eastAsia="Calibri"/>
          <w:iCs/>
          <w:szCs w:val="18"/>
          <w:lang w:eastAsia="en-US"/>
        </w:rPr>
      </w:r>
    </w:p>
    <w:p>
      <w:pPr>
        <w:pStyle w:val="Normal"/>
        <w:spacing w:before="0" w:after="0"/>
        <w:ind w:firstLine="709"/>
        <w:contextualSpacing/>
        <w:jc w:val="both"/>
        <w:rPr>
          <w:szCs w:val="28"/>
          <w:lang w:eastAsia="ru-RU"/>
        </w:rPr>
      </w:pPr>
      <w:r>
        <w:rPr>
          <w:szCs w:val="28"/>
          <w:lang w:eastAsia="ru-RU"/>
        </w:rPr>
        <w:t>Вероятность безотказной работы и коэффициент готовности системы теплоснабжения поселения соответствует нормативным требованиям. Для обеспечения надежного теплоснабжения потребителей рекомендуется заменить изношенные участки тепловых сетей, а также своевременно проводить текущие и плановые ремонты объектов системы теплоснабжения.</w:t>
      </w:r>
      <w:bookmarkStart w:id="1230" w:name="_Toc158278770"/>
      <w:bookmarkStart w:id="1231" w:name="_Toc160186175"/>
      <w:bookmarkStart w:id="1232" w:name="_Toc181340517"/>
      <w:bookmarkStart w:id="1233" w:name="_Toc160455170"/>
      <w:bookmarkStart w:id="1234" w:name="_Toc160530053"/>
    </w:p>
    <w:p>
      <w:pPr>
        <w:pStyle w:val="Normal"/>
        <w:spacing w:before="0" w:after="0"/>
        <w:ind w:firstLine="709"/>
        <w:contextualSpacing/>
        <w:jc w:val="both"/>
        <w:rPr>
          <w:szCs w:val="28"/>
          <w:lang w:eastAsia="ru-RU"/>
        </w:rPr>
      </w:pPr>
      <w:r>
        <w:rPr>
          <w:szCs w:val="28"/>
          <w:lang w:eastAsia="ru-RU"/>
        </w:rPr>
      </w:r>
    </w:p>
    <w:p>
      <w:pPr>
        <w:pStyle w:val="Normal"/>
        <w:spacing w:before="0" w:after="0"/>
        <w:ind w:firstLine="709"/>
        <w:contextualSpacing/>
        <w:jc w:val="both"/>
        <w:rPr>
          <w:szCs w:val="28"/>
          <w:lang w:eastAsia="ru-RU"/>
        </w:rPr>
      </w:pPr>
      <w:r>
        <w:rPr>
          <w:rFonts w:eastAsia="Calibri Light" w:cs="Calibri Light"/>
          <w:b/>
          <w:szCs w:val="26"/>
          <w:lang w:eastAsia="en-US"/>
        </w:rPr>
        <w:t>11.2. Обоснование метода и результатов обработки данных по восстановлениям отказавших участков тепловых сетей (участков тепловых сетей, на которых произошли аварийные ситуации), среднего времени восстановления отказавших участков тепловых сетей в каждой системе теплоснабжения</w:t>
      </w:r>
      <w:bookmarkEnd w:id="1230"/>
      <w:bookmarkEnd w:id="1231"/>
      <w:bookmarkEnd w:id="1232"/>
      <w:bookmarkEnd w:id="1233"/>
      <w:bookmarkEnd w:id="1234"/>
    </w:p>
    <w:p>
      <w:pPr>
        <w:pStyle w:val="Normal"/>
        <w:spacing w:before="0" w:after="0"/>
        <w:ind w:firstLine="709"/>
        <w:contextualSpacing/>
        <w:jc w:val="both"/>
        <w:rPr>
          <w:szCs w:val="28"/>
          <w:lang w:eastAsia="ru-RU"/>
        </w:rPr>
      </w:pPr>
      <w:r>
        <w:rPr>
          <w:rFonts w:eastAsia="Microsoft YaHei"/>
          <w:szCs w:val="28"/>
          <w:lang w:eastAsia="ru-RU"/>
        </w:rPr>
        <w:t>Отказ теплоснабжения потребителя – событие, приводящее к падению температуры в отапливаемых помещениях жилых и общественных зданий ниже плюс 12°С, в промышленных зданиях ниже плюс 8°С, в соответствии со СП 124.13330.2012 «Свод правил. Тепловые сети. Актуализированная редакция СНиП 41-02-2003». С учетом данных о теплоаккумулирующей способности объектов теплопотребления (зданий) определяется время, за которое температура внутри отапливаемого помещения снизится до температуры, установленной в критериях отказа теплоснабжения.</w:t>
      </w:r>
    </w:p>
    <w:p>
      <w:pPr>
        <w:pStyle w:val="Normal"/>
        <w:spacing w:before="0" w:after="0"/>
        <w:ind w:firstLine="709"/>
        <w:contextualSpacing/>
        <w:jc w:val="both"/>
        <w:rPr>
          <w:szCs w:val="28"/>
          <w:lang w:eastAsia="ru-RU"/>
        </w:rPr>
      </w:pPr>
      <w:r>
        <w:rPr>
          <w:rFonts w:eastAsia="Microsoft YaHei"/>
          <w:szCs w:val="28"/>
          <w:lang w:eastAsia="ru-RU"/>
        </w:rPr>
        <w:t>Период времени снижения температуры при внезапном прекращении теплоснабжения до критического значения (плюс 12°С) рассчитывается по формуле:</w:t>
      </w:r>
    </w:p>
    <w:p>
      <w:pPr>
        <w:pStyle w:val="Normal"/>
        <w:tabs>
          <w:tab w:val="clear" w:pos="408"/>
          <w:tab w:val="left" w:pos="993" w:leader="none"/>
        </w:tabs>
        <w:ind w:firstLine="709"/>
        <w:jc w:val="center"/>
        <w:rPr>
          <w:rFonts w:eastAsia="Calibri"/>
          <w:szCs w:val="22"/>
          <w:lang w:val="en-US" w:eastAsia="en-US"/>
        </w:rPr>
      </w:pPr>
      <w:r>
        <w:rPr/>
      </w:r>
      <m:oMath xmlns:m="http://schemas.openxmlformats.org/officeDocument/2006/math">
        <m:r>
          <w:rPr>
            <w:rFonts w:ascii="Cambria Math" w:hAnsi="Cambria Math"/>
          </w:rPr>
          <m:t xml:space="preserve">z</m:t>
        </m:r>
        <m:r>
          <w:rPr>
            <w:rFonts w:ascii="Cambria Math" w:hAnsi="Cambria Math"/>
          </w:rPr>
          <m:t xml:space="preserve">=</m:t>
        </m:r>
        <m:r>
          <w:rPr>
            <w:rFonts w:ascii="Cambria Math" w:hAnsi="Cambria Math"/>
          </w:rPr>
          <m:t xml:space="preserve">β</m:t>
        </m:r>
        <m:r>
          <w:rPr>
            <w:rFonts w:ascii="Cambria Math" w:hAnsi="Cambria Math"/>
          </w:rPr>
          <m:t xml:space="preserve">×</m:t>
        </m:r>
        <m:r>
          <m:rPr>
            <m:lit/>
            <m:nor/>
          </m:rPr>
          <w:rPr>
            <w:rFonts w:ascii="Cambria Math" w:hAnsi="Cambria Math"/>
          </w:rPr>
          <m:t xml:space="preserve">ln</m:t>
        </m:r>
        <m:f>
          <m:num>
            <m:sSub>
              <m:e>
                <m:r>
                  <w:rPr>
                    <w:rFonts w:ascii="Cambria Math" w:hAnsi="Cambria Math"/>
                  </w:rPr>
                  <m:t xml:space="preserve">t</m:t>
                </m:r>
              </m:e>
              <m:sub>
                <m:r>
                  <w:rPr>
                    <w:rFonts w:ascii="Cambria Math" w:hAnsi="Cambria Math"/>
                  </w:rPr>
                  <m:t xml:space="preserve">в</m:t>
                </m:r>
              </m:sub>
            </m:sSub>
            <m:r>
              <w:rPr>
                <w:rFonts w:ascii="Cambria Math" w:hAnsi="Cambria Math"/>
              </w:rPr>
              <m:t xml:space="preserve">−</m:t>
            </m:r>
            <m:sSub>
              <m:e>
                <m:r>
                  <w:rPr>
                    <w:rFonts w:ascii="Cambria Math" w:hAnsi="Cambria Math"/>
                  </w:rPr>
                  <m:t xml:space="preserve">t</m:t>
                </m:r>
              </m:e>
              <m:sub>
                <m:r>
                  <w:rPr>
                    <w:rFonts w:ascii="Cambria Math" w:hAnsi="Cambria Math"/>
                  </w:rPr>
                  <m:t xml:space="preserve">н</m:t>
                </m:r>
              </m:sub>
            </m:sSub>
          </m:num>
          <m:den>
            <m:sSub>
              <m:e>
                <m:r>
                  <w:rPr>
                    <w:rFonts w:ascii="Cambria Math" w:hAnsi="Cambria Math"/>
                  </w:rPr>
                  <m:t xml:space="preserve">t</m:t>
                </m:r>
              </m:e>
              <m:sub>
                <m:r>
                  <w:rPr>
                    <w:rFonts w:ascii="Cambria Math" w:hAnsi="Cambria Math"/>
                  </w:rPr>
                  <m:t xml:space="preserve">в</m:t>
                </m:r>
                <m:r>
                  <m:rPr>
                    <m:lit/>
                    <m:nor/>
                  </m:rPr>
                  <w:rPr>
                    <w:rFonts w:ascii="Cambria Math" w:hAnsi="Cambria Math"/>
                  </w:rPr>
                  <m:t xml:space="preserve">.</m:t>
                </m:r>
                <m:r>
                  <w:rPr>
                    <w:rFonts w:ascii="Cambria Math" w:hAnsi="Cambria Math"/>
                  </w:rPr>
                  <m:t xml:space="preserve">а</m:t>
                </m:r>
              </m:sub>
            </m:sSub>
            <m:r>
              <w:rPr>
                <w:rFonts w:ascii="Cambria Math" w:hAnsi="Cambria Math"/>
              </w:rPr>
              <m:t xml:space="preserve">−</m:t>
            </m:r>
            <m:sSub>
              <m:e>
                <m:r>
                  <w:rPr>
                    <w:rFonts w:ascii="Cambria Math" w:hAnsi="Cambria Math"/>
                  </w:rPr>
                  <m:t xml:space="preserve">t</m:t>
                </m:r>
              </m:e>
              <m:sub>
                <m:r>
                  <w:rPr>
                    <w:rFonts w:ascii="Cambria Math" w:hAnsi="Cambria Math"/>
                  </w:rPr>
                  <m:t xml:space="preserve">н</m:t>
                </m:r>
              </m:sub>
            </m:sSub>
          </m:den>
        </m:f>
      </m:oMath>
      <w:r>
        <w:rPr>
          <w:rFonts w:eastAsia="Calibri" w:cs="Calibri"/>
          <w:szCs w:val="22"/>
          <w:lang w:val="en-US" w:eastAsia="en-US"/>
        </w:rPr>
        <w:t>,</w:t>
      </w:r>
    </w:p>
    <w:p>
      <w:pPr>
        <w:pStyle w:val="Normal"/>
        <w:tabs>
          <w:tab w:val="clear" w:pos="408"/>
          <w:tab w:val="left" w:pos="993" w:leader="none"/>
        </w:tabs>
        <w:ind w:firstLine="709"/>
        <w:jc w:val="both"/>
        <w:rPr>
          <w:rFonts w:eastAsia="Calibri"/>
          <w:szCs w:val="22"/>
          <w:lang w:eastAsia="en-US"/>
        </w:rPr>
      </w:pPr>
      <w:r>
        <w:rPr>
          <w:rFonts w:eastAsia="Calibri" w:cs="Calibri"/>
          <w:szCs w:val="22"/>
          <w:lang w:eastAsia="en-US"/>
        </w:rPr>
        <w:t xml:space="preserve">где </w:t>
      </w:r>
      <w:r>
        <w:rPr/>
      </w:r>
      <m:oMath xmlns:m="http://schemas.openxmlformats.org/officeDocument/2006/math">
        <m:sSub>
          <m:e>
            <m:r>
              <w:rPr>
                <w:rFonts w:ascii="Cambria Math" w:hAnsi="Cambria Math"/>
              </w:rPr>
              <m:t xml:space="preserve">t</m:t>
            </m:r>
          </m:e>
          <m:sub>
            <m:r>
              <w:rPr>
                <w:rFonts w:ascii="Cambria Math" w:hAnsi="Cambria Math"/>
              </w:rPr>
              <m:t xml:space="preserve">в</m:t>
            </m:r>
            <m:r>
              <m:rPr>
                <m:lit/>
                <m:nor/>
              </m:rPr>
              <w:rPr>
                <w:rFonts w:ascii="Cambria Math" w:hAnsi="Cambria Math"/>
              </w:rPr>
              <m:t xml:space="preserve">.</m:t>
            </m:r>
            <m:r>
              <w:rPr>
                <w:rFonts w:ascii="Cambria Math" w:hAnsi="Cambria Math"/>
              </w:rPr>
              <m:t xml:space="preserve">а</m:t>
            </m:r>
          </m:sub>
        </m:sSub>
      </m:oMath>
      <w:r>
        <w:rPr>
          <w:rFonts w:eastAsia="Calibri" w:cs="Calibri"/>
          <w:szCs w:val="22"/>
          <w:lang w:eastAsia="en-US"/>
        </w:rPr>
        <w:t xml:space="preserve"> - внутренняя температура, которая устанавливается критерием отказа теплоснабжения (</w:t>
      </w:r>
      <w:r>
        <w:rPr>
          <w:rFonts w:eastAsia="Microsoft YaHei" w:cs="Calibri"/>
          <w:spacing w:val="-5"/>
          <w:szCs w:val="22"/>
          <w:lang w:eastAsia="en-US"/>
        </w:rPr>
        <w:t>плюс 12°С</w:t>
      </w:r>
      <w:r>
        <w:rPr>
          <w:rFonts w:eastAsia="Calibri" w:cs="Calibri"/>
          <w:szCs w:val="22"/>
          <w:lang w:eastAsia="en-US"/>
        </w:rPr>
        <w:t>);</w:t>
      </w:r>
    </w:p>
    <w:p>
      <w:pPr>
        <w:pStyle w:val="Normal"/>
        <w:tabs>
          <w:tab w:val="clear" w:pos="408"/>
          <w:tab w:val="left" w:pos="993" w:leader="none"/>
        </w:tabs>
        <w:ind w:firstLine="709"/>
        <w:jc w:val="both"/>
        <w:rPr>
          <w:rFonts w:eastAsia="Calibri"/>
          <w:szCs w:val="22"/>
          <w:lang w:eastAsia="en-US"/>
        </w:rPr>
      </w:pPr>
      <w:r>
        <w:rPr/>
      </w:r>
      <m:oMath xmlns:m="http://schemas.openxmlformats.org/officeDocument/2006/math">
        <m:sSub>
          <m:e>
            <m:r>
              <w:rPr>
                <w:rFonts w:ascii="Cambria Math" w:hAnsi="Cambria Math"/>
              </w:rPr>
              <m:t xml:space="preserve">t</m:t>
            </m:r>
          </m:e>
          <m:sub>
            <m:r>
              <w:rPr>
                <w:rFonts w:ascii="Cambria Math" w:hAnsi="Cambria Math"/>
              </w:rPr>
              <m:t xml:space="preserve">в</m:t>
            </m:r>
          </m:sub>
        </m:sSub>
        <m:r>
          <w:rPr>
            <w:rFonts w:ascii="Cambria Math" w:hAnsi="Cambria Math"/>
          </w:rPr>
          <m:t xml:space="preserve">=</m:t>
        </m:r>
        <m:sSup>
          <m:e>
            <m:r>
              <m:rPr>
                <m:lit/>
                <m:nor/>
              </m:rPr>
              <w:rPr>
                <w:rFonts w:ascii="Cambria Math" w:hAnsi="Cambria Math"/>
              </w:rPr>
              <m:t xml:space="preserve">20</m:t>
            </m:r>
          </m:e>
          <m:sup>
            <m:r>
              <w:rPr>
                <w:rFonts w:ascii="Cambria Math" w:hAnsi="Cambria Math"/>
              </w:rPr>
              <m:t xml:space="preserve">∘</m:t>
            </m:r>
          </m:sup>
        </m:sSup>
        <m:r>
          <w:rPr>
            <w:rFonts w:ascii="Cambria Math" w:hAnsi="Cambria Math"/>
          </w:rPr>
          <m:t xml:space="preserve">С</m:t>
        </m:r>
      </m:oMath>
      <w:r>
        <w:rPr>
          <w:rFonts w:eastAsia="Calibri" w:cs="Calibri"/>
          <w:szCs w:val="22"/>
          <w:lang w:eastAsia="en-US"/>
        </w:rPr>
        <w:t xml:space="preserve"> </w:t>
      </w:r>
      <w:r>
        <w:rPr>
          <w:rFonts w:eastAsia="Calibri" w:cs="Calibri"/>
          <w:szCs w:val="22"/>
          <w:lang w:eastAsia="en-US"/>
        </w:rPr>
        <w:t>- температура в отапливаемом помещении, которая была в момент начала исходного события;</w:t>
      </w:r>
    </w:p>
    <w:p>
      <w:pPr>
        <w:pStyle w:val="Normal"/>
        <w:tabs>
          <w:tab w:val="clear" w:pos="408"/>
          <w:tab w:val="left" w:pos="993" w:leader="none"/>
        </w:tabs>
        <w:ind w:firstLine="709"/>
        <w:jc w:val="both"/>
        <w:rPr>
          <w:rFonts w:eastAsia="Calibri"/>
          <w:szCs w:val="22"/>
          <w:lang w:eastAsia="en-US"/>
        </w:rPr>
      </w:pPr>
      <w:r>
        <w:rPr/>
      </w:r>
      <m:oMath xmlns:m="http://schemas.openxmlformats.org/officeDocument/2006/math">
        <m:r>
          <w:rPr>
            <w:rFonts w:ascii="Cambria Math" w:hAnsi="Cambria Math"/>
          </w:rPr>
          <m:t xml:space="preserve">β</m:t>
        </m:r>
        <m:r>
          <w:rPr>
            <w:rFonts w:ascii="Cambria Math" w:hAnsi="Cambria Math"/>
          </w:rPr>
          <m:t xml:space="preserve">=</m:t>
        </m:r>
        <m:r>
          <m:rPr>
            <m:lit/>
            <m:nor/>
          </m:rPr>
          <w:rPr>
            <w:rFonts w:ascii="Cambria Math" w:hAnsi="Cambria Math"/>
          </w:rPr>
          <m:t xml:space="preserve">40</m:t>
        </m:r>
        <m:r>
          <w:rPr>
            <w:rFonts w:ascii="Cambria Math" w:hAnsi="Cambria Math"/>
          </w:rPr>
          <m:t xml:space="preserve">ч</m:t>
        </m:r>
      </m:oMath>
      <w:r>
        <w:rPr>
          <w:rFonts w:eastAsia="Calibri" w:cs="Calibri"/>
          <w:szCs w:val="22"/>
          <w:lang w:eastAsia="en-US"/>
        </w:rPr>
        <w:t xml:space="preserve"> </w:t>
      </w:r>
      <w:r>
        <w:rPr>
          <w:rFonts w:eastAsia="Calibri" w:cs="Calibri"/>
          <w:szCs w:val="22"/>
          <w:lang w:eastAsia="en-US"/>
        </w:rPr>
        <w:t>- коэффициент аккумуляции помещения (здания).</w:t>
      </w:r>
    </w:p>
    <w:p>
      <w:pPr>
        <w:pStyle w:val="Normal"/>
        <w:tabs>
          <w:tab w:val="clear" w:pos="408"/>
          <w:tab w:val="left" w:pos="993" w:leader="none"/>
        </w:tabs>
        <w:ind w:firstLine="709"/>
        <w:jc w:val="both"/>
        <w:rPr>
          <w:rFonts w:eastAsia="Calibri"/>
          <w:szCs w:val="22"/>
          <w:lang w:eastAsia="en-US"/>
        </w:rPr>
      </w:pPr>
      <w:r>
        <w:rPr>
          <w:rFonts w:eastAsia="Calibri" w:cs="Calibri"/>
          <w:szCs w:val="22"/>
          <w:lang w:eastAsia="en-US"/>
        </w:rPr>
        <w:t>На рисунке 5 представлено графическое сравнение периода времени снижения температуры внутреннего воздуха до критического значения и периода времени, необходимого для восстановления участка тепловой сети.</w:t>
      </w:r>
    </w:p>
    <w:p>
      <w:pPr>
        <w:pStyle w:val="Normal"/>
        <w:tabs>
          <w:tab w:val="clear" w:pos="408"/>
          <w:tab w:val="left" w:pos="993" w:leader="none"/>
        </w:tabs>
        <w:ind w:firstLine="709"/>
        <w:jc w:val="both"/>
        <w:rPr>
          <w:rFonts w:eastAsia="Calibri"/>
          <w:szCs w:val="22"/>
          <w:lang w:eastAsia="en-US"/>
        </w:rPr>
      </w:pPr>
      <w:r>
        <w:rPr>
          <w:rFonts w:eastAsia="Calibri"/>
          <w:szCs w:val="22"/>
          <w:lang w:eastAsia="en-US"/>
        </w:rPr>
      </w:r>
    </w:p>
    <w:p>
      <w:pPr>
        <w:pStyle w:val="Normal"/>
        <w:tabs>
          <w:tab w:val="clear" w:pos="408"/>
          <w:tab w:val="left" w:pos="993" w:leader="none"/>
        </w:tabs>
        <w:jc w:val="center"/>
        <w:rPr>
          <w:rFonts w:eastAsia="Calibri"/>
          <w:szCs w:val="22"/>
          <w:lang w:eastAsia="en-US"/>
        </w:rPr>
      </w:pPr>
      <w:r>
        <w:rPr/>
        <w:drawing>
          <wp:inline distT="0" distB="0" distL="0" distR="0">
            <wp:extent cx="6156325" cy="3180080"/>
            <wp:effectExtent l="0" t="0" r="0" b="0"/>
            <wp:docPr id="7" name=""/>
            <wp:cNvGraphicFramePr/>
            <a:graphic xmlns:a="http://schemas.openxmlformats.org/drawingml/2006/main">
              <a:graphicData uri="http://schemas.openxmlformats.org/drawingml/2006/chart">
                <c:chart xmlns:c="http://schemas.openxmlformats.org/drawingml/2006/chart" xmlns:r="http://schemas.openxmlformats.org/officeDocument/2006/relationships" r:id="rId67"/>
              </a:graphicData>
            </a:graphic>
          </wp:inline>
        </w:drawing>
      </w:r>
    </w:p>
    <w:p>
      <w:pPr>
        <w:pStyle w:val="Normal"/>
        <w:jc w:val="center"/>
        <w:rPr>
          <w:rFonts w:eastAsia="Calibri"/>
          <w:iCs/>
          <w:szCs w:val="18"/>
          <w:lang w:eastAsia="en-US"/>
        </w:rPr>
      </w:pPr>
      <w:r>
        <w:rPr>
          <w:rFonts w:eastAsia="Calibri" w:cs="Calibri"/>
          <w:iCs/>
          <w:szCs w:val="18"/>
          <w:lang w:eastAsia="en-US"/>
        </w:rPr>
        <w:t>Рисунок 5 – Графическое сравнение периода времени снижения температуры внутреннего воздуха до критического значения и периода времени, необходимого для восстановления участка тепловой сети</w:t>
      </w:r>
    </w:p>
    <w:p>
      <w:pPr>
        <w:pStyle w:val="Normal"/>
        <w:tabs>
          <w:tab w:val="clear" w:pos="408"/>
          <w:tab w:val="left" w:pos="993" w:leader="none"/>
        </w:tabs>
        <w:ind w:firstLine="709"/>
        <w:jc w:val="both"/>
        <w:rPr>
          <w:rFonts w:eastAsia="Calibri"/>
          <w:szCs w:val="22"/>
          <w:lang w:eastAsia="en-US"/>
        </w:rPr>
      </w:pPr>
      <w:r>
        <w:rPr>
          <w:rFonts w:eastAsia="Calibri"/>
          <w:szCs w:val="22"/>
          <w:lang w:eastAsia="en-US"/>
        </w:rPr>
      </w:r>
    </w:p>
    <w:p>
      <w:pPr>
        <w:pStyle w:val="Normal"/>
        <w:spacing w:before="0" w:after="0"/>
        <w:ind w:firstLine="567"/>
        <w:contextualSpacing/>
        <w:jc w:val="both"/>
        <w:rPr>
          <w:szCs w:val="28"/>
          <w:lang w:eastAsia="ru-RU"/>
        </w:rPr>
      </w:pPr>
      <w:r>
        <w:rPr>
          <w:szCs w:val="28"/>
          <w:lang w:eastAsia="ru-RU"/>
        </w:rPr>
        <w:t xml:space="preserve">По графику видно, что минимальное значение периода времени снижения температуры внутреннего соответствует расчетной температуре наружного воздуха. При увеличении повышении температуры наружного воздуха период времени снижения температуры возрастает, так при температуре </w:t>
      </w:r>
      <w:r>
        <w:rPr>
          <w:szCs w:val="28"/>
          <w:lang w:val="en-US" w:eastAsia="ru-RU"/>
        </w:rPr>
        <w:t>t</w:t>
      </w:r>
      <w:r>
        <w:rPr>
          <w:szCs w:val="28"/>
          <w:vertAlign w:val="subscript"/>
          <w:lang w:eastAsia="ru-RU"/>
        </w:rPr>
        <w:t>н</w:t>
      </w:r>
      <w:r>
        <w:rPr>
          <w:szCs w:val="28"/>
          <w:lang w:eastAsia="ru-RU"/>
        </w:rPr>
        <w:t>=-39°</w:t>
      </w:r>
      <w:r>
        <w:rPr>
          <w:szCs w:val="28"/>
          <w:lang w:val="en-US" w:eastAsia="ru-RU"/>
        </w:rPr>
        <w:t>C</w:t>
      </w:r>
      <w:r>
        <w:rPr>
          <w:szCs w:val="28"/>
          <w:lang w:eastAsia="ru-RU"/>
        </w:rPr>
        <w:t xml:space="preserve"> период времени составляет </w:t>
      </w:r>
      <w:r>
        <w:rPr>
          <w:szCs w:val="28"/>
          <w:lang w:val="en-US" w:eastAsia="ru-RU"/>
        </w:rPr>
        <w:t>z</w:t>
      </w:r>
      <w:r>
        <w:rPr>
          <w:szCs w:val="28"/>
          <w:lang w:eastAsia="ru-RU"/>
        </w:rPr>
        <w:t xml:space="preserve">=6,0492 часов, а при температуре плюс </w:t>
      </w:r>
      <w:r>
        <w:rPr>
          <w:szCs w:val="28"/>
          <w:lang w:val="en-US" w:eastAsia="ru-RU"/>
        </w:rPr>
        <w:t>t</w:t>
      </w:r>
      <w:r>
        <w:rPr>
          <w:szCs w:val="28"/>
          <w:vertAlign w:val="subscript"/>
          <w:lang w:eastAsia="ru-RU"/>
        </w:rPr>
        <w:t>н</w:t>
      </w:r>
      <w:r>
        <w:rPr>
          <w:szCs w:val="28"/>
          <w:lang w:eastAsia="ru-RU"/>
        </w:rPr>
        <w:t>=9°</w:t>
      </w:r>
      <w:r>
        <w:rPr>
          <w:szCs w:val="28"/>
          <w:lang w:val="en-US" w:eastAsia="ru-RU"/>
        </w:rPr>
        <w:t>C</w:t>
      </w:r>
      <w:r>
        <w:rPr>
          <w:szCs w:val="28"/>
          <w:lang w:eastAsia="ru-RU"/>
        </w:rPr>
        <w:t xml:space="preserve"> - 51,9713 часов.</w:t>
      </w:r>
    </w:p>
    <w:p>
      <w:pPr>
        <w:pStyle w:val="Normal"/>
        <w:spacing w:before="0" w:after="0"/>
        <w:ind w:firstLine="567"/>
        <w:contextualSpacing/>
        <w:jc w:val="both"/>
        <w:rPr>
          <w:szCs w:val="28"/>
          <w:lang w:eastAsia="ru-RU"/>
        </w:rPr>
      </w:pPr>
      <w:r>
        <w:rPr>
          <w:szCs w:val="28"/>
          <w:lang w:eastAsia="ru-RU"/>
        </w:rPr>
        <w:t>Период восстановления участка тепловой сети зависит от диаметра трубопроводом, большему диаметру соответствует больший период времени восстановления. Период времени восстановления участка тепловой сети диаметром 32 мм составляет 3,803 часов, а участка тепловой сети диаметром 300 мм - 15,967 часов.</w:t>
      </w:r>
    </w:p>
    <w:p>
      <w:pPr>
        <w:pStyle w:val="Normal"/>
        <w:spacing w:before="0" w:after="0"/>
        <w:ind w:firstLine="567"/>
        <w:contextualSpacing/>
        <w:jc w:val="both"/>
        <w:rPr>
          <w:szCs w:val="28"/>
          <w:lang w:eastAsia="ru-RU"/>
        </w:rPr>
      </w:pPr>
      <w:r>
        <w:rPr>
          <w:szCs w:val="28"/>
          <w:lang w:eastAsia="ru-RU"/>
        </w:rPr>
        <w:t xml:space="preserve">По графику видно, что период времени восстановления диаметра тепловой сети диаметром 32 мм меньше периода времени снижения температуры внутреннего воздуха в любом температурном диапазоне. </w:t>
      </w:r>
    </w:p>
    <w:p>
      <w:pPr>
        <w:pStyle w:val="Normal"/>
        <w:spacing w:before="0" w:after="0"/>
        <w:ind w:firstLine="567"/>
        <w:contextualSpacing/>
        <w:jc w:val="both"/>
        <w:rPr>
          <w:szCs w:val="28"/>
          <w:lang w:eastAsia="ru-RU"/>
        </w:rPr>
      </w:pPr>
      <w:r>
        <w:rPr>
          <w:szCs w:val="28"/>
          <w:lang w:eastAsia="ru-RU"/>
        </w:rPr>
        <w:t>Период времени восстановления диаметра тепловой сети диаметром 300 мм меньше периода времени снижения температуры внутреннего воздуха при температуре наружного воздуха более минус 4°</w:t>
      </w:r>
      <w:r>
        <w:rPr>
          <w:szCs w:val="28"/>
          <w:lang w:val="en-US" w:eastAsia="ru-RU"/>
        </w:rPr>
        <w:t>C</w:t>
      </w:r>
      <w:r>
        <w:rPr>
          <w:szCs w:val="28"/>
          <w:lang w:eastAsia="ru-RU"/>
        </w:rPr>
        <w:t>. При температуре наружного воздуха менее минус 4°</w:t>
      </w:r>
      <w:r>
        <w:rPr>
          <w:szCs w:val="28"/>
          <w:lang w:val="en-US" w:eastAsia="ru-RU"/>
        </w:rPr>
        <w:t>C</w:t>
      </w:r>
      <w:r>
        <w:rPr>
          <w:szCs w:val="28"/>
          <w:lang w:eastAsia="ru-RU"/>
        </w:rPr>
        <w:t>, повышается вероятность «замораживания» систем отопления зданий, в связи с тем, что период времени снижения температуры до критического значения меньше, чем период времени восстановления участков тепловой сети.</w:t>
      </w:r>
    </w:p>
    <w:p>
      <w:pPr>
        <w:pStyle w:val="Normal"/>
        <w:spacing w:before="0" w:after="0"/>
        <w:ind w:firstLine="567"/>
        <w:contextualSpacing/>
        <w:jc w:val="both"/>
        <w:rPr>
          <w:szCs w:val="28"/>
          <w:lang w:eastAsia="ru-RU"/>
        </w:rPr>
      </w:pPr>
      <w:r>
        <w:rPr>
          <w:szCs w:val="28"/>
          <w:lang w:eastAsia="ru-RU"/>
        </w:rPr>
      </w:r>
    </w:p>
    <w:p>
      <w:pPr>
        <w:pStyle w:val="Normal"/>
        <w:keepNext w:val="true"/>
        <w:keepLines/>
        <w:numPr>
          <w:ilvl w:val="0"/>
          <w:numId w:val="0"/>
        </w:numPr>
        <w:ind w:left="0" w:firstLine="709"/>
        <w:jc w:val="both"/>
        <w:outlineLvl w:val="1"/>
        <w:rPr>
          <w:rFonts w:eastAsia="Calibri Light" w:cs="Calibri Light"/>
          <w:b/>
          <w:b/>
          <w:szCs w:val="26"/>
          <w:lang w:eastAsia="en-US"/>
        </w:rPr>
      </w:pPr>
      <w:bookmarkStart w:id="1235" w:name="_Toc181340518"/>
      <w:bookmarkStart w:id="1236" w:name="_Toc160530054"/>
      <w:bookmarkStart w:id="1237" w:name="_Toc160455171"/>
      <w:bookmarkStart w:id="1238" w:name="_Toc160186176"/>
      <w:bookmarkStart w:id="1239" w:name="_Toc158278771"/>
      <w:r>
        <w:rPr>
          <w:rFonts w:eastAsia="Calibri Light" w:cs="Calibri Light"/>
          <w:b/>
          <w:szCs w:val="26"/>
          <w:lang w:eastAsia="en-US"/>
        </w:rPr>
        <w:t>11.3. Обоснование результатов оценки вероятности отказа (аварийной ситуации) и безотказной (безаварийной) работы системы теплоснабжения по отношению к потребителям, присоединенным к магистральным и распределительным теплопроводам</w:t>
      </w:r>
      <w:bookmarkEnd w:id="1235"/>
      <w:bookmarkEnd w:id="1236"/>
      <w:bookmarkEnd w:id="1237"/>
      <w:bookmarkEnd w:id="1238"/>
      <w:bookmarkEnd w:id="1239"/>
    </w:p>
    <w:p>
      <w:pPr>
        <w:pStyle w:val="Normal"/>
        <w:ind w:firstLine="709"/>
        <w:jc w:val="both"/>
        <w:rPr>
          <w:rFonts w:eastAsia="Calibri" w:cs="Calibri"/>
          <w:bCs/>
          <w:szCs w:val="22"/>
          <w:lang w:eastAsia="en-US"/>
        </w:rPr>
      </w:pPr>
      <w:r>
        <w:rPr>
          <w:rFonts w:eastAsia="Calibri" w:cs="Calibri"/>
          <w:bCs/>
          <w:szCs w:val="22"/>
          <w:lang w:eastAsia="en-US"/>
        </w:rPr>
        <w:t>Вероятность безотказной работы систем теплоснабжения поселения соответствует нормативным требованиям.</w:t>
      </w:r>
    </w:p>
    <w:p>
      <w:pPr>
        <w:pStyle w:val="Normal"/>
        <w:keepNext w:val="true"/>
        <w:keepLines/>
        <w:numPr>
          <w:ilvl w:val="0"/>
          <w:numId w:val="0"/>
        </w:numPr>
        <w:ind w:left="0" w:firstLine="709"/>
        <w:jc w:val="both"/>
        <w:outlineLvl w:val="1"/>
        <w:rPr>
          <w:rFonts w:eastAsia="Calibri Light" w:cs="Calibri Light"/>
          <w:b/>
          <w:b/>
          <w:szCs w:val="26"/>
          <w:lang w:eastAsia="en-US"/>
        </w:rPr>
      </w:pPr>
      <w:bookmarkStart w:id="1240" w:name="_Toc160530055"/>
      <w:bookmarkStart w:id="1241" w:name="_Toc181340519"/>
      <w:bookmarkStart w:id="1242" w:name="_Toc158278772"/>
      <w:bookmarkStart w:id="1243" w:name="_Toc160186177"/>
      <w:bookmarkStart w:id="1244" w:name="_Toc160455172"/>
      <w:r>
        <w:rPr>
          <w:rFonts w:eastAsia="Calibri Light" w:cs="Calibri Light"/>
          <w:b/>
          <w:szCs w:val="26"/>
          <w:lang w:eastAsia="en-US"/>
        </w:rPr>
        <w:t>11.4. Обоснование результатов оценки коэффициентов готовности теплопроводов к несению тепловой нагрузки</w:t>
      </w:r>
      <w:bookmarkEnd w:id="1240"/>
      <w:bookmarkEnd w:id="1241"/>
      <w:bookmarkEnd w:id="1242"/>
      <w:bookmarkEnd w:id="1243"/>
      <w:bookmarkEnd w:id="1244"/>
    </w:p>
    <w:p>
      <w:pPr>
        <w:pStyle w:val="Normal"/>
        <w:ind w:firstLine="709"/>
        <w:jc w:val="both"/>
        <w:rPr>
          <w:rFonts w:eastAsia="Calibri" w:cs="Calibri"/>
          <w:bCs/>
          <w:szCs w:val="22"/>
          <w:lang w:eastAsia="en-US"/>
        </w:rPr>
      </w:pPr>
      <w:r>
        <w:rPr>
          <w:rFonts w:eastAsia="Calibri" w:cs="Calibri"/>
          <w:bCs/>
          <w:szCs w:val="22"/>
          <w:lang w:eastAsia="en-US"/>
        </w:rPr>
        <w:t>Коэффициенты готовности систем теплоснабжения поселения соответствуют нормативным требованиям.</w:t>
      </w:r>
    </w:p>
    <w:p>
      <w:pPr>
        <w:pStyle w:val="Normal"/>
        <w:ind w:firstLine="709"/>
        <w:jc w:val="both"/>
        <w:rPr>
          <w:rFonts w:eastAsia="Calibri" w:cs="Calibri"/>
          <w:bCs/>
          <w:szCs w:val="22"/>
          <w:lang w:eastAsia="en-US"/>
        </w:rPr>
      </w:pPr>
      <w:r>
        <w:rPr>
          <w:rFonts w:eastAsia="Calibri" w:cs="Calibri"/>
          <w:bCs/>
          <w:szCs w:val="22"/>
          <w:lang w:eastAsia="en-US"/>
        </w:rPr>
      </w:r>
    </w:p>
    <w:p>
      <w:pPr>
        <w:pStyle w:val="Normal"/>
        <w:keepNext w:val="true"/>
        <w:keepLines/>
        <w:numPr>
          <w:ilvl w:val="0"/>
          <w:numId w:val="0"/>
        </w:numPr>
        <w:ind w:left="0" w:firstLine="709"/>
        <w:jc w:val="both"/>
        <w:outlineLvl w:val="1"/>
        <w:rPr>
          <w:rFonts w:eastAsia="Calibri Light" w:cs="Calibri Light"/>
          <w:b/>
          <w:b/>
          <w:szCs w:val="26"/>
          <w:lang w:eastAsia="en-US"/>
        </w:rPr>
      </w:pPr>
      <w:bookmarkStart w:id="1245" w:name="_Toc181340520"/>
      <w:bookmarkStart w:id="1246" w:name="_Toc158278773"/>
      <w:bookmarkStart w:id="1247" w:name="_Toc160186178"/>
      <w:bookmarkStart w:id="1248" w:name="_Toc160530056"/>
      <w:bookmarkStart w:id="1249" w:name="_Toc160455173"/>
      <w:r>
        <w:rPr>
          <w:rFonts w:eastAsia="Calibri Light" w:cs="Calibri Light"/>
          <w:b/>
          <w:szCs w:val="26"/>
          <w:lang w:eastAsia="en-US"/>
        </w:rPr>
        <w:t>11.5. Обоснование результатов оценки недоотпуска тепловой энергии по причине отказов (аварийных ситуаций) и простоев тепловых сетей и источников тепловой энергии</w:t>
      </w:r>
      <w:bookmarkEnd w:id="1245"/>
      <w:bookmarkEnd w:id="1246"/>
      <w:bookmarkEnd w:id="1247"/>
      <w:bookmarkEnd w:id="1248"/>
      <w:bookmarkEnd w:id="1249"/>
    </w:p>
    <w:p>
      <w:pPr>
        <w:pStyle w:val="Normal"/>
        <w:keepNext w:val="true"/>
        <w:keepLines/>
        <w:numPr>
          <w:ilvl w:val="0"/>
          <w:numId w:val="0"/>
        </w:numPr>
        <w:ind w:left="0" w:firstLine="709"/>
        <w:jc w:val="both"/>
        <w:outlineLvl w:val="1"/>
        <w:rPr>
          <w:rFonts w:eastAsia="Calibri Light" w:cs="Calibri Light"/>
          <w:b/>
          <w:b/>
          <w:szCs w:val="26"/>
          <w:lang w:eastAsia="en-US"/>
        </w:rPr>
      </w:pPr>
      <w:r>
        <w:rPr/>
        <w:t>Данный показатель может быть рассчитан в том случае, если по каждому участку можно определить место повреждения с указанием времени отключения потребителя                 от сети. Недоотпуск тепловой энергии по причине отказов (аварийных ситуаций) и простоев тепловых сетей и источников тепловой энергии в поселении не зафиксирован, соответственно отсутствует исчерпывающая информация для проведения математических расчетов.</w:t>
      </w:r>
      <w:bookmarkStart w:id="1250" w:name="_Toc181261393"/>
      <w:bookmarkStart w:id="1251" w:name="_Toc181340521"/>
      <w:bookmarkStart w:id="1252" w:name="_Toc181337368"/>
    </w:p>
    <w:p>
      <w:pPr>
        <w:pStyle w:val="Normal"/>
        <w:keepNext w:val="true"/>
        <w:keepLines/>
        <w:numPr>
          <w:ilvl w:val="0"/>
          <w:numId w:val="0"/>
        </w:numPr>
        <w:ind w:left="0" w:firstLine="709"/>
        <w:jc w:val="both"/>
        <w:outlineLvl w:val="1"/>
        <w:rPr>
          <w:rFonts w:eastAsia="Calibri Light" w:cs="Calibri Light"/>
          <w:b/>
          <w:b/>
          <w:szCs w:val="26"/>
          <w:lang w:eastAsia="en-US"/>
        </w:rPr>
      </w:pPr>
      <w:r>
        <w:rPr>
          <w:rFonts w:eastAsia="Calibri Light" w:cs="Calibri Light"/>
          <w:b/>
          <w:szCs w:val="26"/>
          <w:lang w:eastAsia="en-US"/>
        </w:rPr>
      </w:r>
    </w:p>
    <w:p>
      <w:pPr>
        <w:pStyle w:val="Normal"/>
        <w:keepNext w:val="true"/>
        <w:keepLines/>
        <w:numPr>
          <w:ilvl w:val="0"/>
          <w:numId w:val="0"/>
        </w:numPr>
        <w:ind w:left="0" w:firstLine="709"/>
        <w:jc w:val="both"/>
        <w:outlineLvl w:val="1"/>
        <w:rPr>
          <w:rFonts w:eastAsia="Calibri Light" w:cs="Calibri Light"/>
          <w:b/>
          <w:b/>
          <w:szCs w:val="26"/>
          <w:lang w:eastAsia="en-US"/>
        </w:rPr>
      </w:pPr>
      <w:r>
        <w:rPr>
          <w:b/>
        </w:rPr>
        <w:t xml:space="preserve">11.6. Обоснование </w:t>
      </w:r>
      <w:r>
        <w:rPr>
          <w:rFonts w:eastAsia="Tahoma"/>
          <w:b/>
          <w:bCs/>
        </w:rPr>
        <w:t>мероприятий по резервированию источников тепловой энергии и тепловых сетей, определенных системой мер по повышению надежности</w:t>
      </w:r>
    </w:p>
    <w:p>
      <w:pPr>
        <w:pStyle w:val="A2"/>
        <w:ind w:firstLine="709"/>
        <w:rPr>
          <w:rFonts w:eastAsia="Tahoma"/>
          <w:bCs/>
        </w:rPr>
      </w:pPr>
      <w:r>
        <w:rPr>
          <w:rFonts w:eastAsia="Tahoma"/>
          <w:bCs/>
        </w:rPr>
        <w:t>Т</w:t>
      </w:r>
      <w:r>
        <w:rPr>
          <w:rFonts w:eastAsia="Tahoma"/>
        </w:rPr>
        <w:t>ребования, указанные в данном пункте не применяются в соответствии с пунктом 2 п</w:t>
      </w:r>
      <w:r>
        <w:rPr>
          <w:rFonts w:eastAsia="Tahoma"/>
          <w:bCs/>
        </w:rPr>
        <w:t>остановления Правительства Российской Федерации от 22.02.2012 № 154                             «О требованиях к схемам теплоснабжения, порядку их разработки и утверждения».</w:t>
      </w:r>
    </w:p>
    <w:p>
      <w:pPr>
        <w:pStyle w:val="A2"/>
        <w:ind w:firstLine="709"/>
        <w:rPr>
          <w:rFonts w:eastAsia="Tahoma"/>
          <w:b/>
          <w:b/>
          <w:bCs/>
          <w:color w:val="FF0000"/>
        </w:rPr>
      </w:pPr>
      <w:r>
        <w:rPr>
          <w:rFonts w:eastAsia="Tahoma"/>
          <w:b/>
          <w:bCs/>
          <w:color w:val="FF0000"/>
        </w:rPr>
      </w:r>
    </w:p>
    <w:p>
      <w:pPr>
        <w:pStyle w:val="A2"/>
        <w:ind w:firstLine="709"/>
        <w:rPr>
          <w:rFonts w:eastAsia="Tahoma"/>
          <w:b/>
          <w:b/>
          <w:bCs/>
        </w:rPr>
      </w:pPr>
      <w:r>
        <w:rPr>
          <w:rFonts w:eastAsia="Tahoma"/>
          <w:b/>
          <w:bCs/>
        </w:rPr>
        <w:t>11.7.</w:t>
      </w:r>
      <w:r>
        <w:rPr>
          <w:b/>
        </w:rPr>
        <w:t xml:space="preserve"> Обоснование </w:t>
      </w:r>
      <w:r>
        <w:rPr>
          <w:rFonts w:eastAsia="Tahoma"/>
          <w:b/>
          <w:bCs/>
        </w:rPr>
        <w:t>мероприятий по замене тепловых сетей, определенных системой мер по повышению надежности</w:t>
      </w:r>
    </w:p>
    <w:p>
      <w:pPr>
        <w:pStyle w:val="A2"/>
        <w:ind w:firstLine="709"/>
        <w:rPr>
          <w:rFonts w:eastAsia="Tahoma"/>
          <w:bCs/>
        </w:rPr>
      </w:pPr>
      <w:r>
        <w:rPr>
          <w:rFonts w:eastAsia="Tahoma"/>
          <w:bCs/>
        </w:rPr>
        <w:t>Т</w:t>
      </w:r>
      <w:r>
        <w:rPr>
          <w:rFonts w:eastAsia="Tahoma"/>
        </w:rPr>
        <w:t>ребования, указанные в данном пункте не применяются в соответствии с пунктом 2 п</w:t>
      </w:r>
      <w:r>
        <w:rPr>
          <w:rFonts w:eastAsia="Tahoma"/>
          <w:bCs/>
        </w:rPr>
        <w:t>остановления Правительства Российской Федерации от 22.02.2012 № 154                                       «О требованиях к схемам теплоснабжения, порядку их разработки и утверждения».</w:t>
      </w:r>
    </w:p>
    <w:p>
      <w:pPr>
        <w:pStyle w:val="A2"/>
        <w:ind w:firstLine="709"/>
        <w:rPr>
          <w:rFonts w:eastAsia="Tahoma"/>
          <w:b/>
          <w:b/>
          <w:bCs/>
          <w:color w:val="FF0000"/>
        </w:rPr>
      </w:pPr>
      <w:r>
        <w:rPr>
          <w:rFonts w:eastAsia="Tahoma"/>
          <w:b/>
          <w:bCs/>
          <w:color w:val="FF0000"/>
        </w:rPr>
      </w:r>
    </w:p>
    <w:p>
      <w:pPr>
        <w:pStyle w:val="A2"/>
        <w:ind w:firstLine="709"/>
        <w:rPr>
          <w:rFonts w:eastAsia="Tahoma"/>
          <w:b/>
          <w:b/>
          <w:bCs/>
        </w:rPr>
      </w:pPr>
      <w:r>
        <w:rPr>
          <w:rFonts w:eastAsia="Tahoma"/>
          <w:b/>
          <w:bCs/>
        </w:rPr>
        <w:t>11.8.</w:t>
      </w:r>
      <w:r>
        <w:rPr>
          <w:b/>
        </w:rPr>
        <w:t xml:space="preserve"> Обоснование </w:t>
      </w:r>
      <w:r>
        <w:rPr>
          <w:rFonts w:eastAsia="Tahoma"/>
          <w:b/>
          <w:bCs/>
        </w:rPr>
        <w:t>сценариев развития аварий в системах теплоснабжения                  (не менее одного для каждой зоны теплоснабжения с суммарной установленной тепловой мощностью источников тепловой энергии 100 Гкал/ч и более) на основе результатов моделирования аварийных ситуаций, включая моделирование отказов элементов, расчета послеаварийных гидравлических режимов и оценки надежности теплоснабжения в аварийных режимах теплоснабжения (при отказе головного участка теплопровода на одном (с наибольшим диаметром) из выводов тепловой мощности от источника тепловой энергии и при отключении насосной группы сетевых насосов на одном из источников тепловой энергии для систем с несколькими источниками тепловой энергии, работающими на единую тепловую сеть, в режиме плавающей точки водораздела (без выделенных зон действия)</w:t>
      </w:r>
    </w:p>
    <w:p>
      <w:pPr>
        <w:pStyle w:val="A2"/>
        <w:ind w:firstLine="709"/>
        <w:rPr>
          <w:rFonts w:eastAsia="Tahoma"/>
          <w:bCs/>
        </w:rPr>
      </w:pPr>
      <w:r>
        <w:rPr>
          <w:rFonts w:eastAsia="Tahoma"/>
          <w:bCs/>
        </w:rPr>
        <w:t xml:space="preserve">Моделирование аварийных ситуаций, включая моделирование отказов элементов, расчета послеаварийных гидравлических режимов и оценки надежности теплоснабжения в аварийных режимах теплоснабжения (при отказе головного участка теплопровода на одном (с наибольшим диаметром) из выводов тепловой мощности от источника тепловой энергии и при отключении насосной группы сетевых насосов на одном из источников тепловой энергии для систем с несколькими источниками тепловой энергии, работающими на единую тепловую сеть, в режиме плавающей точки водораздела (без выделенных зон действия) не осуществлялось. </w:t>
      </w:r>
    </w:p>
    <w:p>
      <w:pPr>
        <w:pStyle w:val="A2"/>
        <w:ind w:firstLine="709"/>
        <w:rPr>
          <w:rFonts w:eastAsia="Tahoma"/>
          <w:bCs/>
        </w:rPr>
      </w:pPr>
      <w:r>
        <w:rPr>
          <w:rFonts w:eastAsia="Tahoma"/>
          <w:bCs/>
        </w:rPr>
      </w:r>
    </w:p>
    <w:p>
      <w:pPr>
        <w:pStyle w:val="A2"/>
        <w:ind w:firstLine="709"/>
        <w:rPr>
          <w:b/>
          <w:b/>
        </w:rPr>
      </w:pPr>
      <w:r>
        <w:rPr>
          <w:rFonts w:eastAsia="Tahoma"/>
          <w:b/>
          <w:bCs/>
        </w:rPr>
        <w:t xml:space="preserve">11.9. </w:t>
      </w:r>
      <w:r>
        <w:rPr>
          <w:b/>
        </w:rPr>
        <w:t>Предложения, обеспечивающие надежность систем теплоснабжения, в том числе следующие предложения</w:t>
      </w:r>
      <w:bookmarkStart w:id="1253" w:name="_Hlk181269499"/>
      <w:bookmarkStart w:id="1254" w:name="_Toc181365809"/>
    </w:p>
    <w:p>
      <w:pPr>
        <w:pStyle w:val="A2"/>
        <w:ind w:firstLine="709"/>
        <w:rPr>
          <w:b/>
          <w:b/>
        </w:rPr>
      </w:pPr>
      <w:r>
        <w:rPr>
          <w:b/>
        </w:rPr>
        <w:t>11.9.1. Применение на источниках тепловой энергии рациональных тепловых схем с дублированными связями и новых технологий, обеспечивающих нормативную готовность энергетического оборудования</w:t>
      </w:r>
      <w:bookmarkEnd w:id="1254"/>
    </w:p>
    <w:p>
      <w:pPr>
        <w:pStyle w:val="A2"/>
        <w:ind w:firstLine="709"/>
        <w:rPr>
          <w:rFonts w:eastAsia="Calibri Light" w:cs="Calibri Light"/>
          <w:b/>
          <w:b/>
          <w:szCs w:val="26"/>
          <w:lang w:eastAsia="en-US"/>
        </w:rPr>
      </w:pPr>
      <w:r>
        <w:rPr/>
        <w:t>Предложения по данному пункту отсутствуют.</w:t>
      </w:r>
      <w:bookmarkStart w:id="1255" w:name="_Toc181365810"/>
    </w:p>
    <w:p>
      <w:pPr>
        <w:pStyle w:val="A2"/>
        <w:ind w:firstLine="709"/>
        <w:rPr>
          <w:b/>
          <w:b/>
        </w:rPr>
      </w:pPr>
      <w:r>
        <w:rPr>
          <w:b/>
        </w:rPr>
        <w:t>11.9.2. Установка резервного оборудования</w:t>
      </w:r>
      <w:bookmarkEnd w:id="1255"/>
    </w:p>
    <w:p>
      <w:pPr>
        <w:pStyle w:val="A2"/>
        <w:ind w:firstLine="709"/>
        <w:rPr>
          <w:rFonts w:eastAsia="Calibri Light" w:cs="Calibri Light"/>
          <w:b/>
          <w:b/>
          <w:szCs w:val="26"/>
          <w:lang w:eastAsia="en-US"/>
        </w:rPr>
      </w:pPr>
      <w:r>
        <w:rPr/>
        <w:t>Предложения по данному пункту отсутствуют.</w:t>
      </w:r>
      <w:bookmarkStart w:id="1256" w:name="_Toc181365811"/>
    </w:p>
    <w:p>
      <w:pPr>
        <w:pStyle w:val="A2"/>
        <w:ind w:firstLine="709"/>
        <w:rPr>
          <w:b/>
          <w:b/>
        </w:rPr>
      </w:pPr>
      <w:r>
        <w:rPr>
          <w:b/>
        </w:rPr>
        <w:t>11.9.3. Организация совместной работы нескольких источников тепловой энергии на единую тепловую сеть</w:t>
      </w:r>
      <w:bookmarkEnd w:id="1256"/>
    </w:p>
    <w:p>
      <w:pPr>
        <w:pStyle w:val="A2"/>
        <w:ind w:firstLine="709"/>
        <w:rPr>
          <w:rFonts w:eastAsia="Tahoma"/>
          <w:bCs/>
        </w:rPr>
      </w:pPr>
      <w:r>
        <w:rPr/>
        <w:t>Предложения по данному пункту отсутствуют.</w:t>
      </w:r>
      <w:bookmarkStart w:id="1257" w:name="_Toc181365812"/>
    </w:p>
    <w:p>
      <w:pPr>
        <w:pStyle w:val="Normal"/>
        <w:keepNext w:val="true"/>
        <w:keepLines/>
        <w:numPr>
          <w:ilvl w:val="0"/>
          <w:numId w:val="0"/>
        </w:numPr>
        <w:ind w:left="0" w:firstLine="709"/>
        <w:jc w:val="both"/>
        <w:outlineLvl w:val="1"/>
        <w:rPr>
          <w:b/>
          <w:b/>
        </w:rPr>
      </w:pPr>
      <w:r>
        <w:rPr>
          <w:b/>
        </w:rPr>
        <w:t>11.9.4. Резервирование тепловых сетей смежных районов поселения</w:t>
      </w:r>
      <w:bookmarkEnd w:id="1257"/>
    </w:p>
    <w:p>
      <w:pPr>
        <w:pStyle w:val="Normal"/>
        <w:keepNext w:val="true"/>
        <w:keepLines/>
        <w:numPr>
          <w:ilvl w:val="0"/>
          <w:numId w:val="0"/>
        </w:numPr>
        <w:ind w:left="0" w:firstLine="709"/>
        <w:jc w:val="both"/>
        <w:outlineLvl w:val="1"/>
        <w:rPr>
          <w:rFonts w:eastAsia="Calibri Light" w:cs="Calibri Light"/>
          <w:b/>
          <w:b/>
          <w:szCs w:val="26"/>
          <w:lang w:eastAsia="en-US"/>
        </w:rPr>
      </w:pPr>
      <w:r>
        <w:rPr/>
        <w:t>Предложения по данному пункту отсутствуют.</w:t>
      </w:r>
      <w:bookmarkStart w:id="1258" w:name="_Toc181365813"/>
    </w:p>
    <w:p>
      <w:pPr>
        <w:pStyle w:val="Normal"/>
        <w:keepNext w:val="true"/>
        <w:keepLines/>
        <w:numPr>
          <w:ilvl w:val="0"/>
          <w:numId w:val="0"/>
        </w:numPr>
        <w:ind w:left="0" w:firstLine="709"/>
        <w:jc w:val="both"/>
        <w:outlineLvl w:val="1"/>
        <w:rPr>
          <w:b/>
          <w:b/>
        </w:rPr>
      </w:pPr>
      <w:r>
        <w:rPr>
          <w:b/>
        </w:rPr>
        <w:t>11.9.5. Устройство резервных насосных станций</w:t>
      </w:r>
      <w:bookmarkEnd w:id="1258"/>
    </w:p>
    <w:p>
      <w:pPr>
        <w:pStyle w:val="Normal"/>
        <w:keepNext w:val="true"/>
        <w:keepLines/>
        <w:numPr>
          <w:ilvl w:val="0"/>
          <w:numId w:val="0"/>
        </w:numPr>
        <w:ind w:left="0" w:firstLine="709"/>
        <w:jc w:val="both"/>
        <w:outlineLvl w:val="1"/>
        <w:rPr>
          <w:rFonts w:eastAsia="Calibri Light" w:cs="Calibri Light"/>
          <w:b/>
          <w:b/>
          <w:szCs w:val="26"/>
          <w:lang w:eastAsia="en-US"/>
        </w:rPr>
      </w:pPr>
      <w:r>
        <w:rPr/>
        <w:t>Предложения по данному пункту отсутствуют.</w:t>
      </w:r>
      <w:bookmarkStart w:id="1259" w:name="_Toc181365814"/>
    </w:p>
    <w:p>
      <w:pPr>
        <w:pStyle w:val="Normal"/>
        <w:keepNext w:val="true"/>
        <w:keepLines/>
        <w:numPr>
          <w:ilvl w:val="0"/>
          <w:numId w:val="0"/>
        </w:numPr>
        <w:ind w:left="0" w:firstLine="709"/>
        <w:jc w:val="both"/>
        <w:outlineLvl w:val="1"/>
        <w:rPr>
          <w:b/>
          <w:b/>
        </w:rPr>
      </w:pPr>
      <w:r>
        <w:rPr>
          <w:b/>
        </w:rPr>
        <w:t>11.9.6. Установка баков-аккумуляторов</w:t>
      </w:r>
      <w:bookmarkEnd w:id="1259"/>
    </w:p>
    <w:p>
      <w:pPr>
        <w:pStyle w:val="Normal"/>
        <w:keepNext w:val="true"/>
        <w:keepLines/>
        <w:numPr>
          <w:ilvl w:val="0"/>
          <w:numId w:val="0"/>
        </w:numPr>
        <w:ind w:left="0" w:firstLine="709"/>
        <w:jc w:val="both"/>
        <w:outlineLvl w:val="1"/>
        <w:rPr>
          <w:rFonts w:eastAsia="Calibri Light" w:cs="Calibri Light"/>
          <w:b/>
          <w:b/>
          <w:szCs w:val="26"/>
          <w:lang w:eastAsia="en-US"/>
        </w:rPr>
      </w:pPr>
      <w:r>
        <w:rPr/>
        <w:t>Предложения по данному пункту отсутствуют.</w:t>
      </w:r>
      <w:bookmarkStart w:id="1260" w:name="_Toc181365815"/>
    </w:p>
    <w:p>
      <w:pPr>
        <w:pStyle w:val="Normal"/>
        <w:keepNext w:val="true"/>
        <w:keepLines/>
        <w:numPr>
          <w:ilvl w:val="0"/>
          <w:numId w:val="0"/>
        </w:numPr>
        <w:ind w:left="0" w:firstLine="709"/>
        <w:jc w:val="both"/>
        <w:outlineLvl w:val="1"/>
        <w:rPr>
          <w:b/>
          <w:b/>
        </w:rPr>
      </w:pPr>
      <w:r>
        <w:rPr>
          <w:b/>
        </w:rPr>
      </w:r>
    </w:p>
    <w:p>
      <w:pPr>
        <w:pStyle w:val="Normal"/>
        <w:keepNext w:val="true"/>
        <w:keepLines/>
        <w:numPr>
          <w:ilvl w:val="0"/>
          <w:numId w:val="0"/>
        </w:numPr>
        <w:ind w:left="0" w:firstLine="709"/>
        <w:jc w:val="both"/>
        <w:outlineLvl w:val="1"/>
        <w:rPr>
          <w:b/>
          <w:b/>
        </w:rPr>
      </w:pPr>
      <w:r>
        <w:rPr>
          <w:b/>
        </w:rPr>
        <w:t>11.10. Описание изменений в показателях надежности теплоснабжения за период, предшествующий актуализации схемы теплоснабжения, с учетом введенных в эксплуатацию новых и реконструированных тепловых сетей и сооружений на них</w:t>
      </w:r>
      <w:bookmarkEnd w:id="1260"/>
    </w:p>
    <w:p>
      <w:pPr>
        <w:pStyle w:val="Normal"/>
        <w:keepNext w:val="true"/>
        <w:keepLines/>
        <w:numPr>
          <w:ilvl w:val="0"/>
          <w:numId w:val="0"/>
        </w:numPr>
        <w:ind w:left="0" w:firstLine="709"/>
        <w:jc w:val="both"/>
        <w:outlineLvl w:val="1"/>
        <w:rPr>
          <w:rFonts w:eastAsia="Calibri Light" w:cs="Calibri Light"/>
          <w:b/>
          <w:b/>
          <w:szCs w:val="26"/>
          <w:lang w:eastAsia="en-US"/>
        </w:rPr>
      </w:pPr>
      <w:r>
        <w:rPr/>
        <w:t>Изменений в показателях надежности теплоснабжения за период, предшествующий актуализации Схемы теплоснабжения, с учетом введенных в эксплуатацию новых и реконструированных тепловых сетей и сооружений на них не зафиксировано.</w:t>
      </w:r>
      <w:bookmarkEnd w:id="1250"/>
      <w:bookmarkEnd w:id="1251"/>
      <w:bookmarkEnd w:id="1252"/>
      <w:bookmarkEnd w:id="1253"/>
    </w:p>
    <w:p>
      <w:pPr>
        <w:pStyle w:val="Normal"/>
        <w:ind w:firstLine="709"/>
        <w:jc w:val="center"/>
        <w:rPr>
          <w:rFonts w:eastAsia="Calibri"/>
          <w:szCs w:val="22"/>
          <w:lang w:eastAsia="en-US"/>
        </w:rPr>
      </w:pPr>
      <w:r>
        <w:rPr>
          <w:rFonts w:eastAsia="Calibri"/>
          <w:szCs w:val="22"/>
          <w:lang w:eastAsia="en-US"/>
        </w:rPr>
      </w:r>
    </w:p>
    <w:p>
      <w:pPr>
        <w:pStyle w:val="Normal"/>
        <w:ind w:firstLine="709"/>
        <w:jc w:val="center"/>
        <w:rPr>
          <w:rFonts w:eastAsia="Calibri"/>
          <w:b/>
          <w:b/>
          <w:bCs/>
          <w:szCs w:val="22"/>
          <w:lang w:eastAsia="en-US"/>
        </w:rPr>
      </w:pPr>
      <w:r>
        <w:rPr>
          <w:rFonts w:eastAsia="Calibri"/>
          <w:b/>
          <w:bCs/>
          <w:szCs w:val="22"/>
          <w:lang w:eastAsia="en-US"/>
        </w:rPr>
      </w:r>
      <w:bookmarkStart w:id="1261" w:name="_Toc181340529"/>
      <w:bookmarkStart w:id="1262" w:name="_Toc160455182"/>
      <w:bookmarkStart w:id="1263" w:name="_Toc160530064"/>
      <w:bookmarkStart w:id="1264" w:name="_Toc181340529"/>
      <w:bookmarkStart w:id="1265" w:name="_Toc160455182"/>
      <w:bookmarkStart w:id="1266" w:name="_Toc160530064"/>
    </w:p>
    <w:p>
      <w:pPr>
        <w:pStyle w:val="Normal"/>
        <w:ind w:firstLine="709"/>
        <w:jc w:val="center"/>
        <w:rPr>
          <w:rFonts w:eastAsia="Calibri"/>
          <w:b/>
          <w:b/>
          <w:bCs/>
          <w:szCs w:val="22"/>
          <w:lang w:eastAsia="en-US"/>
        </w:rPr>
      </w:pPr>
      <w:r>
        <w:rPr>
          <w:rFonts w:eastAsia="Calibri"/>
          <w:b/>
          <w:bCs/>
          <w:szCs w:val="22"/>
          <w:lang w:eastAsia="en-US"/>
        </w:rPr>
      </w:r>
    </w:p>
    <w:p>
      <w:pPr>
        <w:pStyle w:val="Normal"/>
        <w:ind w:firstLine="709"/>
        <w:jc w:val="center"/>
        <w:rPr>
          <w:rFonts w:eastAsia="Calibri"/>
          <w:b/>
          <w:b/>
          <w:bCs/>
          <w:szCs w:val="22"/>
          <w:lang w:eastAsia="en-US"/>
        </w:rPr>
      </w:pPr>
      <w:r>
        <w:rPr>
          <w:rFonts w:eastAsia="Calibri"/>
          <w:b/>
          <w:bCs/>
          <w:szCs w:val="22"/>
          <w:lang w:eastAsia="en-US"/>
        </w:rPr>
      </w:r>
    </w:p>
    <w:p>
      <w:pPr>
        <w:pStyle w:val="Normal"/>
        <w:ind w:firstLine="709"/>
        <w:jc w:val="center"/>
        <w:rPr>
          <w:rFonts w:eastAsia="Calibri"/>
          <w:b/>
          <w:b/>
          <w:bCs/>
          <w:szCs w:val="22"/>
          <w:lang w:eastAsia="en-US"/>
        </w:rPr>
      </w:pPr>
      <w:r>
        <w:rPr>
          <w:rFonts w:eastAsia="Calibri"/>
          <w:b/>
          <w:bCs/>
          <w:szCs w:val="22"/>
          <w:lang w:eastAsia="en-US"/>
        </w:rPr>
      </w:r>
    </w:p>
    <w:p>
      <w:pPr>
        <w:pStyle w:val="Normal"/>
        <w:ind w:firstLine="709"/>
        <w:jc w:val="center"/>
        <w:rPr>
          <w:rFonts w:eastAsia="Calibri"/>
          <w:b/>
          <w:b/>
          <w:bCs/>
          <w:szCs w:val="22"/>
          <w:lang w:eastAsia="en-US"/>
        </w:rPr>
      </w:pPr>
      <w:r>
        <w:rPr>
          <w:rFonts w:eastAsia="Calibri"/>
          <w:b/>
          <w:bCs/>
          <w:szCs w:val="22"/>
          <w:lang w:eastAsia="en-US"/>
        </w:rPr>
      </w:r>
    </w:p>
    <w:p>
      <w:pPr>
        <w:pStyle w:val="Normal"/>
        <w:ind w:firstLine="709"/>
        <w:jc w:val="center"/>
        <w:rPr>
          <w:rFonts w:eastAsia="Calibri"/>
          <w:b/>
          <w:b/>
          <w:bCs/>
          <w:szCs w:val="22"/>
          <w:lang w:eastAsia="en-US"/>
        </w:rPr>
      </w:pPr>
      <w:r>
        <w:rPr>
          <w:rFonts w:eastAsia="Calibri"/>
          <w:b/>
          <w:bCs/>
          <w:szCs w:val="22"/>
          <w:lang w:eastAsia="en-US"/>
        </w:rPr>
      </w:r>
    </w:p>
    <w:p>
      <w:pPr>
        <w:pStyle w:val="Normal"/>
        <w:ind w:firstLine="709"/>
        <w:jc w:val="center"/>
        <w:rPr>
          <w:rFonts w:eastAsia="Calibri"/>
          <w:b/>
          <w:b/>
          <w:bCs/>
          <w:szCs w:val="22"/>
          <w:lang w:eastAsia="en-US"/>
        </w:rPr>
      </w:pPr>
      <w:r>
        <w:rPr>
          <w:rFonts w:eastAsia="Calibri"/>
          <w:b/>
          <w:bCs/>
          <w:szCs w:val="22"/>
          <w:lang w:eastAsia="en-US"/>
        </w:rPr>
      </w:r>
    </w:p>
    <w:p>
      <w:pPr>
        <w:pStyle w:val="Normal"/>
        <w:ind w:firstLine="709"/>
        <w:jc w:val="center"/>
        <w:rPr>
          <w:rFonts w:eastAsia="Calibri"/>
          <w:b/>
          <w:b/>
          <w:bCs/>
          <w:szCs w:val="22"/>
          <w:lang w:eastAsia="en-US"/>
        </w:rPr>
      </w:pPr>
      <w:r>
        <w:rPr>
          <w:rFonts w:eastAsia="Calibri"/>
          <w:b/>
          <w:bCs/>
          <w:szCs w:val="22"/>
          <w:lang w:eastAsia="en-US"/>
        </w:rPr>
      </w:r>
    </w:p>
    <w:p>
      <w:pPr>
        <w:pStyle w:val="Normal"/>
        <w:ind w:firstLine="709"/>
        <w:jc w:val="center"/>
        <w:rPr>
          <w:rFonts w:eastAsia="Calibri"/>
          <w:b/>
          <w:b/>
          <w:bCs/>
          <w:szCs w:val="22"/>
          <w:lang w:eastAsia="en-US"/>
        </w:rPr>
      </w:pPr>
      <w:r>
        <w:rPr>
          <w:rFonts w:eastAsia="Calibri"/>
          <w:b/>
          <w:bCs/>
          <w:szCs w:val="22"/>
          <w:lang w:eastAsia="en-US"/>
        </w:rPr>
      </w:r>
    </w:p>
    <w:p>
      <w:pPr>
        <w:pStyle w:val="Normal"/>
        <w:ind w:firstLine="709"/>
        <w:jc w:val="center"/>
        <w:rPr>
          <w:rFonts w:eastAsia="Calibri"/>
          <w:b/>
          <w:b/>
          <w:bCs/>
          <w:szCs w:val="22"/>
          <w:lang w:eastAsia="en-US"/>
        </w:rPr>
      </w:pPr>
      <w:r>
        <w:rPr>
          <w:rFonts w:eastAsia="Calibri"/>
          <w:b/>
          <w:bCs/>
          <w:szCs w:val="22"/>
          <w:lang w:eastAsia="en-US"/>
        </w:rPr>
      </w:r>
    </w:p>
    <w:p>
      <w:pPr>
        <w:pStyle w:val="Normal"/>
        <w:ind w:firstLine="709"/>
        <w:jc w:val="center"/>
        <w:rPr>
          <w:rFonts w:eastAsia="Calibri"/>
          <w:b/>
          <w:b/>
          <w:bCs/>
          <w:szCs w:val="22"/>
          <w:lang w:eastAsia="en-US"/>
        </w:rPr>
      </w:pPr>
      <w:r>
        <w:rPr>
          <w:rFonts w:eastAsia="Calibri"/>
          <w:b/>
          <w:bCs/>
          <w:szCs w:val="22"/>
          <w:lang w:eastAsia="en-US"/>
        </w:rPr>
      </w:r>
    </w:p>
    <w:p>
      <w:pPr>
        <w:pStyle w:val="Normal"/>
        <w:ind w:firstLine="709"/>
        <w:jc w:val="center"/>
        <w:rPr>
          <w:rFonts w:eastAsia="Calibri"/>
          <w:b/>
          <w:b/>
          <w:bCs/>
          <w:szCs w:val="22"/>
          <w:lang w:eastAsia="en-US"/>
        </w:rPr>
      </w:pPr>
      <w:r>
        <w:rPr>
          <w:rFonts w:eastAsia="Calibri"/>
          <w:b/>
          <w:bCs/>
          <w:szCs w:val="22"/>
          <w:lang w:eastAsia="en-US"/>
        </w:rPr>
      </w:r>
    </w:p>
    <w:p>
      <w:pPr>
        <w:pStyle w:val="Normal"/>
        <w:ind w:firstLine="709"/>
        <w:jc w:val="center"/>
        <w:rPr>
          <w:rFonts w:eastAsia="Calibri"/>
          <w:b/>
          <w:b/>
          <w:bCs/>
          <w:szCs w:val="22"/>
          <w:lang w:eastAsia="en-US"/>
        </w:rPr>
      </w:pPr>
      <w:r>
        <w:rPr>
          <w:rFonts w:eastAsia="Calibri"/>
          <w:b/>
          <w:bCs/>
          <w:szCs w:val="22"/>
          <w:lang w:eastAsia="en-US"/>
        </w:rPr>
      </w:r>
    </w:p>
    <w:p>
      <w:pPr>
        <w:sectPr>
          <w:headerReference w:type="default" r:id="rId68"/>
          <w:footerReference w:type="default" r:id="rId69"/>
          <w:type w:val="nextPage"/>
          <w:pgSz w:w="11906" w:h="16838"/>
          <w:pgMar w:left="1701" w:right="567" w:header="567" w:top="1134" w:footer="567" w:bottom="1134" w:gutter="0"/>
          <w:pgNumType w:fmt="decimal"/>
          <w:formProt w:val="false"/>
          <w:textDirection w:val="lrTb"/>
          <w:docGrid w:type="default" w:linePitch="326" w:charSpace="0"/>
        </w:sectPr>
        <w:pStyle w:val="Normal"/>
        <w:ind w:firstLine="709"/>
        <w:jc w:val="center"/>
        <w:rPr>
          <w:rFonts w:eastAsia="Calibri"/>
          <w:b/>
          <w:b/>
          <w:bCs/>
          <w:szCs w:val="22"/>
          <w:lang w:eastAsia="en-US"/>
        </w:rPr>
      </w:pPr>
      <w:r>
        <w:rPr>
          <w:rFonts w:eastAsia="Calibri"/>
          <w:b/>
          <w:bCs/>
          <w:szCs w:val="22"/>
          <w:lang w:eastAsia="en-US"/>
        </w:rPr>
      </w:r>
    </w:p>
    <w:p>
      <w:pPr>
        <w:pStyle w:val="Normal"/>
        <w:ind w:firstLine="709"/>
        <w:jc w:val="center"/>
        <w:rPr>
          <w:rFonts w:eastAsia="Calibri" w:cs="Calibri"/>
          <w:b/>
          <w:b/>
          <w:bCs/>
          <w:szCs w:val="22"/>
          <w:lang w:eastAsia="en-US"/>
        </w:rPr>
      </w:pPr>
      <w:r>
        <w:rPr>
          <w:rFonts w:eastAsia="Calibri"/>
          <w:b/>
          <w:bCs/>
          <w:szCs w:val="22"/>
          <w:lang w:eastAsia="en-US"/>
        </w:rPr>
        <w:t>Глава 12 «Обоснование инвестиций в строительство, реконструкцию, техническое перевооружение и (или) модернизацию»</w:t>
      </w:r>
    </w:p>
    <w:p>
      <w:pPr>
        <w:pStyle w:val="2"/>
        <w:spacing w:before="0" w:after="0"/>
        <w:ind w:hanging="0"/>
        <w:rPr>
          <w:rFonts w:eastAsia="Calibri" w:cs="" w:cstheme="minorBidi" w:eastAsiaTheme="minorHAnsi"/>
          <w:b w:val="false"/>
          <w:b w:val="false"/>
          <w:color w:val="auto"/>
          <w:szCs w:val="22"/>
        </w:rPr>
      </w:pPr>
      <w:r>
        <w:rPr>
          <w:rFonts w:eastAsia="Calibri" w:cs="" w:cstheme="minorBidi" w:eastAsiaTheme="minorHAnsi"/>
          <w:b w:val="false"/>
          <w:color w:val="auto"/>
          <w:szCs w:val="22"/>
        </w:rPr>
      </w:r>
    </w:p>
    <w:p>
      <w:pPr>
        <w:pStyle w:val="2"/>
        <w:spacing w:before="0" w:after="0"/>
        <w:ind w:firstLine="567"/>
        <w:rPr>
          <w:color w:val="auto"/>
          <w:szCs w:val="24"/>
        </w:rPr>
      </w:pPr>
      <w:bookmarkStart w:id="1267" w:name="_Toc181365971"/>
      <w:r>
        <w:rPr>
          <w:color w:val="auto"/>
          <w:szCs w:val="24"/>
        </w:rPr>
        <w:t>12.1. Оценка финансовых потребностей для осуществления строительства, реконструкции, технического перевооружения и (или) модернизации источников тепловой энергии и тепловых сетей</w:t>
      </w:r>
      <w:bookmarkEnd w:id="1267"/>
    </w:p>
    <w:p>
      <w:pPr>
        <w:pStyle w:val="2"/>
        <w:spacing w:before="0" w:after="0"/>
        <w:ind w:firstLine="567"/>
        <w:rPr>
          <w:color w:val="auto"/>
          <w:szCs w:val="24"/>
        </w:rPr>
      </w:pPr>
      <w:r>
        <w:rPr>
          <w:b w:val="false"/>
          <w:szCs w:val="24"/>
          <w:lang w:eastAsia="ru-RU"/>
        </w:rPr>
        <w:t xml:space="preserve">Оценка инвестиций и анализ ценовых (тарифных) последствий реализации проектов схемы теплоснабжения разрабатываются в соответствии с Требованиями к схемам теплоснабжения, утвержденных постановлением Правительства Российской Федерации                            </w:t>
      </w:r>
      <w:r>
        <w:rPr>
          <w:rFonts w:cs="Times New Roman"/>
          <w:b w:val="false"/>
          <w:bCs/>
          <w:szCs w:val="24"/>
        </w:rPr>
        <w:t>от 22.02.2012 № 154.</w:t>
      </w:r>
    </w:p>
    <w:p>
      <w:pPr>
        <w:pStyle w:val="2"/>
        <w:spacing w:before="0" w:after="0"/>
        <w:ind w:firstLine="567"/>
        <w:rPr>
          <w:b w:val="false"/>
          <w:b w:val="false"/>
          <w:lang w:eastAsia="ru-RU"/>
        </w:rPr>
      </w:pPr>
      <w:r>
        <w:rPr>
          <w:b w:val="false"/>
          <w:szCs w:val="24"/>
          <w:lang w:eastAsia="ru-RU"/>
        </w:rPr>
        <w:t>На основании материалов, приведенных в Главах 7 – 8, а также в мастер-плане развития системы теплоснабжения сформирован перечень мероприятий</w:t>
      </w:r>
      <w:r>
        <w:rPr>
          <w:b w:val="false"/>
          <w:lang w:eastAsia="ru-RU"/>
        </w:rPr>
        <w:t xml:space="preserve"> с графиком финансирования для поселения, который приведен в таблице 33.</w:t>
      </w:r>
      <w:bookmarkStart w:id="1268" w:name="_Hlk160648837"/>
      <w:bookmarkEnd w:id="1264"/>
      <w:bookmarkEnd w:id="1265"/>
      <w:bookmarkEnd w:id="1266"/>
      <w:bookmarkEnd w:id="1268"/>
    </w:p>
    <w:p>
      <w:pPr>
        <w:pStyle w:val="Normal"/>
        <w:jc w:val="right"/>
        <w:rPr>
          <w:rFonts w:eastAsia="Calibri" w:cs="Calibri"/>
          <w:iCs/>
          <w:szCs w:val="18"/>
          <w:lang w:eastAsia="en-US"/>
        </w:rPr>
      </w:pPr>
      <w:bookmarkStart w:id="1269" w:name="_Ref34049787"/>
      <w:r>
        <w:rPr>
          <w:rFonts w:eastAsia="Calibri" w:cs="Calibri"/>
          <w:iCs/>
          <w:szCs w:val="18"/>
          <w:lang w:eastAsia="en-US"/>
        </w:rPr>
        <w:t xml:space="preserve">Таблица </w:t>
      </w:r>
      <w:bookmarkEnd w:id="1269"/>
      <w:r>
        <w:rPr>
          <w:rFonts w:eastAsia="Calibri" w:cs="Calibri"/>
          <w:iCs/>
          <w:szCs w:val="18"/>
          <w:lang w:eastAsia="en-US"/>
        </w:rPr>
        <w:t>33 – График финансирования и перечень мероприятий, тыс.рублей</w:t>
      </w:r>
    </w:p>
    <w:tbl>
      <w:tblPr>
        <w:tblW w:w="5000" w:type="pct"/>
        <w:jc w:val="left"/>
        <w:tblInd w:w="0" w:type="dxa"/>
        <w:tblCellMar>
          <w:top w:w="0" w:type="dxa"/>
          <w:left w:w="108" w:type="dxa"/>
          <w:bottom w:w="0" w:type="dxa"/>
          <w:right w:w="108" w:type="dxa"/>
        </w:tblCellMar>
        <w:tblLook w:val="04a0" w:noVBand="1" w:noHBand="0" w:lastColumn="0" w:firstColumn="1" w:lastRow="0" w:firstRow="1"/>
      </w:tblPr>
      <w:tblGrid>
        <w:gridCol w:w="2042"/>
        <w:gridCol w:w="3667"/>
        <w:gridCol w:w="956"/>
        <w:gridCol w:w="956"/>
        <w:gridCol w:w="957"/>
        <w:gridCol w:w="956"/>
        <w:gridCol w:w="954"/>
        <w:gridCol w:w="961"/>
        <w:gridCol w:w="955"/>
        <w:gridCol w:w="956"/>
        <w:gridCol w:w="1208"/>
      </w:tblGrid>
      <w:tr>
        <w:trPr>
          <w:tblHeader w:val="true"/>
          <w:trHeight w:val="20" w:hRule="atLeast"/>
        </w:trPr>
        <w:tc>
          <w:tcPr>
            <w:tcW w:w="20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xml:space="preserve">№ </w:t>
            </w:r>
            <w:r>
              <w:rPr>
                <w:sz w:val="20"/>
                <w:szCs w:val="20"/>
                <w:lang w:eastAsia="ru-RU"/>
              </w:rPr>
              <w:t>проекта</w:t>
            </w:r>
          </w:p>
        </w:tc>
        <w:tc>
          <w:tcPr>
            <w:tcW w:w="36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Наименование</w:t>
            </w:r>
          </w:p>
        </w:tc>
        <w:tc>
          <w:tcPr>
            <w:tcW w:w="9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Итого</w:t>
            </w:r>
          </w:p>
        </w:tc>
        <w:tc>
          <w:tcPr>
            <w:tcW w:w="9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2024</w:t>
            </w:r>
          </w:p>
        </w:tc>
        <w:tc>
          <w:tcPr>
            <w:tcW w:w="9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2025</w:t>
            </w:r>
          </w:p>
        </w:tc>
        <w:tc>
          <w:tcPr>
            <w:tcW w:w="9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2026</w:t>
            </w:r>
          </w:p>
        </w:tc>
        <w:tc>
          <w:tcPr>
            <w:tcW w:w="9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2027</w:t>
            </w:r>
          </w:p>
        </w:tc>
        <w:tc>
          <w:tcPr>
            <w:tcW w:w="9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2028</w:t>
            </w:r>
          </w:p>
        </w:tc>
        <w:tc>
          <w:tcPr>
            <w:tcW w:w="95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2029 - 2032</w:t>
            </w:r>
          </w:p>
        </w:tc>
        <w:tc>
          <w:tcPr>
            <w:tcW w:w="95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t>2033 - 2035</w:t>
            </w:r>
          </w:p>
        </w:tc>
        <w:tc>
          <w:tcPr>
            <w:tcW w:w="120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t>Источники инвестиций</w:t>
            </w:r>
          </w:p>
        </w:tc>
      </w:tr>
      <w:tr>
        <w:trPr>
          <w:tblHeader w:val="true"/>
          <w:trHeight w:val="20" w:hRule="atLeast"/>
        </w:trPr>
        <w:tc>
          <w:tcPr>
            <w:tcW w:w="20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w:t>
            </w:r>
          </w:p>
        </w:tc>
        <w:tc>
          <w:tcPr>
            <w:tcW w:w="36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2</w:t>
            </w:r>
          </w:p>
        </w:tc>
        <w:tc>
          <w:tcPr>
            <w:tcW w:w="9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3</w:t>
            </w:r>
          </w:p>
        </w:tc>
        <w:tc>
          <w:tcPr>
            <w:tcW w:w="9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4</w:t>
            </w:r>
          </w:p>
        </w:tc>
        <w:tc>
          <w:tcPr>
            <w:tcW w:w="9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5</w:t>
            </w:r>
          </w:p>
        </w:tc>
        <w:tc>
          <w:tcPr>
            <w:tcW w:w="9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6</w:t>
            </w:r>
          </w:p>
        </w:tc>
        <w:tc>
          <w:tcPr>
            <w:tcW w:w="9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7</w:t>
            </w:r>
          </w:p>
        </w:tc>
        <w:tc>
          <w:tcPr>
            <w:tcW w:w="9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8</w:t>
            </w:r>
          </w:p>
        </w:tc>
        <w:tc>
          <w:tcPr>
            <w:tcW w:w="95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9</w:t>
            </w:r>
          </w:p>
        </w:tc>
        <w:tc>
          <w:tcPr>
            <w:tcW w:w="956"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lang w:eastAsia="ru-RU"/>
              </w:rPr>
            </w:pPr>
            <w:r>
              <w:rPr>
                <w:sz w:val="20"/>
                <w:szCs w:val="20"/>
                <w:lang w:eastAsia="ru-RU"/>
              </w:rPr>
              <w:t>10</w:t>
            </w:r>
          </w:p>
        </w:tc>
        <w:tc>
          <w:tcPr>
            <w:tcW w:w="120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t>11</w:t>
            </w:r>
          </w:p>
        </w:tc>
      </w:tr>
      <w:tr>
        <w:trPr>
          <w:trHeight w:val="20" w:hRule="atLeast"/>
        </w:trPr>
        <w:tc>
          <w:tcPr>
            <w:tcW w:w="14568" w:type="dxa"/>
            <w:gridSpan w:val="11"/>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t>Группа проектов № 001 ЕТО № 1 - МП МО Октябрьский район «ОКС»</w:t>
            </w:r>
          </w:p>
        </w:tc>
      </w:tr>
      <w:tr>
        <w:trPr>
          <w:trHeight w:val="20" w:hRule="atLeast"/>
        </w:trPr>
        <w:tc>
          <w:tcPr>
            <w:tcW w:w="2042"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001.00.00.000.000.000</w:t>
            </w:r>
          </w:p>
        </w:tc>
        <w:tc>
          <w:tcPr>
            <w:tcW w:w="36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Всего стоимость проектов</w:t>
            </w:r>
          </w:p>
        </w:tc>
        <w:tc>
          <w:tcPr>
            <w:tcW w:w="9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336317,6</w:t>
            </w:r>
          </w:p>
        </w:tc>
        <w:tc>
          <w:tcPr>
            <w:tcW w:w="9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198089,2</w:t>
            </w:r>
          </w:p>
        </w:tc>
        <w:tc>
          <w:tcPr>
            <w:tcW w:w="9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15799,6</w:t>
            </w:r>
          </w:p>
        </w:tc>
        <w:tc>
          <w:tcPr>
            <w:tcW w:w="9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550</w:t>
            </w:r>
          </w:p>
        </w:tc>
        <w:tc>
          <w:tcPr>
            <w:tcW w:w="9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110418,6</w:t>
            </w:r>
          </w:p>
        </w:tc>
        <w:tc>
          <w:tcPr>
            <w:tcW w:w="9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18110,2</w:t>
            </w:r>
          </w:p>
        </w:tc>
        <w:tc>
          <w:tcPr>
            <w:tcW w:w="95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2200</w:t>
            </w:r>
          </w:p>
        </w:tc>
        <w:tc>
          <w:tcPr>
            <w:tcW w:w="95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t>1650</w:t>
            </w:r>
          </w:p>
        </w:tc>
        <w:tc>
          <w:tcPr>
            <w:tcW w:w="120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t>Бюджетные средства</w:t>
            </w:r>
          </w:p>
        </w:tc>
      </w:tr>
      <w:tr>
        <w:trPr>
          <w:trHeight w:val="20" w:hRule="atLeast"/>
        </w:trPr>
        <w:tc>
          <w:tcPr>
            <w:tcW w:w="204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r>
          </w:p>
        </w:tc>
        <w:tc>
          <w:tcPr>
            <w:tcW w:w="36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Всего стоимость проектов нарастающим итогом</w:t>
            </w:r>
          </w:p>
        </w:tc>
        <w:tc>
          <w:tcPr>
            <w:tcW w:w="9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336317,6</w:t>
            </w:r>
          </w:p>
        </w:tc>
        <w:tc>
          <w:tcPr>
            <w:tcW w:w="9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198089,2</w:t>
            </w:r>
          </w:p>
        </w:tc>
        <w:tc>
          <w:tcPr>
            <w:tcW w:w="9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213888,8</w:t>
            </w:r>
          </w:p>
        </w:tc>
        <w:tc>
          <w:tcPr>
            <w:tcW w:w="9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214438,8</w:t>
            </w:r>
          </w:p>
        </w:tc>
        <w:tc>
          <w:tcPr>
            <w:tcW w:w="9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324857,4</w:t>
            </w:r>
          </w:p>
        </w:tc>
        <w:tc>
          <w:tcPr>
            <w:tcW w:w="9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342967,6</w:t>
            </w:r>
          </w:p>
        </w:tc>
        <w:tc>
          <w:tcPr>
            <w:tcW w:w="95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345167,6</w:t>
            </w:r>
          </w:p>
        </w:tc>
        <w:tc>
          <w:tcPr>
            <w:tcW w:w="95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t>346817,6</w:t>
            </w:r>
          </w:p>
        </w:tc>
        <w:tc>
          <w:tcPr>
            <w:tcW w:w="120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t>Бюджетные средства</w:t>
            </w:r>
          </w:p>
        </w:tc>
      </w:tr>
      <w:tr>
        <w:trPr>
          <w:trHeight w:val="20" w:hRule="atLeast"/>
        </w:trPr>
        <w:tc>
          <w:tcPr>
            <w:tcW w:w="14568" w:type="dxa"/>
            <w:gridSpan w:val="11"/>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Группа проектов «Источники теплоснабжения»</w:t>
            </w:r>
          </w:p>
        </w:tc>
      </w:tr>
      <w:tr>
        <w:trPr>
          <w:trHeight w:val="20" w:hRule="atLeast"/>
        </w:trPr>
        <w:tc>
          <w:tcPr>
            <w:tcW w:w="2042"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xml:space="preserve"> </w:t>
            </w:r>
            <w:r>
              <w:rPr>
                <w:sz w:val="20"/>
                <w:szCs w:val="20"/>
                <w:lang w:eastAsia="ru-RU"/>
              </w:rPr>
              <w:t>001.01.00.000</w:t>
            </w:r>
          </w:p>
        </w:tc>
        <w:tc>
          <w:tcPr>
            <w:tcW w:w="36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Всего стоимость группы проектов</w:t>
            </w:r>
          </w:p>
        </w:tc>
        <w:tc>
          <w:tcPr>
            <w:tcW w:w="9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285215,6</w:t>
            </w:r>
          </w:p>
        </w:tc>
        <w:tc>
          <w:tcPr>
            <w:tcW w:w="9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197539,2</w:t>
            </w:r>
          </w:p>
        </w:tc>
        <w:tc>
          <w:tcPr>
            <w:tcW w:w="9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15249,6</w:t>
            </w:r>
          </w:p>
        </w:tc>
        <w:tc>
          <w:tcPr>
            <w:tcW w:w="9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w:t>
            </w:r>
          </w:p>
        </w:tc>
        <w:tc>
          <w:tcPr>
            <w:tcW w:w="9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82926,8</w:t>
            </w:r>
          </w:p>
        </w:tc>
        <w:tc>
          <w:tcPr>
            <w:tcW w:w="9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w:t>
            </w:r>
          </w:p>
        </w:tc>
        <w:tc>
          <w:tcPr>
            <w:tcW w:w="95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w:t>
            </w:r>
          </w:p>
        </w:tc>
        <w:tc>
          <w:tcPr>
            <w:tcW w:w="95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t>0</w:t>
            </w:r>
          </w:p>
        </w:tc>
        <w:tc>
          <w:tcPr>
            <w:tcW w:w="120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t>Бюджетные средства</w:t>
            </w:r>
          </w:p>
        </w:tc>
      </w:tr>
      <w:tr>
        <w:trPr>
          <w:trHeight w:val="20" w:hRule="atLeast"/>
        </w:trPr>
        <w:tc>
          <w:tcPr>
            <w:tcW w:w="204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r>
          </w:p>
        </w:tc>
        <w:tc>
          <w:tcPr>
            <w:tcW w:w="36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Всего стоимость группы проектов накопленным итогом</w:t>
            </w:r>
          </w:p>
        </w:tc>
        <w:tc>
          <w:tcPr>
            <w:tcW w:w="9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285215,6</w:t>
            </w:r>
          </w:p>
        </w:tc>
        <w:tc>
          <w:tcPr>
            <w:tcW w:w="9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197539,2</w:t>
            </w:r>
          </w:p>
        </w:tc>
        <w:tc>
          <w:tcPr>
            <w:tcW w:w="9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212788,8</w:t>
            </w:r>
          </w:p>
        </w:tc>
        <w:tc>
          <w:tcPr>
            <w:tcW w:w="9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212788,8</w:t>
            </w:r>
          </w:p>
        </w:tc>
        <w:tc>
          <w:tcPr>
            <w:tcW w:w="9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295715,6</w:t>
            </w:r>
          </w:p>
        </w:tc>
        <w:tc>
          <w:tcPr>
            <w:tcW w:w="9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295715,6</w:t>
            </w:r>
          </w:p>
        </w:tc>
        <w:tc>
          <w:tcPr>
            <w:tcW w:w="95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295715,6</w:t>
            </w:r>
          </w:p>
        </w:tc>
        <w:tc>
          <w:tcPr>
            <w:tcW w:w="95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t>295715,6</w:t>
            </w:r>
          </w:p>
        </w:tc>
        <w:tc>
          <w:tcPr>
            <w:tcW w:w="120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t>Бюджетные средства</w:t>
            </w:r>
          </w:p>
        </w:tc>
      </w:tr>
      <w:tr>
        <w:trPr>
          <w:trHeight w:val="20" w:hRule="atLeast"/>
        </w:trPr>
        <w:tc>
          <w:tcPr>
            <w:tcW w:w="14568" w:type="dxa"/>
            <w:gridSpan w:val="11"/>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Подгруппа проектов «Строительство источников тепловой энергии»</w:t>
            </w:r>
          </w:p>
        </w:tc>
      </w:tr>
      <w:tr>
        <w:trPr>
          <w:trHeight w:val="20" w:hRule="atLeast"/>
        </w:trPr>
        <w:tc>
          <w:tcPr>
            <w:tcW w:w="2042"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001.01.01.000</w:t>
            </w:r>
          </w:p>
        </w:tc>
        <w:tc>
          <w:tcPr>
            <w:tcW w:w="36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Всего стоимость группы проектов</w:t>
            </w:r>
          </w:p>
        </w:tc>
        <w:tc>
          <w:tcPr>
            <w:tcW w:w="9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138800,1</w:t>
            </w:r>
          </w:p>
        </w:tc>
        <w:tc>
          <w:tcPr>
            <w:tcW w:w="9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134050,5</w:t>
            </w:r>
          </w:p>
        </w:tc>
        <w:tc>
          <w:tcPr>
            <w:tcW w:w="9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15249,6</w:t>
            </w:r>
          </w:p>
        </w:tc>
        <w:tc>
          <w:tcPr>
            <w:tcW w:w="9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w:t>
            </w:r>
          </w:p>
        </w:tc>
        <w:tc>
          <w:tcPr>
            <w:tcW w:w="9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w:t>
            </w:r>
          </w:p>
        </w:tc>
        <w:tc>
          <w:tcPr>
            <w:tcW w:w="9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w:t>
            </w:r>
          </w:p>
        </w:tc>
        <w:tc>
          <w:tcPr>
            <w:tcW w:w="95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w:t>
            </w:r>
          </w:p>
        </w:tc>
        <w:tc>
          <w:tcPr>
            <w:tcW w:w="95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t>0</w:t>
            </w:r>
          </w:p>
        </w:tc>
        <w:tc>
          <w:tcPr>
            <w:tcW w:w="120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t>Бюджетные средства</w:t>
            </w:r>
          </w:p>
        </w:tc>
      </w:tr>
      <w:tr>
        <w:trPr>
          <w:trHeight w:val="20" w:hRule="atLeast"/>
        </w:trPr>
        <w:tc>
          <w:tcPr>
            <w:tcW w:w="204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r>
          </w:p>
        </w:tc>
        <w:tc>
          <w:tcPr>
            <w:tcW w:w="36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Всего стоимость группы проектов накопленным итогом</w:t>
            </w:r>
          </w:p>
        </w:tc>
        <w:tc>
          <w:tcPr>
            <w:tcW w:w="9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138800,1</w:t>
            </w:r>
          </w:p>
        </w:tc>
        <w:tc>
          <w:tcPr>
            <w:tcW w:w="9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134050,5</w:t>
            </w:r>
          </w:p>
        </w:tc>
        <w:tc>
          <w:tcPr>
            <w:tcW w:w="9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149300,1</w:t>
            </w:r>
          </w:p>
        </w:tc>
        <w:tc>
          <w:tcPr>
            <w:tcW w:w="9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149300,1</w:t>
            </w:r>
          </w:p>
        </w:tc>
        <w:tc>
          <w:tcPr>
            <w:tcW w:w="9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149300,1</w:t>
            </w:r>
          </w:p>
        </w:tc>
        <w:tc>
          <w:tcPr>
            <w:tcW w:w="9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149300,1</w:t>
            </w:r>
          </w:p>
        </w:tc>
        <w:tc>
          <w:tcPr>
            <w:tcW w:w="95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149300,1</w:t>
            </w:r>
          </w:p>
        </w:tc>
        <w:tc>
          <w:tcPr>
            <w:tcW w:w="95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t>149300,1</w:t>
            </w:r>
          </w:p>
        </w:tc>
        <w:tc>
          <w:tcPr>
            <w:tcW w:w="120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t>Бюджетные средства</w:t>
            </w:r>
          </w:p>
        </w:tc>
      </w:tr>
      <w:tr>
        <w:trPr>
          <w:trHeight w:val="20" w:hRule="atLeast"/>
        </w:trPr>
        <w:tc>
          <w:tcPr>
            <w:tcW w:w="20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001.01.01.001</w:t>
            </w:r>
          </w:p>
        </w:tc>
        <w:tc>
          <w:tcPr>
            <w:tcW w:w="36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sz w:val="20"/>
                <w:szCs w:val="20"/>
                <w:lang w:eastAsia="ru-RU"/>
              </w:rPr>
            </w:pPr>
            <w:r>
              <w:rPr>
                <w:sz w:val="20"/>
                <w:szCs w:val="20"/>
                <w:lang w:eastAsia="ru-RU"/>
              </w:rPr>
              <w:t>Строительство котельной по ул.Дзержинского, 14 в пгт.Октябрьское. Вывод из эксплуатации котельной № 2 по ул.Пионерская, 17Б и котельной № 6 по ул.Дзержинского, 2Б с переключением нагрузки на новую котельную по ул.Дзержинского, 14</w:t>
            </w:r>
          </w:p>
        </w:tc>
        <w:tc>
          <w:tcPr>
            <w:tcW w:w="9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123550,5</w:t>
            </w:r>
          </w:p>
        </w:tc>
        <w:tc>
          <w:tcPr>
            <w:tcW w:w="9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123550,5</w:t>
            </w:r>
          </w:p>
        </w:tc>
        <w:tc>
          <w:tcPr>
            <w:tcW w:w="9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w:t>
            </w:r>
          </w:p>
        </w:tc>
        <w:tc>
          <w:tcPr>
            <w:tcW w:w="9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w:t>
            </w:r>
          </w:p>
        </w:tc>
        <w:tc>
          <w:tcPr>
            <w:tcW w:w="9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w:t>
            </w:r>
          </w:p>
        </w:tc>
        <w:tc>
          <w:tcPr>
            <w:tcW w:w="9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w:t>
            </w:r>
          </w:p>
        </w:tc>
        <w:tc>
          <w:tcPr>
            <w:tcW w:w="95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w:t>
            </w:r>
          </w:p>
        </w:tc>
        <w:tc>
          <w:tcPr>
            <w:tcW w:w="95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t> </w:t>
            </w:r>
          </w:p>
        </w:tc>
        <w:tc>
          <w:tcPr>
            <w:tcW w:w="120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t>Бюджетные средства</w:t>
            </w:r>
          </w:p>
        </w:tc>
      </w:tr>
      <w:tr>
        <w:trPr>
          <w:trHeight w:val="20" w:hRule="atLeast"/>
        </w:trPr>
        <w:tc>
          <w:tcPr>
            <w:tcW w:w="20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001.01.01.002</w:t>
            </w:r>
          </w:p>
        </w:tc>
        <w:tc>
          <w:tcPr>
            <w:tcW w:w="36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sz w:val="20"/>
                <w:szCs w:val="20"/>
                <w:lang w:eastAsia="ru-RU"/>
              </w:rPr>
            </w:pPr>
            <w:r>
              <w:rPr>
                <w:sz w:val="20"/>
                <w:szCs w:val="20"/>
                <w:lang w:eastAsia="ru-RU"/>
              </w:rPr>
              <w:t>Децентрализация системы теплоснабжения пгт.Октябрьское путем перехода на автономные источники теплоснабжения, отказ от эксплуатации тепловых сетей, вывод котельной № 8 пгт.Октябрьское, ул.50 лет Победы, 38а из эксплуатации</w:t>
            </w:r>
          </w:p>
        </w:tc>
        <w:tc>
          <w:tcPr>
            <w:tcW w:w="9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15249,6</w:t>
            </w:r>
          </w:p>
        </w:tc>
        <w:tc>
          <w:tcPr>
            <w:tcW w:w="9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w:t>
            </w:r>
          </w:p>
        </w:tc>
        <w:tc>
          <w:tcPr>
            <w:tcW w:w="9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15249,6</w:t>
            </w:r>
          </w:p>
        </w:tc>
        <w:tc>
          <w:tcPr>
            <w:tcW w:w="9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w:t>
            </w:r>
          </w:p>
        </w:tc>
        <w:tc>
          <w:tcPr>
            <w:tcW w:w="9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w:t>
            </w:r>
          </w:p>
        </w:tc>
        <w:tc>
          <w:tcPr>
            <w:tcW w:w="9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w:t>
            </w:r>
          </w:p>
        </w:tc>
        <w:tc>
          <w:tcPr>
            <w:tcW w:w="95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w:t>
            </w:r>
          </w:p>
        </w:tc>
        <w:tc>
          <w:tcPr>
            <w:tcW w:w="95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t> </w:t>
            </w:r>
          </w:p>
        </w:tc>
        <w:tc>
          <w:tcPr>
            <w:tcW w:w="120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t>Бюджетные средства</w:t>
            </w:r>
          </w:p>
        </w:tc>
      </w:tr>
      <w:tr>
        <w:trPr>
          <w:trHeight w:val="20" w:hRule="atLeast"/>
        </w:trPr>
        <w:tc>
          <w:tcPr>
            <w:tcW w:w="20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001.01.01.003</w:t>
            </w:r>
          </w:p>
        </w:tc>
        <w:tc>
          <w:tcPr>
            <w:tcW w:w="36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sz w:val="20"/>
                <w:szCs w:val="20"/>
                <w:lang w:eastAsia="ru-RU"/>
              </w:rPr>
            </w:pPr>
            <w:r>
              <w:rPr>
                <w:sz w:val="20"/>
                <w:szCs w:val="20"/>
                <w:lang w:eastAsia="ru-RU"/>
              </w:rPr>
              <w:t>Децентрализация теплоснабжения жилых домов № 1, 5, 6, 7, 9 (кв.2), 11, 12 , 18, 24, 30а по ул.Урманной</w:t>
            </w:r>
          </w:p>
        </w:tc>
        <w:tc>
          <w:tcPr>
            <w:tcW w:w="9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w:t>
            </w:r>
          </w:p>
        </w:tc>
        <w:tc>
          <w:tcPr>
            <w:tcW w:w="9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5500</w:t>
            </w:r>
          </w:p>
        </w:tc>
        <w:tc>
          <w:tcPr>
            <w:tcW w:w="9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w:t>
            </w:r>
          </w:p>
        </w:tc>
        <w:tc>
          <w:tcPr>
            <w:tcW w:w="9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w:t>
            </w:r>
          </w:p>
        </w:tc>
        <w:tc>
          <w:tcPr>
            <w:tcW w:w="9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w:t>
            </w:r>
          </w:p>
        </w:tc>
        <w:tc>
          <w:tcPr>
            <w:tcW w:w="9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w:t>
            </w:r>
          </w:p>
        </w:tc>
        <w:tc>
          <w:tcPr>
            <w:tcW w:w="95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w:t>
            </w:r>
          </w:p>
        </w:tc>
        <w:tc>
          <w:tcPr>
            <w:tcW w:w="95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t> </w:t>
            </w:r>
          </w:p>
        </w:tc>
        <w:tc>
          <w:tcPr>
            <w:tcW w:w="120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t>Бюджетные средства</w:t>
            </w:r>
          </w:p>
        </w:tc>
      </w:tr>
      <w:tr>
        <w:trPr>
          <w:trHeight w:val="20" w:hRule="atLeast"/>
        </w:trPr>
        <w:tc>
          <w:tcPr>
            <w:tcW w:w="20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001.01.01.004</w:t>
            </w:r>
          </w:p>
        </w:tc>
        <w:tc>
          <w:tcPr>
            <w:tcW w:w="36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sz w:val="20"/>
                <w:szCs w:val="20"/>
                <w:lang w:eastAsia="ru-RU"/>
              </w:rPr>
            </w:pPr>
            <w:r>
              <w:rPr>
                <w:sz w:val="20"/>
                <w:szCs w:val="20"/>
                <w:lang w:eastAsia="ru-RU"/>
              </w:rPr>
              <w:t>Децентрализация теплоснабжения жилых домов № 12, 14, 19, 77, 80 по ул.Чапаева</w:t>
            </w:r>
          </w:p>
        </w:tc>
        <w:tc>
          <w:tcPr>
            <w:tcW w:w="9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w:t>
            </w:r>
          </w:p>
        </w:tc>
        <w:tc>
          <w:tcPr>
            <w:tcW w:w="9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3500</w:t>
            </w:r>
          </w:p>
        </w:tc>
        <w:tc>
          <w:tcPr>
            <w:tcW w:w="9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w:t>
            </w:r>
          </w:p>
        </w:tc>
        <w:tc>
          <w:tcPr>
            <w:tcW w:w="9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w:t>
            </w:r>
          </w:p>
        </w:tc>
        <w:tc>
          <w:tcPr>
            <w:tcW w:w="9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w:t>
            </w:r>
          </w:p>
        </w:tc>
        <w:tc>
          <w:tcPr>
            <w:tcW w:w="9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w:t>
            </w:r>
          </w:p>
        </w:tc>
        <w:tc>
          <w:tcPr>
            <w:tcW w:w="95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w:t>
            </w:r>
          </w:p>
        </w:tc>
        <w:tc>
          <w:tcPr>
            <w:tcW w:w="95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t> </w:t>
            </w:r>
          </w:p>
        </w:tc>
        <w:tc>
          <w:tcPr>
            <w:tcW w:w="120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t>Бюджетные средства</w:t>
            </w:r>
          </w:p>
        </w:tc>
      </w:tr>
      <w:tr>
        <w:trPr>
          <w:trHeight w:val="20" w:hRule="atLeast"/>
        </w:trPr>
        <w:tc>
          <w:tcPr>
            <w:tcW w:w="20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001.01.01.005</w:t>
            </w:r>
          </w:p>
        </w:tc>
        <w:tc>
          <w:tcPr>
            <w:tcW w:w="36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sz w:val="20"/>
                <w:szCs w:val="20"/>
                <w:lang w:eastAsia="ru-RU"/>
              </w:rPr>
            </w:pPr>
            <w:r>
              <w:rPr>
                <w:sz w:val="20"/>
                <w:szCs w:val="20"/>
                <w:lang w:eastAsia="ru-RU"/>
              </w:rPr>
              <w:t>Децентрализация теплоснабжения жилых домов № 10 (кв. 3), 12 по ул.Победы. Вывод из ксплуатаци тепловой сети протяженностью 191 м, диаметр 76мм.</w:t>
            </w:r>
          </w:p>
        </w:tc>
        <w:tc>
          <w:tcPr>
            <w:tcW w:w="9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w:t>
            </w:r>
          </w:p>
        </w:tc>
        <w:tc>
          <w:tcPr>
            <w:tcW w:w="9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1500</w:t>
            </w:r>
          </w:p>
        </w:tc>
        <w:tc>
          <w:tcPr>
            <w:tcW w:w="9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w:t>
            </w:r>
          </w:p>
        </w:tc>
        <w:tc>
          <w:tcPr>
            <w:tcW w:w="9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w:t>
            </w:r>
          </w:p>
        </w:tc>
        <w:tc>
          <w:tcPr>
            <w:tcW w:w="9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w:t>
            </w:r>
          </w:p>
        </w:tc>
        <w:tc>
          <w:tcPr>
            <w:tcW w:w="9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w:t>
            </w:r>
          </w:p>
        </w:tc>
        <w:tc>
          <w:tcPr>
            <w:tcW w:w="95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w:t>
            </w:r>
          </w:p>
        </w:tc>
        <w:tc>
          <w:tcPr>
            <w:tcW w:w="95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t> </w:t>
            </w:r>
          </w:p>
        </w:tc>
        <w:tc>
          <w:tcPr>
            <w:tcW w:w="120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t>Бюджетные средства</w:t>
            </w:r>
          </w:p>
        </w:tc>
      </w:tr>
      <w:tr>
        <w:trPr>
          <w:trHeight w:val="20" w:hRule="atLeast"/>
        </w:trPr>
        <w:tc>
          <w:tcPr>
            <w:tcW w:w="14568" w:type="dxa"/>
            <w:gridSpan w:val="11"/>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Подгруппа проектов «Техническое перевооружение источников тепловой энергии»</w:t>
            </w:r>
          </w:p>
        </w:tc>
      </w:tr>
      <w:tr>
        <w:trPr>
          <w:trHeight w:val="20" w:hRule="atLeast"/>
        </w:trPr>
        <w:tc>
          <w:tcPr>
            <w:tcW w:w="2042"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001.01.02.000</w:t>
            </w:r>
          </w:p>
        </w:tc>
        <w:tc>
          <w:tcPr>
            <w:tcW w:w="36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Всего стоимость группы проектов</w:t>
            </w:r>
          </w:p>
        </w:tc>
        <w:tc>
          <w:tcPr>
            <w:tcW w:w="9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146415,5</w:t>
            </w:r>
          </w:p>
        </w:tc>
        <w:tc>
          <w:tcPr>
            <w:tcW w:w="9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63488,7</w:t>
            </w:r>
          </w:p>
        </w:tc>
        <w:tc>
          <w:tcPr>
            <w:tcW w:w="9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w:t>
            </w:r>
          </w:p>
        </w:tc>
        <w:tc>
          <w:tcPr>
            <w:tcW w:w="9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w:t>
            </w:r>
          </w:p>
        </w:tc>
        <w:tc>
          <w:tcPr>
            <w:tcW w:w="9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82926,8</w:t>
            </w:r>
          </w:p>
        </w:tc>
        <w:tc>
          <w:tcPr>
            <w:tcW w:w="9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w:t>
            </w:r>
          </w:p>
        </w:tc>
        <w:tc>
          <w:tcPr>
            <w:tcW w:w="95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w:t>
            </w:r>
          </w:p>
        </w:tc>
        <w:tc>
          <w:tcPr>
            <w:tcW w:w="95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t>0</w:t>
            </w:r>
          </w:p>
        </w:tc>
        <w:tc>
          <w:tcPr>
            <w:tcW w:w="120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t>Бюджетные средства</w:t>
            </w:r>
          </w:p>
        </w:tc>
      </w:tr>
      <w:tr>
        <w:trPr>
          <w:trHeight w:val="20" w:hRule="atLeast"/>
        </w:trPr>
        <w:tc>
          <w:tcPr>
            <w:tcW w:w="204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r>
          </w:p>
        </w:tc>
        <w:tc>
          <w:tcPr>
            <w:tcW w:w="36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Всего стоимость группы проектов накопленным итогом</w:t>
            </w:r>
          </w:p>
        </w:tc>
        <w:tc>
          <w:tcPr>
            <w:tcW w:w="9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146415,5</w:t>
            </w:r>
          </w:p>
        </w:tc>
        <w:tc>
          <w:tcPr>
            <w:tcW w:w="9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63488,7</w:t>
            </w:r>
          </w:p>
        </w:tc>
        <w:tc>
          <w:tcPr>
            <w:tcW w:w="9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63488,7</w:t>
            </w:r>
          </w:p>
        </w:tc>
        <w:tc>
          <w:tcPr>
            <w:tcW w:w="9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63488,7</w:t>
            </w:r>
          </w:p>
        </w:tc>
        <w:tc>
          <w:tcPr>
            <w:tcW w:w="9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146415,5</w:t>
            </w:r>
          </w:p>
        </w:tc>
        <w:tc>
          <w:tcPr>
            <w:tcW w:w="9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146415,5</w:t>
            </w:r>
          </w:p>
        </w:tc>
        <w:tc>
          <w:tcPr>
            <w:tcW w:w="95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146415,5</w:t>
            </w:r>
          </w:p>
        </w:tc>
        <w:tc>
          <w:tcPr>
            <w:tcW w:w="95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t>146415,5</w:t>
            </w:r>
          </w:p>
        </w:tc>
        <w:tc>
          <w:tcPr>
            <w:tcW w:w="120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t>Бюджетные средства</w:t>
            </w:r>
          </w:p>
        </w:tc>
      </w:tr>
      <w:tr>
        <w:trPr>
          <w:trHeight w:val="20" w:hRule="atLeast"/>
        </w:trPr>
        <w:tc>
          <w:tcPr>
            <w:tcW w:w="20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001.01.02.001</w:t>
            </w:r>
          </w:p>
        </w:tc>
        <w:tc>
          <w:tcPr>
            <w:tcW w:w="36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sz w:val="20"/>
                <w:szCs w:val="20"/>
                <w:lang w:eastAsia="ru-RU"/>
              </w:rPr>
            </w:pPr>
            <w:r>
              <w:rPr>
                <w:sz w:val="20"/>
                <w:szCs w:val="20"/>
                <w:lang w:eastAsia="ru-RU"/>
              </w:rPr>
              <w:t>Капитальный ремонт (техническое перевооружение) котельной № 12 по ул.Медицинская, 3К в пгт.Октябрьское в части замены двух котлов на новые с увеличением установленной мощности с автоматизацией технологического процесса с переключением нагрузки на котельную № 12 по ул.Медицинская, 3К котельной № 7 по ул.Медицинская, 3Б и выводом ее из эксплуатации</w:t>
            </w:r>
          </w:p>
        </w:tc>
        <w:tc>
          <w:tcPr>
            <w:tcW w:w="9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63488,7</w:t>
            </w:r>
          </w:p>
        </w:tc>
        <w:tc>
          <w:tcPr>
            <w:tcW w:w="9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63488,7</w:t>
            </w:r>
          </w:p>
        </w:tc>
        <w:tc>
          <w:tcPr>
            <w:tcW w:w="9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w:t>
            </w:r>
          </w:p>
        </w:tc>
        <w:tc>
          <w:tcPr>
            <w:tcW w:w="9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w:t>
            </w:r>
          </w:p>
        </w:tc>
        <w:tc>
          <w:tcPr>
            <w:tcW w:w="9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w:t>
            </w:r>
          </w:p>
        </w:tc>
        <w:tc>
          <w:tcPr>
            <w:tcW w:w="9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w:t>
            </w:r>
          </w:p>
        </w:tc>
        <w:tc>
          <w:tcPr>
            <w:tcW w:w="95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w:t>
            </w:r>
          </w:p>
        </w:tc>
        <w:tc>
          <w:tcPr>
            <w:tcW w:w="95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t> </w:t>
            </w:r>
          </w:p>
        </w:tc>
        <w:tc>
          <w:tcPr>
            <w:tcW w:w="120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t>Бюджетные средства</w:t>
            </w:r>
          </w:p>
        </w:tc>
      </w:tr>
      <w:tr>
        <w:trPr>
          <w:trHeight w:val="20" w:hRule="atLeast"/>
        </w:trPr>
        <w:tc>
          <w:tcPr>
            <w:tcW w:w="20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001.01.02.002</w:t>
            </w:r>
          </w:p>
        </w:tc>
        <w:tc>
          <w:tcPr>
            <w:tcW w:w="36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sz w:val="20"/>
                <w:szCs w:val="20"/>
                <w:lang w:eastAsia="ru-RU"/>
              </w:rPr>
            </w:pPr>
            <w:r>
              <w:rPr>
                <w:sz w:val="20"/>
                <w:szCs w:val="20"/>
                <w:lang w:eastAsia="ru-RU"/>
              </w:rPr>
              <w:t>Капитальный ремонт (техническое перевооружение) котельной № 1 по ул.Сенькина, 46б в пгт.Октябрьское</w:t>
            </w:r>
          </w:p>
        </w:tc>
        <w:tc>
          <w:tcPr>
            <w:tcW w:w="9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82926,8</w:t>
            </w:r>
          </w:p>
        </w:tc>
        <w:tc>
          <w:tcPr>
            <w:tcW w:w="9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w:t>
            </w:r>
          </w:p>
        </w:tc>
        <w:tc>
          <w:tcPr>
            <w:tcW w:w="9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w:t>
            </w:r>
          </w:p>
        </w:tc>
        <w:tc>
          <w:tcPr>
            <w:tcW w:w="9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w:t>
            </w:r>
          </w:p>
        </w:tc>
        <w:tc>
          <w:tcPr>
            <w:tcW w:w="9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82926,8</w:t>
            </w:r>
          </w:p>
        </w:tc>
        <w:tc>
          <w:tcPr>
            <w:tcW w:w="9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w:t>
            </w:r>
          </w:p>
        </w:tc>
        <w:tc>
          <w:tcPr>
            <w:tcW w:w="95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w:t>
            </w:r>
          </w:p>
        </w:tc>
        <w:tc>
          <w:tcPr>
            <w:tcW w:w="95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t> </w:t>
            </w:r>
          </w:p>
        </w:tc>
        <w:tc>
          <w:tcPr>
            <w:tcW w:w="120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t>Бюджетные средства</w:t>
            </w:r>
          </w:p>
        </w:tc>
      </w:tr>
      <w:tr>
        <w:trPr>
          <w:trHeight w:val="20" w:hRule="atLeast"/>
        </w:trPr>
        <w:tc>
          <w:tcPr>
            <w:tcW w:w="14568" w:type="dxa"/>
            <w:gridSpan w:val="11"/>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Группа проектов «Тепловые сети и сооружения на них»</w:t>
            </w:r>
          </w:p>
        </w:tc>
      </w:tr>
      <w:tr>
        <w:trPr>
          <w:trHeight w:val="20" w:hRule="atLeast"/>
        </w:trPr>
        <w:tc>
          <w:tcPr>
            <w:tcW w:w="2042"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xml:space="preserve"> </w:t>
            </w:r>
            <w:r>
              <w:rPr>
                <w:sz w:val="20"/>
                <w:szCs w:val="20"/>
                <w:lang w:eastAsia="ru-RU"/>
              </w:rPr>
              <w:t>001.02.00.000</w:t>
            </w:r>
          </w:p>
        </w:tc>
        <w:tc>
          <w:tcPr>
            <w:tcW w:w="36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Всего стоимость группы проектов</w:t>
            </w:r>
          </w:p>
        </w:tc>
        <w:tc>
          <w:tcPr>
            <w:tcW w:w="9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51102</w:t>
            </w:r>
          </w:p>
        </w:tc>
        <w:tc>
          <w:tcPr>
            <w:tcW w:w="9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550</w:t>
            </w:r>
          </w:p>
        </w:tc>
        <w:tc>
          <w:tcPr>
            <w:tcW w:w="9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550</w:t>
            </w:r>
          </w:p>
        </w:tc>
        <w:tc>
          <w:tcPr>
            <w:tcW w:w="9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550</w:t>
            </w:r>
          </w:p>
        </w:tc>
        <w:tc>
          <w:tcPr>
            <w:tcW w:w="9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27491,8</w:t>
            </w:r>
          </w:p>
        </w:tc>
        <w:tc>
          <w:tcPr>
            <w:tcW w:w="9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18110,2</w:t>
            </w:r>
          </w:p>
        </w:tc>
        <w:tc>
          <w:tcPr>
            <w:tcW w:w="95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2200</w:t>
            </w:r>
          </w:p>
        </w:tc>
        <w:tc>
          <w:tcPr>
            <w:tcW w:w="95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t>1650</w:t>
            </w:r>
          </w:p>
        </w:tc>
        <w:tc>
          <w:tcPr>
            <w:tcW w:w="120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t>Бюджетные средства</w:t>
            </w:r>
          </w:p>
        </w:tc>
      </w:tr>
      <w:tr>
        <w:trPr>
          <w:trHeight w:val="20" w:hRule="atLeast"/>
        </w:trPr>
        <w:tc>
          <w:tcPr>
            <w:tcW w:w="204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r>
          </w:p>
        </w:tc>
        <w:tc>
          <w:tcPr>
            <w:tcW w:w="36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Всего стоимость группы проектов накопленным итогом</w:t>
            </w:r>
          </w:p>
        </w:tc>
        <w:tc>
          <w:tcPr>
            <w:tcW w:w="9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51102</w:t>
            </w:r>
          </w:p>
        </w:tc>
        <w:tc>
          <w:tcPr>
            <w:tcW w:w="9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550</w:t>
            </w:r>
          </w:p>
        </w:tc>
        <w:tc>
          <w:tcPr>
            <w:tcW w:w="9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1100</w:t>
            </w:r>
          </w:p>
        </w:tc>
        <w:tc>
          <w:tcPr>
            <w:tcW w:w="9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1650</w:t>
            </w:r>
          </w:p>
        </w:tc>
        <w:tc>
          <w:tcPr>
            <w:tcW w:w="9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29141,8</w:t>
            </w:r>
          </w:p>
        </w:tc>
        <w:tc>
          <w:tcPr>
            <w:tcW w:w="9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47252</w:t>
            </w:r>
          </w:p>
        </w:tc>
        <w:tc>
          <w:tcPr>
            <w:tcW w:w="95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49452</w:t>
            </w:r>
          </w:p>
        </w:tc>
        <w:tc>
          <w:tcPr>
            <w:tcW w:w="95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t>51102</w:t>
            </w:r>
          </w:p>
        </w:tc>
        <w:tc>
          <w:tcPr>
            <w:tcW w:w="120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t>Бюджетные средства</w:t>
            </w:r>
          </w:p>
        </w:tc>
      </w:tr>
      <w:tr>
        <w:trPr>
          <w:trHeight w:val="20" w:hRule="atLeast"/>
        </w:trPr>
        <w:tc>
          <w:tcPr>
            <w:tcW w:w="14568" w:type="dxa"/>
            <w:gridSpan w:val="11"/>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xml:space="preserve">Подгруппа проектов «Реконструкция тепловых сетей для обеспечения надежности теплоснабжения потребителей, </w:t>
            </w:r>
          </w:p>
          <w:p>
            <w:pPr>
              <w:pStyle w:val="Normal"/>
              <w:jc w:val="center"/>
              <w:rPr>
                <w:sz w:val="20"/>
                <w:szCs w:val="20"/>
                <w:lang w:eastAsia="ru-RU"/>
              </w:rPr>
            </w:pPr>
            <w:r>
              <w:rPr>
                <w:sz w:val="20"/>
                <w:szCs w:val="20"/>
                <w:lang w:eastAsia="ru-RU"/>
              </w:rPr>
              <w:t>в том числе в связи с исчерпанием эксплуатационного ресурса»</w:t>
            </w:r>
          </w:p>
        </w:tc>
      </w:tr>
      <w:tr>
        <w:trPr>
          <w:trHeight w:val="20" w:hRule="atLeast"/>
        </w:trPr>
        <w:tc>
          <w:tcPr>
            <w:tcW w:w="2042"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001.02.02.000</w:t>
            </w:r>
          </w:p>
        </w:tc>
        <w:tc>
          <w:tcPr>
            <w:tcW w:w="36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Всего стоимость группы проектов</w:t>
            </w:r>
          </w:p>
        </w:tc>
        <w:tc>
          <w:tcPr>
            <w:tcW w:w="9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51102</w:t>
            </w:r>
          </w:p>
        </w:tc>
        <w:tc>
          <w:tcPr>
            <w:tcW w:w="9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550</w:t>
            </w:r>
          </w:p>
        </w:tc>
        <w:tc>
          <w:tcPr>
            <w:tcW w:w="9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550</w:t>
            </w:r>
          </w:p>
        </w:tc>
        <w:tc>
          <w:tcPr>
            <w:tcW w:w="9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550</w:t>
            </w:r>
          </w:p>
        </w:tc>
        <w:tc>
          <w:tcPr>
            <w:tcW w:w="9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27491,8</w:t>
            </w:r>
          </w:p>
        </w:tc>
        <w:tc>
          <w:tcPr>
            <w:tcW w:w="9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18110,2</w:t>
            </w:r>
          </w:p>
        </w:tc>
        <w:tc>
          <w:tcPr>
            <w:tcW w:w="95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2200</w:t>
            </w:r>
          </w:p>
        </w:tc>
        <w:tc>
          <w:tcPr>
            <w:tcW w:w="95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t>1650</w:t>
            </w:r>
          </w:p>
        </w:tc>
        <w:tc>
          <w:tcPr>
            <w:tcW w:w="120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t>Бюджетные средства</w:t>
            </w:r>
          </w:p>
        </w:tc>
      </w:tr>
      <w:tr>
        <w:trPr>
          <w:trHeight w:val="20" w:hRule="atLeast"/>
        </w:trPr>
        <w:tc>
          <w:tcPr>
            <w:tcW w:w="204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r>
          </w:p>
        </w:tc>
        <w:tc>
          <w:tcPr>
            <w:tcW w:w="36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Всего стоимость группы проектов накопленным итогом</w:t>
            </w:r>
          </w:p>
        </w:tc>
        <w:tc>
          <w:tcPr>
            <w:tcW w:w="9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51102</w:t>
            </w:r>
          </w:p>
        </w:tc>
        <w:tc>
          <w:tcPr>
            <w:tcW w:w="9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550</w:t>
            </w:r>
          </w:p>
        </w:tc>
        <w:tc>
          <w:tcPr>
            <w:tcW w:w="9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1100</w:t>
            </w:r>
          </w:p>
        </w:tc>
        <w:tc>
          <w:tcPr>
            <w:tcW w:w="9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1650</w:t>
            </w:r>
          </w:p>
        </w:tc>
        <w:tc>
          <w:tcPr>
            <w:tcW w:w="9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29141,8</w:t>
            </w:r>
          </w:p>
        </w:tc>
        <w:tc>
          <w:tcPr>
            <w:tcW w:w="9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47252</w:t>
            </w:r>
          </w:p>
        </w:tc>
        <w:tc>
          <w:tcPr>
            <w:tcW w:w="95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49452</w:t>
            </w:r>
          </w:p>
        </w:tc>
        <w:tc>
          <w:tcPr>
            <w:tcW w:w="95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t>51102</w:t>
            </w:r>
          </w:p>
        </w:tc>
        <w:tc>
          <w:tcPr>
            <w:tcW w:w="120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t>Бюджетные средства</w:t>
            </w:r>
          </w:p>
        </w:tc>
      </w:tr>
      <w:tr>
        <w:trPr>
          <w:trHeight w:val="20" w:hRule="atLeast"/>
        </w:trPr>
        <w:tc>
          <w:tcPr>
            <w:tcW w:w="20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001.02.02.001</w:t>
            </w:r>
          </w:p>
        </w:tc>
        <w:tc>
          <w:tcPr>
            <w:tcW w:w="36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sz w:val="20"/>
                <w:szCs w:val="20"/>
                <w:lang w:eastAsia="ru-RU"/>
              </w:rPr>
            </w:pPr>
            <w:r>
              <w:rPr>
                <w:sz w:val="20"/>
                <w:szCs w:val="20"/>
                <w:lang w:eastAsia="ru-RU"/>
              </w:rPr>
              <w:t>Реконструкция (капитальный ремонт) сетей тепло-, водоснабжения по ул.Калинина, ул.Ленина в пгт.Октябрьское</w:t>
            </w:r>
          </w:p>
        </w:tc>
        <w:tc>
          <w:tcPr>
            <w:tcW w:w="9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26941,8</w:t>
            </w:r>
          </w:p>
        </w:tc>
        <w:tc>
          <w:tcPr>
            <w:tcW w:w="9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w:t>
            </w:r>
          </w:p>
        </w:tc>
        <w:tc>
          <w:tcPr>
            <w:tcW w:w="9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w:t>
            </w:r>
          </w:p>
        </w:tc>
        <w:tc>
          <w:tcPr>
            <w:tcW w:w="9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w:t>
            </w:r>
          </w:p>
        </w:tc>
        <w:tc>
          <w:tcPr>
            <w:tcW w:w="9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26941,8</w:t>
            </w:r>
          </w:p>
        </w:tc>
        <w:tc>
          <w:tcPr>
            <w:tcW w:w="9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w:t>
            </w:r>
          </w:p>
        </w:tc>
        <w:tc>
          <w:tcPr>
            <w:tcW w:w="95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w:t>
            </w:r>
          </w:p>
        </w:tc>
        <w:tc>
          <w:tcPr>
            <w:tcW w:w="95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t> </w:t>
            </w:r>
          </w:p>
        </w:tc>
        <w:tc>
          <w:tcPr>
            <w:tcW w:w="120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t>Бюджетные средства</w:t>
            </w:r>
          </w:p>
        </w:tc>
      </w:tr>
      <w:tr>
        <w:trPr>
          <w:trHeight w:val="20" w:hRule="atLeast"/>
        </w:trPr>
        <w:tc>
          <w:tcPr>
            <w:tcW w:w="20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001.02.02.002</w:t>
            </w:r>
          </w:p>
        </w:tc>
        <w:tc>
          <w:tcPr>
            <w:tcW w:w="36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sz w:val="20"/>
                <w:szCs w:val="20"/>
                <w:lang w:eastAsia="ru-RU"/>
              </w:rPr>
            </w:pPr>
            <w:r>
              <w:rPr>
                <w:sz w:val="20"/>
                <w:szCs w:val="20"/>
                <w:lang w:eastAsia="ru-RU"/>
              </w:rPr>
              <w:t>Реконструкция (капитальный ремонт) сетей тепло-, водоснабжения по ул.Чапаева в пгт.Октябрьское</w:t>
            </w:r>
          </w:p>
        </w:tc>
        <w:tc>
          <w:tcPr>
            <w:tcW w:w="9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17560,2</w:t>
            </w:r>
          </w:p>
        </w:tc>
        <w:tc>
          <w:tcPr>
            <w:tcW w:w="9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w:t>
            </w:r>
          </w:p>
        </w:tc>
        <w:tc>
          <w:tcPr>
            <w:tcW w:w="9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w:t>
            </w:r>
          </w:p>
        </w:tc>
        <w:tc>
          <w:tcPr>
            <w:tcW w:w="9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w:t>
            </w:r>
          </w:p>
        </w:tc>
        <w:tc>
          <w:tcPr>
            <w:tcW w:w="9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w:t>
            </w:r>
          </w:p>
        </w:tc>
        <w:tc>
          <w:tcPr>
            <w:tcW w:w="9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17560,2</w:t>
            </w:r>
          </w:p>
        </w:tc>
        <w:tc>
          <w:tcPr>
            <w:tcW w:w="95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w:t>
            </w:r>
          </w:p>
        </w:tc>
        <w:tc>
          <w:tcPr>
            <w:tcW w:w="95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t> </w:t>
            </w:r>
          </w:p>
        </w:tc>
        <w:tc>
          <w:tcPr>
            <w:tcW w:w="120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t>Бюджетные средства</w:t>
            </w:r>
          </w:p>
        </w:tc>
      </w:tr>
      <w:tr>
        <w:trPr>
          <w:trHeight w:val="20" w:hRule="atLeast"/>
        </w:trPr>
        <w:tc>
          <w:tcPr>
            <w:tcW w:w="20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001.02.02.003</w:t>
            </w:r>
          </w:p>
        </w:tc>
        <w:tc>
          <w:tcPr>
            <w:tcW w:w="36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sz w:val="20"/>
                <w:szCs w:val="20"/>
                <w:lang w:eastAsia="ru-RU"/>
              </w:rPr>
            </w:pPr>
            <w:r>
              <w:rPr>
                <w:sz w:val="20"/>
                <w:szCs w:val="20"/>
                <w:lang w:eastAsia="ru-RU"/>
              </w:rPr>
              <w:t>Поэтапная замена изношенных сетей теплоснабжения, ремонт и замена запорной арматуры</w:t>
            </w:r>
          </w:p>
        </w:tc>
        <w:tc>
          <w:tcPr>
            <w:tcW w:w="9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6600</w:t>
            </w:r>
          </w:p>
        </w:tc>
        <w:tc>
          <w:tcPr>
            <w:tcW w:w="9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550</w:t>
            </w:r>
          </w:p>
        </w:tc>
        <w:tc>
          <w:tcPr>
            <w:tcW w:w="9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550</w:t>
            </w:r>
          </w:p>
        </w:tc>
        <w:tc>
          <w:tcPr>
            <w:tcW w:w="9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550</w:t>
            </w:r>
          </w:p>
        </w:tc>
        <w:tc>
          <w:tcPr>
            <w:tcW w:w="9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550</w:t>
            </w:r>
          </w:p>
        </w:tc>
        <w:tc>
          <w:tcPr>
            <w:tcW w:w="9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550</w:t>
            </w:r>
          </w:p>
        </w:tc>
        <w:tc>
          <w:tcPr>
            <w:tcW w:w="95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2200</w:t>
            </w:r>
          </w:p>
        </w:tc>
        <w:tc>
          <w:tcPr>
            <w:tcW w:w="95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t>1650</w:t>
            </w:r>
          </w:p>
        </w:tc>
        <w:tc>
          <w:tcPr>
            <w:tcW w:w="120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t>Бюджетные средства</w:t>
            </w:r>
          </w:p>
        </w:tc>
      </w:tr>
    </w:tbl>
    <w:p>
      <w:pPr>
        <w:pStyle w:val="Normal"/>
        <w:rPr>
          <w:iCs/>
          <w:lang w:eastAsia="ru-RU"/>
        </w:rPr>
      </w:pPr>
      <w:r>
        <w:rPr>
          <w:iCs/>
          <w:lang w:eastAsia="ru-RU"/>
        </w:rPr>
      </w:r>
    </w:p>
    <w:p>
      <w:pPr>
        <w:pStyle w:val="Normal"/>
        <w:tabs>
          <w:tab w:val="clear" w:pos="408"/>
          <w:tab w:val="left" w:pos="0" w:leader="none"/>
        </w:tabs>
        <w:jc w:val="both"/>
        <w:rPr>
          <w:lang w:eastAsia="ru-RU"/>
        </w:rPr>
      </w:pPr>
      <w:r>
        <w:rPr>
          <w:lang w:eastAsia="ru-RU"/>
        </w:rPr>
        <w:t xml:space="preserve"> </w:t>
      </w:r>
      <w:r>
        <w:rPr>
          <w:rFonts w:eastAsia="Calibri" w:cs="Calibri"/>
          <w:szCs w:val="22"/>
          <w:lang w:eastAsia="en-US"/>
        </w:rPr>
        <w:t>*- Объемы инвестиций в развитие системы теплоснабжения определены по укрупненным показателям на основании объектов-аналогов и должны быть уточнены на последующих стадиях проектирования.</w:t>
      </w:r>
      <w:bookmarkStart w:id="1270" w:name="_Toc160530066"/>
      <w:bookmarkStart w:id="1271" w:name="_Toc535409620"/>
      <w:bookmarkStart w:id="1272" w:name="_Toc181340531"/>
      <w:bookmarkStart w:id="1273" w:name="_Hlk160959587"/>
      <w:bookmarkStart w:id="1274" w:name="_Hlk20410408"/>
      <w:bookmarkStart w:id="1275" w:name="sub_1761"/>
      <w:bookmarkEnd w:id="1273"/>
      <w:bookmarkEnd w:id="1274"/>
      <w:bookmarkEnd w:id="1275"/>
    </w:p>
    <w:p>
      <w:pPr>
        <w:pStyle w:val="Normal"/>
        <w:tabs>
          <w:tab w:val="clear" w:pos="408"/>
          <w:tab w:val="left" w:pos="0" w:leader="none"/>
        </w:tabs>
        <w:jc w:val="both"/>
        <w:rPr>
          <w:lang w:eastAsia="ru-RU"/>
        </w:rPr>
      </w:pPr>
      <w:r>
        <w:rPr>
          <w:lang w:eastAsia="ru-RU"/>
        </w:rPr>
      </w:r>
    </w:p>
    <w:p>
      <w:pPr>
        <w:pStyle w:val="Normal"/>
        <w:tabs>
          <w:tab w:val="clear" w:pos="408"/>
          <w:tab w:val="left" w:pos="0" w:leader="none"/>
        </w:tabs>
        <w:ind w:firstLine="709"/>
        <w:jc w:val="both"/>
        <w:rPr>
          <w:rFonts w:eastAsia="Calibri Light" w:cs="Calibri Light"/>
          <w:b/>
          <w:b/>
          <w:szCs w:val="26"/>
          <w:lang w:eastAsia="en-US"/>
        </w:rPr>
      </w:pPr>
      <w:r>
        <w:rPr>
          <w:rFonts w:eastAsia="Calibri Light" w:cs="Calibri Light"/>
          <w:b/>
          <w:szCs w:val="26"/>
          <w:lang w:eastAsia="en-US"/>
        </w:rPr>
        <w:t>12.2. Обоснованные предложения по источникам инвестиций, обеспечивающих финансовые потребности для осуществления строительства, реконструкции и технического перевооружения источников тепловой энергии и тепловых сетей</w:t>
      </w:r>
      <w:bookmarkEnd w:id="1270"/>
      <w:bookmarkEnd w:id="1271"/>
      <w:bookmarkEnd w:id="1272"/>
    </w:p>
    <w:p>
      <w:pPr>
        <w:pStyle w:val="Normal"/>
        <w:tabs>
          <w:tab w:val="clear" w:pos="408"/>
          <w:tab w:val="left" w:pos="0" w:leader="none"/>
        </w:tabs>
        <w:ind w:firstLine="709"/>
        <w:jc w:val="both"/>
        <w:rPr>
          <w:lang w:eastAsia="ru-RU"/>
        </w:rPr>
      </w:pPr>
      <w:r>
        <w:rPr>
          <w:lang w:eastAsia="ru-RU"/>
        </w:rPr>
        <w:t>Объем финансовых потребностей на реализацию плана развития схемы теплоснабжения определен посредством суммирования финансовых потребностей на реализацию каждого мероприятия по строительству, реконструкции и техническому перевооружению.</w:t>
      </w:r>
    </w:p>
    <w:p>
      <w:pPr>
        <w:pStyle w:val="Normal"/>
        <w:tabs>
          <w:tab w:val="clear" w:pos="408"/>
          <w:tab w:val="left" w:pos="0" w:leader="none"/>
        </w:tabs>
        <w:ind w:firstLine="709"/>
        <w:jc w:val="both"/>
        <w:rPr>
          <w:lang w:eastAsia="ru-RU"/>
        </w:rPr>
      </w:pPr>
      <w:r>
        <w:rPr>
          <w:lang w:eastAsia="ru-RU"/>
        </w:rPr>
        <w:t xml:space="preserve">Возможно рассмотрение следующих источников финансирования, обеспечивающих реализацию проектов: </w:t>
      </w:r>
    </w:p>
    <w:p>
      <w:pPr>
        <w:pStyle w:val="Normal"/>
        <w:tabs>
          <w:tab w:val="clear" w:pos="408"/>
          <w:tab w:val="left" w:pos="0" w:leader="none"/>
        </w:tabs>
        <w:ind w:firstLine="709"/>
        <w:jc w:val="both"/>
        <w:rPr>
          <w:lang w:eastAsia="ru-RU"/>
        </w:rPr>
      </w:pPr>
      <w:r>
        <w:rPr>
          <w:lang w:eastAsia="ru-RU"/>
        </w:rPr>
        <w:t xml:space="preserve">- включение капитальных затрат в тариф на тепловую энергию; </w:t>
      </w:r>
    </w:p>
    <w:p>
      <w:pPr>
        <w:pStyle w:val="Normal"/>
        <w:tabs>
          <w:tab w:val="clear" w:pos="408"/>
          <w:tab w:val="left" w:pos="0" w:leader="none"/>
        </w:tabs>
        <w:ind w:firstLine="709"/>
        <w:jc w:val="both"/>
        <w:rPr>
          <w:lang w:eastAsia="ru-RU"/>
        </w:rPr>
      </w:pPr>
      <w:r>
        <w:rPr>
          <w:lang w:eastAsia="ru-RU"/>
        </w:rPr>
        <w:t xml:space="preserve">- финансирование из бюджетов различных уровней. </w:t>
      </w:r>
    </w:p>
    <w:p>
      <w:pPr>
        <w:pStyle w:val="Normal"/>
        <w:tabs>
          <w:tab w:val="clear" w:pos="408"/>
          <w:tab w:val="left" w:pos="0" w:leader="none"/>
        </w:tabs>
        <w:ind w:firstLine="709"/>
        <w:jc w:val="both"/>
        <w:rPr>
          <w:lang w:eastAsia="ru-RU"/>
        </w:rPr>
      </w:pPr>
      <w:r>
        <w:rPr>
          <w:lang w:eastAsia="ru-RU"/>
        </w:rPr>
        <w:t>Для компенсации затрат на реконструкцию котельных и изношенных тепловых сетей за счет средств теплоснабжающих организаций произойдет резкий рост тарифа на тепловую энергию. Единовременное, резкое, повышение тарифа на тепловую энергию скажется на благосостоянии жителей поселения.</w:t>
      </w:r>
    </w:p>
    <w:p>
      <w:pPr>
        <w:pStyle w:val="Normal"/>
        <w:tabs>
          <w:tab w:val="clear" w:pos="408"/>
          <w:tab w:val="left" w:pos="0" w:leader="none"/>
        </w:tabs>
        <w:ind w:firstLine="709"/>
        <w:jc w:val="both"/>
        <w:rPr>
          <w:lang w:eastAsia="ru-RU"/>
        </w:rPr>
      </w:pPr>
      <w:r>
        <w:rPr>
          <w:lang w:eastAsia="ru-RU"/>
        </w:rPr>
        <w:t xml:space="preserve">Реализацию мероприятий рекомендуется производить с привлечением средств из </w:t>
      </w:r>
      <w:r>
        <w:rPr/>
        <w:t>бюджета Российской Федерации, бюджета субъекта Российской Федерации и местного бюджета в соответствии с Бюджетным кодексом Российской Федерации и другими нормативными правовыми актами</w:t>
      </w:r>
      <w:r>
        <w:rPr>
          <w:lang w:eastAsia="ru-RU"/>
        </w:rPr>
        <w:t>, а также с привлечением долгосрочных кредитов (Фонд содействия реформированию ЖКХ).</w:t>
      </w:r>
    </w:p>
    <w:p>
      <w:pPr>
        <w:pStyle w:val="Normal"/>
        <w:tabs>
          <w:tab w:val="clear" w:pos="408"/>
          <w:tab w:val="left" w:pos="0" w:leader="none"/>
        </w:tabs>
        <w:ind w:firstLine="709"/>
        <w:jc w:val="both"/>
        <w:rPr>
          <w:rFonts w:eastAsia="Calibri"/>
          <w:b/>
          <w:b/>
          <w:bCs/>
          <w:szCs w:val="22"/>
          <w:lang w:eastAsia="en-US"/>
        </w:rPr>
      </w:pPr>
      <w:r>
        <w:rPr>
          <w:lang w:eastAsia="ru-RU"/>
        </w:rPr>
        <w:t xml:space="preserve">Планируемые к строительству потребители, могут быть подключены к централизованному теплоснабжению, за счет платы за подключение. По взаимной договоренности между теплоснабжающей организацией и застройщиком, застройщик может самостоятельно понести расходы на строительство тепловых сетей от магистрали до своего объекта. В таком случае перспективный потребитель может получать тепловую энергию по долгосрочному договору поставки по нерегулируемым ценам. Механизм подключения новых потребителей должен соответствовать </w:t>
      </w:r>
      <w:r>
        <w:rPr/>
        <w:t>Федеральному закону «О теплоснабжении».</w:t>
      </w:r>
    </w:p>
    <w:p>
      <w:pPr>
        <w:pStyle w:val="Normal"/>
        <w:tabs>
          <w:tab w:val="clear" w:pos="408"/>
          <w:tab w:val="left" w:pos="0" w:leader="none"/>
        </w:tabs>
        <w:ind w:firstLine="709"/>
        <w:jc w:val="both"/>
        <w:rPr>
          <w:lang w:eastAsia="ru-RU"/>
        </w:rPr>
      </w:pPr>
      <w:r>
        <w:rPr>
          <w:lang w:eastAsia="ru-RU"/>
        </w:rPr>
        <w:t xml:space="preserve">На основании вышеизложенного предлагается следующая структура источников финансирования проектов, рассмотренных в схеме теплоснабжения: </w:t>
      </w:r>
    </w:p>
    <w:p>
      <w:pPr>
        <w:pStyle w:val="Normal"/>
        <w:tabs>
          <w:tab w:val="clear" w:pos="408"/>
          <w:tab w:val="left" w:pos="0" w:leader="none"/>
        </w:tabs>
        <w:ind w:firstLine="709"/>
        <w:jc w:val="both"/>
        <w:rPr>
          <w:lang w:eastAsia="ru-RU"/>
        </w:rPr>
      </w:pPr>
      <w:r>
        <w:rPr>
          <w:lang w:eastAsia="ru-RU"/>
        </w:rPr>
        <w:t xml:space="preserve">- подключение перспективных потребителей к тепловым сетям осуществлять за счет платы за подключение с включением в нее капитальных затрат по строительству тепловых сетей; </w:t>
      </w:r>
    </w:p>
    <w:p>
      <w:pPr>
        <w:pStyle w:val="Normal"/>
        <w:tabs>
          <w:tab w:val="clear" w:pos="408"/>
          <w:tab w:val="left" w:pos="0" w:leader="none"/>
        </w:tabs>
        <w:ind w:firstLine="709"/>
        <w:jc w:val="both"/>
        <w:rPr>
          <w:lang w:eastAsia="ru-RU"/>
        </w:rPr>
      </w:pPr>
      <w:r>
        <w:rPr>
          <w:lang w:eastAsia="ru-RU"/>
        </w:rPr>
        <w:t>- реализацию мероприятий осуществить за счет бюджетных средств различных уровней. Наиболее оптимальным вариантом в этом случае представляется включение данных расходов в окружную или федеральную целевую программу с использованием средств Фонда содействия реформирования ЖКХ.</w:t>
      </w:r>
      <w:bookmarkStart w:id="1276" w:name="_Hlk160959614"/>
    </w:p>
    <w:p>
      <w:pPr>
        <w:pStyle w:val="Normal"/>
        <w:tabs>
          <w:tab w:val="clear" w:pos="408"/>
          <w:tab w:val="left" w:pos="0" w:leader="none"/>
        </w:tabs>
        <w:ind w:firstLine="709"/>
        <w:jc w:val="both"/>
        <w:rPr>
          <w:lang w:eastAsia="ru-RU"/>
        </w:rPr>
      </w:pPr>
      <w:r>
        <w:rPr>
          <w:lang w:eastAsia="ru-RU"/>
        </w:rPr>
        <w:t>Оценка стоимости капитальных вложений в реализацию мероприятий  выполнена по укрупненным показателям на основании объектов-аналогов и должна быть уточнена на последующих стадиях проектирования.</w:t>
      </w:r>
      <w:bookmarkStart w:id="1277" w:name="_Toc535409621"/>
      <w:bookmarkStart w:id="1278" w:name="_Toc160455185"/>
      <w:bookmarkStart w:id="1279" w:name="_Toc160530067"/>
      <w:bookmarkStart w:id="1280" w:name="_Toc181340532"/>
      <w:bookmarkStart w:id="1281" w:name="sub_1762"/>
      <w:bookmarkEnd w:id="1276"/>
      <w:bookmarkEnd w:id="1281"/>
    </w:p>
    <w:p>
      <w:pPr>
        <w:pStyle w:val="Normal"/>
        <w:tabs>
          <w:tab w:val="clear" w:pos="408"/>
          <w:tab w:val="left" w:pos="0" w:leader="none"/>
        </w:tabs>
        <w:ind w:firstLine="709"/>
        <w:jc w:val="both"/>
        <w:rPr>
          <w:rFonts w:eastAsia="Calibri Light" w:cs="Calibri Light"/>
          <w:b/>
          <w:b/>
          <w:szCs w:val="26"/>
          <w:lang w:eastAsia="en-US"/>
        </w:rPr>
      </w:pPr>
      <w:r>
        <w:rPr>
          <w:rFonts w:eastAsia="Calibri Light" w:cs="Calibri Light"/>
          <w:b/>
          <w:szCs w:val="26"/>
          <w:lang w:eastAsia="en-US"/>
        </w:rPr>
      </w:r>
    </w:p>
    <w:p>
      <w:pPr>
        <w:pStyle w:val="Normal"/>
        <w:tabs>
          <w:tab w:val="clear" w:pos="408"/>
          <w:tab w:val="left" w:pos="0" w:leader="none"/>
        </w:tabs>
        <w:ind w:firstLine="709"/>
        <w:jc w:val="both"/>
        <w:rPr>
          <w:lang w:eastAsia="ru-RU"/>
        </w:rPr>
      </w:pPr>
      <w:r>
        <w:rPr>
          <w:rFonts w:eastAsia="Calibri Light" w:cs="Calibri Light"/>
          <w:b/>
          <w:szCs w:val="26"/>
          <w:lang w:eastAsia="en-US"/>
        </w:rPr>
        <w:t>12.3. Расчеты экономической эффективности инвестиций</w:t>
      </w:r>
      <w:bookmarkEnd w:id="1277"/>
      <w:bookmarkEnd w:id="1278"/>
      <w:bookmarkEnd w:id="1279"/>
      <w:bookmarkEnd w:id="1280"/>
    </w:p>
    <w:p>
      <w:pPr>
        <w:pStyle w:val="Normal"/>
        <w:tabs>
          <w:tab w:val="clear" w:pos="408"/>
          <w:tab w:val="left" w:pos="0" w:leader="none"/>
        </w:tabs>
        <w:ind w:firstLine="709"/>
        <w:jc w:val="both"/>
        <w:rPr>
          <w:lang w:eastAsia="ru-RU"/>
        </w:rPr>
      </w:pPr>
      <w:r>
        <w:rPr>
          <w:szCs w:val="28"/>
          <w:lang w:eastAsia="ru-RU"/>
        </w:rPr>
        <w:t>Экономическая эффективность реализации мероприятий по сохранению существующей схемы теплоснабжения с проведением работ по модернизации существующих объектов выражается в сокращении эксплуатационных издержек, уменьшению удельных расходов топлива на производство тепла, а также снижению потерь тепла при транспортировке.</w:t>
      </w:r>
    </w:p>
    <w:p>
      <w:pPr>
        <w:pStyle w:val="Normal"/>
        <w:tabs>
          <w:tab w:val="clear" w:pos="408"/>
          <w:tab w:val="left" w:pos="0" w:leader="none"/>
        </w:tabs>
        <w:ind w:firstLine="709"/>
        <w:jc w:val="both"/>
        <w:rPr>
          <w:lang w:eastAsia="ru-RU"/>
        </w:rPr>
      </w:pPr>
      <w:r>
        <w:rPr>
          <w:szCs w:val="28"/>
          <w:lang w:eastAsia="ru-RU"/>
        </w:rPr>
        <w:t>Для обеспечения надежного теплоснабжения необходимо регулярно проводить работы по замене изношенного и устаревшего оборудования, замене тепловых сетей.</w:t>
      </w:r>
      <w:bookmarkStart w:id="1282" w:name="_Toc181340533"/>
      <w:bookmarkStart w:id="1283" w:name="_Toc160530068"/>
      <w:bookmarkStart w:id="1284" w:name="_Toc160455186"/>
      <w:bookmarkStart w:id="1285" w:name="_Toc535409622"/>
      <w:bookmarkEnd w:id="1285"/>
    </w:p>
    <w:p>
      <w:pPr>
        <w:pStyle w:val="Normal"/>
        <w:tabs>
          <w:tab w:val="clear" w:pos="408"/>
          <w:tab w:val="left" w:pos="0" w:leader="none"/>
        </w:tabs>
        <w:ind w:firstLine="709"/>
        <w:jc w:val="both"/>
        <w:rPr>
          <w:lang w:eastAsia="ru-RU"/>
        </w:rPr>
      </w:pPr>
      <w:r>
        <w:rPr>
          <w:lang w:eastAsia="ru-RU"/>
        </w:rPr>
      </w:r>
    </w:p>
    <w:p>
      <w:pPr>
        <w:pStyle w:val="Normal"/>
        <w:tabs>
          <w:tab w:val="clear" w:pos="408"/>
          <w:tab w:val="left" w:pos="0" w:leader="none"/>
        </w:tabs>
        <w:ind w:firstLine="709"/>
        <w:jc w:val="both"/>
        <w:rPr>
          <w:lang w:eastAsia="ru-RU"/>
        </w:rPr>
      </w:pPr>
      <w:r>
        <w:rPr>
          <w:rFonts w:eastAsia="Calibri Light"/>
          <w:b/>
          <w:szCs w:val="26"/>
          <w:lang w:eastAsia="en-US"/>
        </w:rPr>
        <w:t>12.4. Расчеты ценовых (тарифных) последствий для потребителей при реализации программ строительства, реконструкции, технического перевооружения и (или) модернизации систем теплоснабжения</w:t>
      </w:r>
      <w:bookmarkEnd w:id="1282"/>
      <w:bookmarkEnd w:id="1283"/>
      <w:bookmarkEnd w:id="1284"/>
    </w:p>
    <w:p>
      <w:pPr>
        <w:pStyle w:val="Normal"/>
        <w:tabs>
          <w:tab w:val="clear" w:pos="408"/>
          <w:tab w:val="left" w:pos="0" w:leader="none"/>
        </w:tabs>
        <w:ind w:firstLine="709"/>
        <w:jc w:val="both"/>
        <w:rPr>
          <w:lang w:eastAsia="ru-RU"/>
        </w:rPr>
      </w:pPr>
      <w:r>
        <w:rPr>
          <w:szCs w:val="28"/>
          <w:lang w:eastAsia="ru-RU"/>
        </w:rPr>
        <w:t>Снижение темпа роста тарифа на услуги централизованного теплоснабжения для потребителей возможно в случае выделения большего объема бюджетного финансирования для реализации мероприятий, или для выплаты процентов по займам.</w:t>
      </w:r>
    </w:p>
    <w:p>
      <w:pPr>
        <w:pStyle w:val="Normal"/>
        <w:tabs>
          <w:tab w:val="clear" w:pos="408"/>
          <w:tab w:val="left" w:pos="0" w:leader="none"/>
        </w:tabs>
        <w:ind w:firstLine="709"/>
        <w:jc w:val="both"/>
        <w:rPr>
          <w:lang w:eastAsia="ru-RU"/>
        </w:rPr>
      </w:pPr>
      <w:r>
        <w:rPr>
          <w:szCs w:val="28"/>
          <w:lang w:eastAsia="ru-RU"/>
        </w:rPr>
        <w:t xml:space="preserve">При реализации низкоэффективных мероприятий, таких как реконструкция тепловых сетей, установка приборов учета тепловой энергии, замена оборудования без увеличения эффективности его работы за счет собственных средств, а также за счет заемных средств организаций, будет происходить рост тарифа на услуги теплоснабжения потребителей. </w:t>
      </w:r>
    </w:p>
    <w:p>
      <w:pPr>
        <w:pStyle w:val="Normal"/>
        <w:tabs>
          <w:tab w:val="clear" w:pos="408"/>
          <w:tab w:val="left" w:pos="0" w:leader="none"/>
        </w:tabs>
        <w:ind w:firstLine="709"/>
        <w:jc w:val="both"/>
        <w:rPr>
          <w:lang w:eastAsia="ru-RU"/>
        </w:rPr>
      </w:pPr>
      <w:r>
        <w:rPr>
          <w:szCs w:val="28"/>
          <w:lang w:eastAsia="ru-RU"/>
        </w:rPr>
        <w:t xml:space="preserve">Поэтому для снижения темпов роста тарифа предполагается, что для реализации низкоэффективных мероприятий, связанных с реконструкцией существующих систем, будут использоваться бюджетные средства. </w:t>
      </w:r>
    </w:p>
    <w:p>
      <w:pPr>
        <w:pStyle w:val="Normal"/>
        <w:tabs>
          <w:tab w:val="clear" w:pos="408"/>
          <w:tab w:val="left" w:pos="0" w:leader="none"/>
        </w:tabs>
        <w:ind w:firstLine="709"/>
        <w:jc w:val="both"/>
        <w:rPr>
          <w:lang w:eastAsia="ru-RU"/>
        </w:rPr>
      </w:pPr>
      <w:r>
        <w:rPr>
          <w:szCs w:val="28"/>
          <w:lang w:eastAsia="ru-RU"/>
        </w:rPr>
        <w:t>При подключении новых потребителей, реализации мероприятий, связанных с повышением эффективности работы тепловых сетей, источников тепловой энергии и замене малоэффективного оборудования, возможно использование собственных средств теплоснабжающих организаций, а также использование заемных средств. Для выплат по займам используются собственные средства организации, образующиеся в результате реализации мероприятий (амортизация и дополнительная прибыль). При этом затраты на возврат займов, и на использование собственных средств включаются в тариф на услуги теплоснабжения.</w:t>
      </w:r>
    </w:p>
    <w:p>
      <w:pPr>
        <w:pStyle w:val="Normal"/>
        <w:tabs>
          <w:tab w:val="clear" w:pos="408"/>
          <w:tab w:val="left" w:pos="0" w:leader="none"/>
        </w:tabs>
        <w:ind w:firstLine="709"/>
        <w:jc w:val="both"/>
        <w:rPr>
          <w:lang w:eastAsia="ru-RU"/>
        </w:rPr>
      </w:pPr>
      <w:r>
        <w:rPr>
          <w:szCs w:val="28"/>
          <w:lang w:eastAsia="ru-RU"/>
        </w:rPr>
        <w:t>Расчеты ценовых (тарифных) последствий для потребителей при реализации программ строительства, реконструкции и технического перевооружения систем теплоснабжения приведены в главе 14.</w:t>
      </w:r>
      <w:bookmarkStart w:id="1286" w:name="_Toc160455187"/>
      <w:bookmarkStart w:id="1287" w:name="_Toc181340534"/>
      <w:bookmarkStart w:id="1288" w:name="_Toc160530069"/>
      <w:bookmarkStart w:id="1289" w:name="_Hlk160648915"/>
      <w:bookmarkStart w:id="1290" w:name="_Hlk160710731"/>
      <w:bookmarkEnd w:id="1289"/>
      <w:bookmarkEnd w:id="1290"/>
    </w:p>
    <w:p>
      <w:pPr>
        <w:pStyle w:val="Normal"/>
        <w:tabs>
          <w:tab w:val="clear" w:pos="408"/>
          <w:tab w:val="left" w:pos="0" w:leader="none"/>
        </w:tabs>
        <w:ind w:firstLine="709"/>
        <w:jc w:val="both"/>
        <w:rPr>
          <w:lang w:eastAsia="ru-RU"/>
        </w:rPr>
      </w:pPr>
      <w:r>
        <w:rPr>
          <w:lang w:eastAsia="ru-RU"/>
        </w:rPr>
      </w:r>
    </w:p>
    <w:p>
      <w:pPr>
        <w:pStyle w:val="Normal"/>
        <w:tabs>
          <w:tab w:val="clear" w:pos="408"/>
          <w:tab w:val="left" w:pos="0" w:leader="none"/>
        </w:tabs>
        <w:ind w:firstLine="709"/>
        <w:jc w:val="both"/>
        <w:rPr>
          <w:lang w:eastAsia="ru-RU"/>
        </w:rPr>
      </w:pPr>
      <w:r>
        <w:rPr>
          <w:rFonts w:eastAsia="Calibri Light"/>
          <w:b/>
          <w:szCs w:val="26"/>
          <w:lang w:eastAsia="en-US"/>
        </w:rPr>
        <w:t>12.5. Описание изменений в обосновании инвестиций (оценке финансовых потребностей, предложениях по источникам инвестиций) в строительство, реконструкцию и техническое перевооружение источников тепловой энергии и тепловых сетей с учетом фактически осуществленных инвестиций и показателей их фактической эффективности</w:t>
      </w:r>
      <w:bookmarkEnd w:id="1286"/>
      <w:bookmarkEnd w:id="1287"/>
      <w:bookmarkEnd w:id="1288"/>
    </w:p>
    <w:p>
      <w:pPr>
        <w:pStyle w:val="Normal"/>
        <w:tabs>
          <w:tab w:val="clear" w:pos="408"/>
          <w:tab w:val="left" w:pos="0" w:leader="none"/>
        </w:tabs>
        <w:ind w:firstLine="709"/>
        <w:jc w:val="both"/>
        <w:rPr>
          <w:rFonts w:eastAsia="Calibri" w:cs="Calibri"/>
          <w:szCs w:val="22"/>
          <w:lang w:eastAsia="en-US"/>
        </w:rPr>
      </w:pPr>
      <w:r>
        <w:rPr>
          <w:rFonts w:eastAsia="Calibri" w:cs="Calibri"/>
          <w:szCs w:val="22"/>
          <w:lang w:eastAsia="en-US"/>
        </w:rPr>
        <w:t>При актуализации Схемы теплоснабжения был уточнен перечень мероприятий по развитию системы теплоснабжения поселения</w:t>
      </w:r>
      <w:bookmarkStart w:id="1291" w:name="_Hlk160648948"/>
      <w:bookmarkEnd w:id="1291"/>
      <w:r>
        <w:rPr>
          <w:rFonts w:eastAsia="Calibri" w:cs="Calibri"/>
          <w:szCs w:val="22"/>
          <w:lang w:eastAsia="en-US"/>
        </w:rPr>
        <w:t>.</w:t>
      </w:r>
    </w:p>
    <w:p>
      <w:pPr>
        <w:pStyle w:val="Normal"/>
        <w:tabs>
          <w:tab w:val="clear" w:pos="408"/>
          <w:tab w:val="left" w:pos="0" w:leader="none"/>
        </w:tabs>
        <w:rPr>
          <w:rFonts w:eastAsia="Calibri" w:cs="Calibri"/>
          <w:szCs w:val="22"/>
          <w:lang w:eastAsia="en-US"/>
        </w:rPr>
      </w:pPr>
      <w:r>
        <w:rPr>
          <w:rFonts w:eastAsia="Calibri" w:cs="Calibri"/>
          <w:szCs w:val="22"/>
          <w:lang w:eastAsia="en-US"/>
        </w:rPr>
      </w:r>
    </w:p>
    <w:p>
      <w:pPr>
        <w:pStyle w:val="Normal"/>
        <w:tabs>
          <w:tab w:val="clear" w:pos="408"/>
          <w:tab w:val="left" w:pos="0" w:leader="none"/>
        </w:tabs>
        <w:rPr>
          <w:rFonts w:eastAsia="Calibri" w:cs="Calibri"/>
          <w:b/>
          <w:b/>
          <w:szCs w:val="22"/>
          <w:lang w:eastAsia="en-US"/>
        </w:rPr>
      </w:pPr>
      <w:r>
        <w:rPr>
          <w:rFonts w:eastAsia="Calibri" w:cs="Calibri"/>
          <w:b/>
          <w:szCs w:val="22"/>
          <w:lang w:eastAsia="en-US"/>
        </w:rPr>
      </w:r>
    </w:p>
    <w:p>
      <w:pPr>
        <w:pStyle w:val="Normal"/>
        <w:tabs>
          <w:tab w:val="clear" w:pos="408"/>
          <w:tab w:val="left" w:pos="0" w:leader="none"/>
        </w:tabs>
        <w:jc w:val="center"/>
        <w:rPr>
          <w:rFonts w:eastAsia="Calibri" w:cs="Calibri"/>
          <w:b/>
          <w:b/>
          <w:szCs w:val="22"/>
          <w:lang w:eastAsia="en-US"/>
        </w:rPr>
      </w:pPr>
      <w:r>
        <w:rPr>
          <w:rFonts w:eastAsia="Calibri" w:cs="Calibri"/>
          <w:b/>
          <w:szCs w:val="22"/>
          <w:lang w:eastAsia="en-US"/>
        </w:rPr>
        <w:t>Глава 13 «Индикаторы развития систем теплоснабжения поселения»</w:t>
      </w:r>
    </w:p>
    <w:p>
      <w:pPr>
        <w:pStyle w:val="A2"/>
        <w:ind w:hanging="0"/>
        <w:rPr>
          <w:rFonts w:eastAsia="Calibri"/>
          <w:b/>
          <w:b/>
          <w:bCs/>
          <w:szCs w:val="22"/>
          <w:lang w:eastAsia="en-US"/>
        </w:rPr>
      </w:pPr>
      <w:r>
        <w:rPr>
          <w:rFonts w:eastAsia="Calibri"/>
          <w:b/>
          <w:bCs/>
          <w:szCs w:val="22"/>
          <w:lang w:eastAsia="en-US"/>
        </w:rPr>
      </w:r>
    </w:p>
    <w:p>
      <w:pPr>
        <w:pStyle w:val="A2"/>
        <w:rPr>
          <w:rFonts w:eastAsia="Calibri"/>
          <w:b/>
          <w:b/>
          <w:bCs/>
          <w:szCs w:val="22"/>
          <w:lang w:eastAsia="en-US"/>
        </w:rPr>
      </w:pPr>
      <w:r>
        <w:rPr>
          <w:b/>
          <w:szCs w:val="24"/>
        </w:rPr>
        <w:t>13.1. Результаты оценки существующих и перспективных значений индикаторов развития систем теплоснабжения, рассчитанных в соответствии с методическими указаниями по разработке схем теплоснабжения</w:t>
      </w:r>
      <w:r>
        <w:rPr/>
        <w:t xml:space="preserve"> приведены в таблице 34.</w:t>
      </w:r>
    </w:p>
    <w:p>
      <w:pPr>
        <w:pStyle w:val="Normal"/>
        <w:jc w:val="right"/>
        <w:rPr>
          <w:rFonts w:eastAsia="Calibri" w:cs="Calibri"/>
          <w:szCs w:val="22"/>
          <w:lang w:eastAsia="en-US"/>
        </w:rPr>
      </w:pPr>
      <w:r>
        <w:rPr>
          <w:rFonts w:eastAsia="Calibri" w:cs="Calibri"/>
          <w:szCs w:val="22"/>
          <w:lang w:eastAsia="en-US"/>
        </w:rPr>
        <w:t>Таблица 34 – Индикаторы развития систем теплоснабжения поселения</w:t>
      </w:r>
    </w:p>
    <w:tbl>
      <w:tblPr>
        <w:tblW w:w="5000" w:type="pct"/>
        <w:jc w:val="left"/>
        <w:tblInd w:w="0" w:type="dxa"/>
        <w:tblCellMar>
          <w:top w:w="0" w:type="dxa"/>
          <w:left w:w="108" w:type="dxa"/>
          <w:bottom w:w="0" w:type="dxa"/>
          <w:right w:w="108" w:type="dxa"/>
        </w:tblCellMar>
        <w:tblLook w:val="04a0" w:noVBand="1" w:noHBand="0" w:lastColumn="0" w:firstColumn="1" w:lastRow="0" w:firstRow="1"/>
      </w:tblPr>
      <w:tblGrid>
        <w:gridCol w:w="795"/>
        <w:gridCol w:w="4042"/>
        <w:gridCol w:w="1419"/>
        <w:gridCol w:w="970"/>
        <w:gridCol w:w="941"/>
        <w:gridCol w:w="997"/>
        <w:gridCol w:w="966"/>
        <w:gridCol w:w="967"/>
        <w:gridCol w:w="1014"/>
        <w:gridCol w:w="1246"/>
        <w:gridCol w:w="1211"/>
      </w:tblGrid>
      <w:tr>
        <w:trPr>
          <w:tblHeader w:val="true"/>
          <w:cantSplit w:val="true"/>
        </w:trPr>
        <w:tc>
          <w:tcPr>
            <w:tcW w:w="7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bCs/>
                <w:sz w:val="20"/>
                <w:szCs w:val="20"/>
              </w:rPr>
            </w:pPr>
            <w:r>
              <w:rPr>
                <w:bCs/>
                <w:sz w:val="20"/>
                <w:szCs w:val="20"/>
              </w:rPr>
              <w:t xml:space="preserve">№ </w:t>
            </w:r>
            <w:r>
              <w:rPr>
                <w:bCs/>
                <w:sz w:val="20"/>
                <w:szCs w:val="20"/>
              </w:rPr>
              <w:t>п/п</w:t>
            </w:r>
          </w:p>
        </w:tc>
        <w:tc>
          <w:tcPr>
            <w:tcW w:w="40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bCs/>
                <w:sz w:val="20"/>
                <w:szCs w:val="20"/>
              </w:rPr>
            </w:pPr>
            <w:r>
              <w:rPr>
                <w:bCs/>
                <w:sz w:val="20"/>
                <w:szCs w:val="20"/>
              </w:rPr>
              <w:t>Наименование</w:t>
            </w:r>
          </w:p>
        </w:tc>
        <w:tc>
          <w:tcPr>
            <w:tcW w:w="14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bCs/>
                <w:sz w:val="20"/>
                <w:szCs w:val="20"/>
              </w:rPr>
            </w:pPr>
            <w:r>
              <w:rPr>
                <w:bCs/>
                <w:sz w:val="20"/>
                <w:szCs w:val="20"/>
              </w:rPr>
              <w:t>Ед. изм</w:t>
            </w:r>
          </w:p>
        </w:tc>
        <w:tc>
          <w:tcPr>
            <w:tcW w:w="97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iCs/>
                <w:sz w:val="20"/>
                <w:szCs w:val="20"/>
              </w:rPr>
            </w:pPr>
            <w:r>
              <w:rPr>
                <w:iCs/>
                <w:sz w:val="20"/>
                <w:szCs w:val="20"/>
              </w:rPr>
              <w:t>2023 год</w:t>
            </w:r>
          </w:p>
        </w:tc>
        <w:tc>
          <w:tcPr>
            <w:tcW w:w="94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iCs/>
                <w:sz w:val="20"/>
                <w:szCs w:val="20"/>
              </w:rPr>
            </w:pPr>
            <w:r>
              <w:rPr>
                <w:iCs/>
                <w:sz w:val="20"/>
                <w:szCs w:val="20"/>
              </w:rPr>
              <w:t>2024 год</w:t>
            </w:r>
          </w:p>
        </w:tc>
        <w:tc>
          <w:tcPr>
            <w:tcW w:w="9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iCs/>
                <w:sz w:val="20"/>
                <w:szCs w:val="20"/>
              </w:rPr>
            </w:pPr>
            <w:r>
              <w:rPr>
                <w:iCs/>
                <w:sz w:val="20"/>
                <w:szCs w:val="20"/>
              </w:rPr>
              <w:t>2025 год</w:t>
            </w:r>
          </w:p>
        </w:tc>
        <w:tc>
          <w:tcPr>
            <w:tcW w:w="9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iCs/>
                <w:sz w:val="20"/>
                <w:szCs w:val="20"/>
              </w:rPr>
            </w:pPr>
            <w:r>
              <w:rPr>
                <w:iCs/>
                <w:sz w:val="20"/>
                <w:szCs w:val="20"/>
              </w:rPr>
              <w:t>2026 год</w:t>
            </w:r>
          </w:p>
        </w:tc>
        <w:tc>
          <w:tcPr>
            <w:tcW w:w="9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iCs/>
                <w:sz w:val="20"/>
                <w:szCs w:val="20"/>
              </w:rPr>
            </w:pPr>
            <w:r>
              <w:rPr>
                <w:iCs/>
                <w:sz w:val="20"/>
                <w:szCs w:val="20"/>
              </w:rPr>
              <w:t>2027 год</w:t>
            </w:r>
          </w:p>
        </w:tc>
        <w:tc>
          <w:tcPr>
            <w:tcW w:w="10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iCs/>
                <w:sz w:val="20"/>
                <w:szCs w:val="20"/>
              </w:rPr>
            </w:pPr>
            <w:r>
              <w:rPr>
                <w:iCs/>
                <w:sz w:val="20"/>
                <w:szCs w:val="20"/>
              </w:rPr>
              <w:t>2028 год</w:t>
            </w:r>
          </w:p>
        </w:tc>
        <w:tc>
          <w:tcPr>
            <w:tcW w:w="12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rPr>
              <w:t>2029-2034 год</w:t>
            </w:r>
          </w:p>
        </w:tc>
        <w:tc>
          <w:tcPr>
            <w:tcW w:w="121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rPr>
              <w:t xml:space="preserve">2035 – 2040 </w:t>
            </w:r>
            <w:r>
              <w:rPr>
                <w:iCs/>
                <w:sz w:val="20"/>
                <w:szCs w:val="20"/>
              </w:rPr>
              <w:t>годы</w:t>
            </w:r>
          </w:p>
        </w:tc>
      </w:tr>
      <w:tr>
        <w:trPr>
          <w:cantSplit w:val="true"/>
        </w:trPr>
        <w:tc>
          <w:tcPr>
            <w:tcW w:w="7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rPr>
              <w:t>1</w:t>
            </w:r>
          </w:p>
        </w:tc>
        <w:tc>
          <w:tcPr>
            <w:tcW w:w="40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lang w:eastAsia="ru-RU"/>
              </w:rPr>
              <w:t>Количество прекращений подачи тепловой энергии, теплоносителя в результате технологических нарушений на тепловых сетях</w:t>
            </w:r>
          </w:p>
        </w:tc>
        <w:tc>
          <w:tcPr>
            <w:tcW w:w="14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lang w:eastAsia="ru-RU"/>
              </w:rPr>
              <w:t>ед. год</w:t>
            </w:r>
          </w:p>
        </w:tc>
        <w:tc>
          <w:tcPr>
            <w:tcW w:w="97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lang w:eastAsia="ru-RU"/>
              </w:rPr>
              <w:t>0</w:t>
            </w:r>
          </w:p>
        </w:tc>
        <w:tc>
          <w:tcPr>
            <w:tcW w:w="94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lang w:eastAsia="ru-RU"/>
              </w:rPr>
              <w:t>0</w:t>
            </w:r>
          </w:p>
        </w:tc>
        <w:tc>
          <w:tcPr>
            <w:tcW w:w="9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lang w:eastAsia="ru-RU"/>
              </w:rPr>
              <w:t>0</w:t>
            </w:r>
          </w:p>
        </w:tc>
        <w:tc>
          <w:tcPr>
            <w:tcW w:w="9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lang w:eastAsia="ru-RU"/>
              </w:rPr>
              <w:t>0</w:t>
            </w:r>
          </w:p>
        </w:tc>
        <w:tc>
          <w:tcPr>
            <w:tcW w:w="9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lang w:eastAsia="ru-RU"/>
              </w:rPr>
              <w:t>0</w:t>
            </w:r>
          </w:p>
        </w:tc>
        <w:tc>
          <w:tcPr>
            <w:tcW w:w="10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lang w:eastAsia="ru-RU"/>
              </w:rPr>
              <w:t>0</w:t>
            </w:r>
          </w:p>
        </w:tc>
        <w:tc>
          <w:tcPr>
            <w:tcW w:w="12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lang w:eastAsia="ru-RU"/>
              </w:rPr>
              <w:t>0</w:t>
            </w:r>
          </w:p>
        </w:tc>
        <w:tc>
          <w:tcPr>
            <w:tcW w:w="121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lang w:eastAsia="ru-RU"/>
              </w:rPr>
              <w:t>0</w:t>
            </w:r>
          </w:p>
        </w:tc>
      </w:tr>
      <w:tr>
        <w:trPr>
          <w:cantSplit w:val="true"/>
        </w:trPr>
        <w:tc>
          <w:tcPr>
            <w:tcW w:w="7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rPr>
              <w:t>2</w:t>
            </w:r>
          </w:p>
        </w:tc>
        <w:tc>
          <w:tcPr>
            <w:tcW w:w="40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Количество прекращений подачи тепловой энергии, теплоносителя в результате технологических нарушений на источниках тепловой энергии</w:t>
            </w:r>
          </w:p>
        </w:tc>
        <w:tc>
          <w:tcPr>
            <w:tcW w:w="14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ед. год</w:t>
            </w:r>
          </w:p>
        </w:tc>
        <w:tc>
          <w:tcPr>
            <w:tcW w:w="97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w:t>
            </w:r>
          </w:p>
        </w:tc>
        <w:tc>
          <w:tcPr>
            <w:tcW w:w="94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w:t>
            </w:r>
          </w:p>
        </w:tc>
        <w:tc>
          <w:tcPr>
            <w:tcW w:w="9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w:t>
            </w:r>
          </w:p>
        </w:tc>
        <w:tc>
          <w:tcPr>
            <w:tcW w:w="9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w:t>
            </w:r>
          </w:p>
        </w:tc>
        <w:tc>
          <w:tcPr>
            <w:tcW w:w="9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w:t>
            </w:r>
          </w:p>
        </w:tc>
        <w:tc>
          <w:tcPr>
            <w:tcW w:w="10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w:t>
            </w:r>
          </w:p>
        </w:tc>
        <w:tc>
          <w:tcPr>
            <w:tcW w:w="12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w:t>
            </w:r>
          </w:p>
        </w:tc>
        <w:tc>
          <w:tcPr>
            <w:tcW w:w="121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w:t>
            </w:r>
          </w:p>
        </w:tc>
      </w:tr>
      <w:tr>
        <w:trPr>
          <w:cantSplit w:val="true"/>
        </w:trPr>
        <w:tc>
          <w:tcPr>
            <w:tcW w:w="7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rPr>
              <w:t>3</w:t>
            </w:r>
          </w:p>
        </w:tc>
        <w:tc>
          <w:tcPr>
            <w:tcW w:w="40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xml:space="preserve">Удельный расход условного топлива на единицу отпускаемой тепловой энергии </w:t>
            </w:r>
          </w:p>
        </w:tc>
        <w:tc>
          <w:tcPr>
            <w:tcW w:w="14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w:t>
            </w:r>
          </w:p>
        </w:tc>
        <w:tc>
          <w:tcPr>
            <w:tcW w:w="97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w:t>
            </w:r>
          </w:p>
        </w:tc>
        <w:tc>
          <w:tcPr>
            <w:tcW w:w="94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w:t>
            </w:r>
          </w:p>
        </w:tc>
        <w:tc>
          <w:tcPr>
            <w:tcW w:w="9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w:t>
            </w:r>
          </w:p>
        </w:tc>
        <w:tc>
          <w:tcPr>
            <w:tcW w:w="9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w:t>
            </w:r>
          </w:p>
        </w:tc>
        <w:tc>
          <w:tcPr>
            <w:tcW w:w="9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w:t>
            </w:r>
          </w:p>
        </w:tc>
        <w:tc>
          <w:tcPr>
            <w:tcW w:w="10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w:t>
            </w:r>
          </w:p>
        </w:tc>
        <w:tc>
          <w:tcPr>
            <w:tcW w:w="12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w:t>
            </w:r>
          </w:p>
        </w:tc>
        <w:tc>
          <w:tcPr>
            <w:tcW w:w="121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w:t>
            </w:r>
          </w:p>
        </w:tc>
      </w:tr>
      <w:tr>
        <w:trPr>
          <w:cantSplit w:val="true"/>
        </w:trPr>
        <w:tc>
          <w:tcPr>
            <w:tcW w:w="7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rPr>
              <w:t>3.1.</w:t>
            </w:r>
          </w:p>
        </w:tc>
        <w:tc>
          <w:tcPr>
            <w:tcW w:w="40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Котельная № 1, пгт.Октябрьское, ул.Сенькина, 46б</w:t>
            </w:r>
          </w:p>
        </w:tc>
        <w:tc>
          <w:tcPr>
            <w:tcW w:w="14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кг у.т./Гкал</w:t>
            </w:r>
          </w:p>
        </w:tc>
        <w:tc>
          <w:tcPr>
            <w:tcW w:w="97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176,5</w:t>
            </w:r>
          </w:p>
        </w:tc>
        <w:tc>
          <w:tcPr>
            <w:tcW w:w="94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176,5</w:t>
            </w:r>
          </w:p>
        </w:tc>
        <w:tc>
          <w:tcPr>
            <w:tcW w:w="9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176,5</w:t>
            </w:r>
          </w:p>
        </w:tc>
        <w:tc>
          <w:tcPr>
            <w:tcW w:w="9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176,5</w:t>
            </w:r>
          </w:p>
        </w:tc>
        <w:tc>
          <w:tcPr>
            <w:tcW w:w="9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155,6</w:t>
            </w:r>
          </w:p>
        </w:tc>
        <w:tc>
          <w:tcPr>
            <w:tcW w:w="10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155,6</w:t>
            </w:r>
          </w:p>
        </w:tc>
        <w:tc>
          <w:tcPr>
            <w:tcW w:w="12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155,6</w:t>
            </w:r>
          </w:p>
        </w:tc>
        <w:tc>
          <w:tcPr>
            <w:tcW w:w="121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155,6</w:t>
            </w:r>
          </w:p>
        </w:tc>
      </w:tr>
      <w:tr>
        <w:trPr>
          <w:cantSplit w:val="true"/>
        </w:trPr>
        <w:tc>
          <w:tcPr>
            <w:tcW w:w="7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rPr>
              <w:t>3.2.</w:t>
            </w:r>
          </w:p>
        </w:tc>
        <w:tc>
          <w:tcPr>
            <w:tcW w:w="40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Котельная № 2, пгт.Октябрьское, ул.Пионерская, 17б</w:t>
            </w:r>
          </w:p>
        </w:tc>
        <w:tc>
          <w:tcPr>
            <w:tcW w:w="14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кг у.т./Гкал</w:t>
            </w:r>
          </w:p>
        </w:tc>
        <w:tc>
          <w:tcPr>
            <w:tcW w:w="97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176,5</w:t>
            </w:r>
          </w:p>
        </w:tc>
        <w:tc>
          <w:tcPr>
            <w:tcW w:w="94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c>
          <w:tcPr>
            <w:tcW w:w="9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c>
          <w:tcPr>
            <w:tcW w:w="9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c>
          <w:tcPr>
            <w:tcW w:w="9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c>
          <w:tcPr>
            <w:tcW w:w="10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c>
          <w:tcPr>
            <w:tcW w:w="12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c>
          <w:tcPr>
            <w:tcW w:w="121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r>
      <w:tr>
        <w:trPr>
          <w:cantSplit w:val="true"/>
        </w:trPr>
        <w:tc>
          <w:tcPr>
            <w:tcW w:w="7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rPr>
              <w:t>3.3.</w:t>
            </w:r>
          </w:p>
        </w:tc>
        <w:tc>
          <w:tcPr>
            <w:tcW w:w="40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Котельная № 3, пгт.Октябрьское, ул.Чапаева, 6б</w:t>
            </w:r>
          </w:p>
        </w:tc>
        <w:tc>
          <w:tcPr>
            <w:tcW w:w="14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кг у.т./Гкал</w:t>
            </w:r>
          </w:p>
        </w:tc>
        <w:tc>
          <w:tcPr>
            <w:tcW w:w="97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176,5</w:t>
            </w:r>
          </w:p>
        </w:tc>
        <w:tc>
          <w:tcPr>
            <w:tcW w:w="94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176,5</w:t>
            </w:r>
          </w:p>
        </w:tc>
        <w:tc>
          <w:tcPr>
            <w:tcW w:w="9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176,5</w:t>
            </w:r>
          </w:p>
        </w:tc>
        <w:tc>
          <w:tcPr>
            <w:tcW w:w="9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176,5</w:t>
            </w:r>
          </w:p>
        </w:tc>
        <w:tc>
          <w:tcPr>
            <w:tcW w:w="9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c>
          <w:tcPr>
            <w:tcW w:w="10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c>
          <w:tcPr>
            <w:tcW w:w="12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c>
          <w:tcPr>
            <w:tcW w:w="121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r>
      <w:tr>
        <w:trPr>
          <w:cantSplit w:val="true"/>
        </w:trPr>
        <w:tc>
          <w:tcPr>
            <w:tcW w:w="7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rPr>
              <w:t>3.4.</w:t>
            </w:r>
          </w:p>
        </w:tc>
        <w:tc>
          <w:tcPr>
            <w:tcW w:w="40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Котельная № 6, пгт.Октябрьское, ул.Дзержинского, 2б</w:t>
            </w:r>
          </w:p>
        </w:tc>
        <w:tc>
          <w:tcPr>
            <w:tcW w:w="14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кг у.т./Гкал</w:t>
            </w:r>
          </w:p>
        </w:tc>
        <w:tc>
          <w:tcPr>
            <w:tcW w:w="97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176,5</w:t>
            </w:r>
          </w:p>
        </w:tc>
        <w:tc>
          <w:tcPr>
            <w:tcW w:w="94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c>
          <w:tcPr>
            <w:tcW w:w="9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c>
          <w:tcPr>
            <w:tcW w:w="9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c>
          <w:tcPr>
            <w:tcW w:w="9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c>
          <w:tcPr>
            <w:tcW w:w="10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c>
          <w:tcPr>
            <w:tcW w:w="12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c>
          <w:tcPr>
            <w:tcW w:w="121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r>
      <w:tr>
        <w:trPr>
          <w:cantSplit w:val="true"/>
        </w:trPr>
        <w:tc>
          <w:tcPr>
            <w:tcW w:w="7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rPr>
              <w:t>3.5.</w:t>
            </w:r>
          </w:p>
        </w:tc>
        <w:tc>
          <w:tcPr>
            <w:tcW w:w="40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Котельная № 7,пгт.Октябрьское, ул.Медицинская, 3Б</w:t>
            </w:r>
          </w:p>
        </w:tc>
        <w:tc>
          <w:tcPr>
            <w:tcW w:w="14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кг у.т./Гкал</w:t>
            </w:r>
          </w:p>
        </w:tc>
        <w:tc>
          <w:tcPr>
            <w:tcW w:w="97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176,5</w:t>
            </w:r>
          </w:p>
        </w:tc>
        <w:tc>
          <w:tcPr>
            <w:tcW w:w="94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c>
          <w:tcPr>
            <w:tcW w:w="9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c>
          <w:tcPr>
            <w:tcW w:w="9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c>
          <w:tcPr>
            <w:tcW w:w="9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c>
          <w:tcPr>
            <w:tcW w:w="10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c>
          <w:tcPr>
            <w:tcW w:w="12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c>
          <w:tcPr>
            <w:tcW w:w="121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r>
      <w:tr>
        <w:trPr>
          <w:cantSplit w:val="true"/>
        </w:trPr>
        <w:tc>
          <w:tcPr>
            <w:tcW w:w="7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rPr>
              <w:t>3.6.</w:t>
            </w:r>
          </w:p>
        </w:tc>
        <w:tc>
          <w:tcPr>
            <w:tcW w:w="40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Котельная № 12, пгт.Октябрьское, ул.Медицинская, 3к</w:t>
            </w:r>
          </w:p>
        </w:tc>
        <w:tc>
          <w:tcPr>
            <w:tcW w:w="14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кг у.т./Гкал</w:t>
            </w:r>
          </w:p>
        </w:tc>
        <w:tc>
          <w:tcPr>
            <w:tcW w:w="97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176,5</w:t>
            </w:r>
          </w:p>
        </w:tc>
        <w:tc>
          <w:tcPr>
            <w:tcW w:w="94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155,6</w:t>
            </w:r>
          </w:p>
        </w:tc>
        <w:tc>
          <w:tcPr>
            <w:tcW w:w="9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155,6</w:t>
            </w:r>
          </w:p>
        </w:tc>
        <w:tc>
          <w:tcPr>
            <w:tcW w:w="9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155,6</w:t>
            </w:r>
          </w:p>
        </w:tc>
        <w:tc>
          <w:tcPr>
            <w:tcW w:w="9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155,6</w:t>
            </w:r>
          </w:p>
        </w:tc>
        <w:tc>
          <w:tcPr>
            <w:tcW w:w="10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155,6</w:t>
            </w:r>
          </w:p>
        </w:tc>
        <w:tc>
          <w:tcPr>
            <w:tcW w:w="12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155,6</w:t>
            </w:r>
          </w:p>
        </w:tc>
        <w:tc>
          <w:tcPr>
            <w:tcW w:w="121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155,6</w:t>
            </w:r>
          </w:p>
        </w:tc>
      </w:tr>
      <w:tr>
        <w:trPr>
          <w:cantSplit w:val="true"/>
        </w:trPr>
        <w:tc>
          <w:tcPr>
            <w:tcW w:w="7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rPr>
              <w:t>3.7.</w:t>
            </w:r>
          </w:p>
        </w:tc>
        <w:tc>
          <w:tcPr>
            <w:tcW w:w="40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xml:space="preserve">Котельная № 8, пгт.Октябрьское, </w:t>
            </w:r>
          </w:p>
          <w:p>
            <w:pPr>
              <w:pStyle w:val="Normal"/>
              <w:jc w:val="center"/>
              <w:rPr>
                <w:sz w:val="20"/>
                <w:szCs w:val="20"/>
                <w:lang w:eastAsia="ru-RU"/>
              </w:rPr>
            </w:pPr>
            <w:r>
              <w:rPr>
                <w:sz w:val="20"/>
                <w:szCs w:val="20"/>
                <w:lang w:eastAsia="ru-RU"/>
              </w:rPr>
              <w:t>ул.50 лет, 38А</w:t>
            </w:r>
          </w:p>
        </w:tc>
        <w:tc>
          <w:tcPr>
            <w:tcW w:w="14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кг у.т./Гкал</w:t>
            </w:r>
          </w:p>
        </w:tc>
        <w:tc>
          <w:tcPr>
            <w:tcW w:w="97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176,5</w:t>
            </w:r>
          </w:p>
        </w:tc>
        <w:tc>
          <w:tcPr>
            <w:tcW w:w="94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176,5</w:t>
            </w:r>
          </w:p>
        </w:tc>
        <w:tc>
          <w:tcPr>
            <w:tcW w:w="9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c>
          <w:tcPr>
            <w:tcW w:w="9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c>
          <w:tcPr>
            <w:tcW w:w="9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c>
          <w:tcPr>
            <w:tcW w:w="10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c>
          <w:tcPr>
            <w:tcW w:w="12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c>
          <w:tcPr>
            <w:tcW w:w="121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r>
      <w:tr>
        <w:trPr>
          <w:cantSplit w:val="true"/>
        </w:trPr>
        <w:tc>
          <w:tcPr>
            <w:tcW w:w="7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rPr>
              <w:t>3.8.</w:t>
            </w:r>
          </w:p>
        </w:tc>
        <w:tc>
          <w:tcPr>
            <w:tcW w:w="40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Перспективная котельная, пгт.Октябрьское, ул.Дзержинского, 14</w:t>
            </w:r>
          </w:p>
        </w:tc>
        <w:tc>
          <w:tcPr>
            <w:tcW w:w="14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кг у.т./Гкал</w:t>
            </w:r>
          </w:p>
        </w:tc>
        <w:tc>
          <w:tcPr>
            <w:tcW w:w="97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c>
          <w:tcPr>
            <w:tcW w:w="94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155,6</w:t>
            </w:r>
          </w:p>
        </w:tc>
        <w:tc>
          <w:tcPr>
            <w:tcW w:w="9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155,6</w:t>
            </w:r>
          </w:p>
        </w:tc>
        <w:tc>
          <w:tcPr>
            <w:tcW w:w="9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155,6</w:t>
            </w:r>
          </w:p>
        </w:tc>
        <w:tc>
          <w:tcPr>
            <w:tcW w:w="9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155,6</w:t>
            </w:r>
          </w:p>
        </w:tc>
        <w:tc>
          <w:tcPr>
            <w:tcW w:w="10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155,6</w:t>
            </w:r>
          </w:p>
        </w:tc>
        <w:tc>
          <w:tcPr>
            <w:tcW w:w="12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155,6</w:t>
            </w:r>
          </w:p>
        </w:tc>
        <w:tc>
          <w:tcPr>
            <w:tcW w:w="121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155,6</w:t>
            </w:r>
          </w:p>
        </w:tc>
      </w:tr>
      <w:tr>
        <w:trPr>
          <w:cantSplit w:val="true"/>
        </w:trPr>
        <w:tc>
          <w:tcPr>
            <w:tcW w:w="7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rPr>
              <w:t>4</w:t>
            </w:r>
          </w:p>
        </w:tc>
        <w:tc>
          <w:tcPr>
            <w:tcW w:w="40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Отношение величины технологических потерь тепловой энергии к материальной характеристике тепловой сети</w:t>
            </w:r>
          </w:p>
        </w:tc>
        <w:tc>
          <w:tcPr>
            <w:tcW w:w="14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w:t>
            </w:r>
          </w:p>
        </w:tc>
        <w:tc>
          <w:tcPr>
            <w:tcW w:w="97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w:t>
            </w:r>
          </w:p>
        </w:tc>
        <w:tc>
          <w:tcPr>
            <w:tcW w:w="94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w:t>
            </w:r>
          </w:p>
        </w:tc>
        <w:tc>
          <w:tcPr>
            <w:tcW w:w="9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w:t>
            </w:r>
          </w:p>
        </w:tc>
        <w:tc>
          <w:tcPr>
            <w:tcW w:w="9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w:t>
            </w:r>
          </w:p>
        </w:tc>
        <w:tc>
          <w:tcPr>
            <w:tcW w:w="9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w:t>
            </w:r>
          </w:p>
        </w:tc>
        <w:tc>
          <w:tcPr>
            <w:tcW w:w="10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w:t>
            </w:r>
          </w:p>
        </w:tc>
        <w:tc>
          <w:tcPr>
            <w:tcW w:w="12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w:t>
            </w:r>
          </w:p>
        </w:tc>
        <w:tc>
          <w:tcPr>
            <w:tcW w:w="121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w:t>
            </w:r>
          </w:p>
        </w:tc>
      </w:tr>
      <w:tr>
        <w:trPr>
          <w:cantSplit w:val="true"/>
        </w:trPr>
        <w:tc>
          <w:tcPr>
            <w:tcW w:w="7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rPr>
              <w:t>4.1.</w:t>
            </w:r>
          </w:p>
        </w:tc>
        <w:tc>
          <w:tcPr>
            <w:tcW w:w="40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Котельная № 1, пгт.Октябрьское, ул.Сенькина, 46б</w:t>
            </w:r>
          </w:p>
        </w:tc>
        <w:tc>
          <w:tcPr>
            <w:tcW w:w="14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Гкал/м.кв</w:t>
            </w:r>
          </w:p>
        </w:tc>
        <w:tc>
          <w:tcPr>
            <w:tcW w:w="97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0,128</w:t>
            </w:r>
          </w:p>
        </w:tc>
        <w:tc>
          <w:tcPr>
            <w:tcW w:w="94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0,128</w:t>
            </w:r>
          </w:p>
        </w:tc>
        <w:tc>
          <w:tcPr>
            <w:tcW w:w="9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0,128</w:t>
            </w:r>
          </w:p>
        </w:tc>
        <w:tc>
          <w:tcPr>
            <w:tcW w:w="9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0,128</w:t>
            </w:r>
          </w:p>
        </w:tc>
        <w:tc>
          <w:tcPr>
            <w:tcW w:w="9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0,124</w:t>
            </w:r>
          </w:p>
        </w:tc>
        <w:tc>
          <w:tcPr>
            <w:tcW w:w="10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0,124</w:t>
            </w:r>
          </w:p>
        </w:tc>
        <w:tc>
          <w:tcPr>
            <w:tcW w:w="12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0,124</w:t>
            </w:r>
          </w:p>
        </w:tc>
        <w:tc>
          <w:tcPr>
            <w:tcW w:w="121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0,124</w:t>
            </w:r>
          </w:p>
        </w:tc>
      </w:tr>
      <w:tr>
        <w:trPr>
          <w:cantSplit w:val="true"/>
        </w:trPr>
        <w:tc>
          <w:tcPr>
            <w:tcW w:w="7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rPr>
              <w:t>4.2.</w:t>
            </w:r>
          </w:p>
        </w:tc>
        <w:tc>
          <w:tcPr>
            <w:tcW w:w="40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Котельная № 2, пгт.Октябрьское, ул.Пионерская, 17б</w:t>
            </w:r>
          </w:p>
        </w:tc>
        <w:tc>
          <w:tcPr>
            <w:tcW w:w="14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Гкал/м.кв</w:t>
            </w:r>
          </w:p>
        </w:tc>
        <w:tc>
          <w:tcPr>
            <w:tcW w:w="97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0,206</w:t>
            </w:r>
          </w:p>
        </w:tc>
        <w:tc>
          <w:tcPr>
            <w:tcW w:w="94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c>
          <w:tcPr>
            <w:tcW w:w="9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c>
          <w:tcPr>
            <w:tcW w:w="9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c>
          <w:tcPr>
            <w:tcW w:w="9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c>
          <w:tcPr>
            <w:tcW w:w="10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c>
          <w:tcPr>
            <w:tcW w:w="12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c>
          <w:tcPr>
            <w:tcW w:w="121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r>
      <w:tr>
        <w:trPr>
          <w:cantSplit w:val="true"/>
        </w:trPr>
        <w:tc>
          <w:tcPr>
            <w:tcW w:w="7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rPr>
              <w:t>4.3.</w:t>
            </w:r>
          </w:p>
        </w:tc>
        <w:tc>
          <w:tcPr>
            <w:tcW w:w="40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Котельная № 3, пгт.Октябрьское, ул.Чапаева, 6б</w:t>
            </w:r>
          </w:p>
        </w:tc>
        <w:tc>
          <w:tcPr>
            <w:tcW w:w="14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Гкал/м.кв</w:t>
            </w:r>
          </w:p>
        </w:tc>
        <w:tc>
          <w:tcPr>
            <w:tcW w:w="97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0,117</w:t>
            </w:r>
          </w:p>
        </w:tc>
        <w:tc>
          <w:tcPr>
            <w:tcW w:w="94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0,117</w:t>
            </w:r>
          </w:p>
        </w:tc>
        <w:tc>
          <w:tcPr>
            <w:tcW w:w="9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0,117</w:t>
            </w:r>
          </w:p>
        </w:tc>
        <w:tc>
          <w:tcPr>
            <w:tcW w:w="9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0,117</w:t>
            </w:r>
          </w:p>
        </w:tc>
        <w:tc>
          <w:tcPr>
            <w:tcW w:w="9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c>
          <w:tcPr>
            <w:tcW w:w="10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c>
          <w:tcPr>
            <w:tcW w:w="12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c>
          <w:tcPr>
            <w:tcW w:w="121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r>
      <w:tr>
        <w:trPr>
          <w:cantSplit w:val="true"/>
        </w:trPr>
        <w:tc>
          <w:tcPr>
            <w:tcW w:w="7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rPr>
              <w:t>4.4.</w:t>
            </w:r>
          </w:p>
        </w:tc>
        <w:tc>
          <w:tcPr>
            <w:tcW w:w="40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Котельная № 6, пгт.Октябрьское, ул.Дзержинского, 2б</w:t>
            </w:r>
          </w:p>
        </w:tc>
        <w:tc>
          <w:tcPr>
            <w:tcW w:w="14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Гкал/м.кв</w:t>
            </w:r>
          </w:p>
        </w:tc>
        <w:tc>
          <w:tcPr>
            <w:tcW w:w="97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0,282</w:t>
            </w:r>
          </w:p>
        </w:tc>
        <w:tc>
          <w:tcPr>
            <w:tcW w:w="94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c>
          <w:tcPr>
            <w:tcW w:w="9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c>
          <w:tcPr>
            <w:tcW w:w="9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c>
          <w:tcPr>
            <w:tcW w:w="9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c>
          <w:tcPr>
            <w:tcW w:w="10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c>
          <w:tcPr>
            <w:tcW w:w="12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c>
          <w:tcPr>
            <w:tcW w:w="121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r>
      <w:tr>
        <w:trPr>
          <w:cantSplit w:val="true"/>
        </w:trPr>
        <w:tc>
          <w:tcPr>
            <w:tcW w:w="7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rPr>
              <w:t>4.5.</w:t>
            </w:r>
          </w:p>
        </w:tc>
        <w:tc>
          <w:tcPr>
            <w:tcW w:w="40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Котельная № 7,пгт.Октябрьское, ул.Медицинская, 3Б</w:t>
            </w:r>
          </w:p>
        </w:tc>
        <w:tc>
          <w:tcPr>
            <w:tcW w:w="14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Гкал/м.кв</w:t>
            </w:r>
          </w:p>
        </w:tc>
        <w:tc>
          <w:tcPr>
            <w:tcW w:w="97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0,245</w:t>
            </w:r>
          </w:p>
        </w:tc>
        <w:tc>
          <w:tcPr>
            <w:tcW w:w="94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c>
          <w:tcPr>
            <w:tcW w:w="9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c>
          <w:tcPr>
            <w:tcW w:w="9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c>
          <w:tcPr>
            <w:tcW w:w="9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c>
          <w:tcPr>
            <w:tcW w:w="10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c>
          <w:tcPr>
            <w:tcW w:w="12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c>
          <w:tcPr>
            <w:tcW w:w="121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r>
      <w:tr>
        <w:trPr>
          <w:cantSplit w:val="true"/>
        </w:trPr>
        <w:tc>
          <w:tcPr>
            <w:tcW w:w="7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rPr>
              <w:t>4.6.</w:t>
            </w:r>
          </w:p>
        </w:tc>
        <w:tc>
          <w:tcPr>
            <w:tcW w:w="40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Котельная № 12, пгт.Октябрьское, ул.Медицинская, 3к</w:t>
            </w:r>
          </w:p>
        </w:tc>
        <w:tc>
          <w:tcPr>
            <w:tcW w:w="14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Гкал/м.кв</w:t>
            </w:r>
          </w:p>
        </w:tc>
        <w:tc>
          <w:tcPr>
            <w:tcW w:w="97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0,034</w:t>
            </w:r>
          </w:p>
        </w:tc>
        <w:tc>
          <w:tcPr>
            <w:tcW w:w="94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0,087</w:t>
            </w:r>
          </w:p>
        </w:tc>
        <w:tc>
          <w:tcPr>
            <w:tcW w:w="9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0,087</w:t>
            </w:r>
          </w:p>
        </w:tc>
        <w:tc>
          <w:tcPr>
            <w:tcW w:w="9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0,087</w:t>
            </w:r>
          </w:p>
        </w:tc>
        <w:tc>
          <w:tcPr>
            <w:tcW w:w="9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0,087</w:t>
            </w:r>
          </w:p>
        </w:tc>
        <w:tc>
          <w:tcPr>
            <w:tcW w:w="10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0,087</w:t>
            </w:r>
          </w:p>
        </w:tc>
        <w:tc>
          <w:tcPr>
            <w:tcW w:w="12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0,087</w:t>
            </w:r>
          </w:p>
        </w:tc>
        <w:tc>
          <w:tcPr>
            <w:tcW w:w="121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0,087</w:t>
            </w:r>
          </w:p>
        </w:tc>
      </w:tr>
      <w:tr>
        <w:trPr>
          <w:cantSplit w:val="true"/>
        </w:trPr>
        <w:tc>
          <w:tcPr>
            <w:tcW w:w="7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rPr>
              <w:t>4.7.</w:t>
            </w:r>
          </w:p>
        </w:tc>
        <w:tc>
          <w:tcPr>
            <w:tcW w:w="40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xml:space="preserve">Котельная № 8, пгт.Октябрьское, </w:t>
            </w:r>
          </w:p>
          <w:p>
            <w:pPr>
              <w:pStyle w:val="Normal"/>
              <w:jc w:val="center"/>
              <w:rPr>
                <w:sz w:val="20"/>
                <w:szCs w:val="20"/>
                <w:lang w:eastAsia="ru-RU"/>
              </w:rPr>
            </w:pPr>
            <w:r>
              <w:rPr>
                <w:sz w:val="20"/>
                <w:szCs w:val="20"/>
                <w:lang w:eastAsia="ru-RU"/>
              </w:rPr>
              <w:t>ул.50 лет, 38А</w:t>
            </w:r>
          </w:p>
        </w:tc>
        <w:tc>
          <w:tcPr>
            <w:tcW w:w="14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Гкал/м.кв</w:t>
            </w:r>
          </w:p>
        </w:tc>
        <w:tc>
          <w:tcPr>
            <w:tcW w:w="97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0,073</w:t>
            </w:r>
          </w:p>
        </w:tc>
        <w:tc>
          <w:tcPr>
            <w:tcW w:w="94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0,073</w:t>
            </w:r>
          </w:p>
        </w:tc>
        <w:tc>
          <w:tcPr>
            <w:tcW w:w="9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c>
          <w:tcPr>
            <w:tcW w:w="9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c>
          <w:tcPr>
            <w:tcW w:w="9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c>
          <w:tcPr>
            <w:tcW w:w="10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c>
          <w:tcPr>
            <w:tcW w:w="12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c>
          <w:tcPr>
            <w:tcW w:w="121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r>
      <w:tr>
        <w:trPr>
          <w:cantSplit w:val="true"/>
        </w:trPr>
        <w:tc>
          <w:tcPr>
            <w:tcW w:w="7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rPr>
              <w:t>4.8.</w:t>
            </w:r>
          </w:p>
        </w:tc>
        <w:tc>
          <w:tcPr>
            <w:tcW w:w="40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Перспективная котельная, пгт.Октябрьское, ул.Дзержинского, 14</w:t>
            </w:r>
          </w:p>
        </w:tc>
        <w:tc>
          <w:tcPr>
            <w:tcW w:w="14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Гкал/м.кв</w:t>
            </w:r>
          </w:p>
        </w:tc>
        <w:tc>
          <w:tcPr>
            <w:tcW w:w="97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c>
          <w:tcPr>
            <w:tcW w:w="94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0,229</w:t>
            </w:r>
          </w:p>
        </w:tc>
        <w:tc>
          <w:tcPr>
            <w:tcW w:w="9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0,229</w:t>
            </w:r>
          </w:p>
        </w:tc>
        <w:tc>
          <w:tcPr>
            <w:tcW w:w="9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0,229</w:t>
            </w:r>
          </w:p>
        </w:tc>
        <w:tc>
          <w:tcPr>
            <w:tcW w:w="9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0,229</w:t>
            </w:r>
          </w:p>
        </w:tc>
        <w:tc>
          <w:tcPr>
            <w:tcW w:w="10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0,229</w:t>
            </w:r>
          </w:p>
        </w:tc>
        <w:tc>
          <w:tcPr>
            <w:tcW w:w="12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0,229</w:t>
            </w:r>
          </w:p>
        </w:tc>
        <w:tc>
          <w:tcPr>
            <w:tcW w:w="121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0,229</w:t>
            </w:r>
          </w:p>
        </w:tc>
      </w:tr>
      <w:tr>
        <w:trPr>
          <w:cantSplit w:val="true"/>
        </w:trPr>
        <w:tc>
          <w:tcPr>
            <w:tcW w:w="7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rPr>
              <w:t>5</w:t>
            </w:r>
          </w:p>
        </w:tc>
        <w:tc>
          <w:tcPr>
            <w:tcW w:w="40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Отношение величины потерь теплоносителя к материальной характеристике тепловой сети</w:t>
            </w:r>
          </w:p>
        </w:tc>
        <w:tc>
          <w:tcPr>
            <w:tcW w:w="14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w:t>
            </w:r>
          </w:p>
        </w:tc>
        <w:tc>
          <w:tcPr>
            <w:tcW w:w="97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w:t>
            </w:r>
          </w:p>
        </w:tc>
        <w:tc>
          <w:tcPr>
            <w:tcW w:w="94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w:t>
            </w:r>
          </w:p>
        </w:tc>
        <w:tc>
          <w:tcPr>
            <w:tcW w:w="9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w:t>
            </w:r>
          </w:p>
        </w:tc>
        <w:tc>
          <w:tcPr>
            <w:tcW w:w="9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w:t>
            </w:r>
          </w:p>
        </w:tc>
        <w:tc>
          <w:tcPr>
            <w:tcW w:w="9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w:t>
            </w:r>
          </w:p>
        </w:tc>
        <w:tc>
          <w:tcPr>
            <w:tcW w:w="10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w:t>
            </w:r>
          </w:p>
        </w:tc>
        <w:tc>
          <w:tcPr>
            <w:tcW w:w="12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w:t>
            </w:r>
          </w:p>
        </w:tc>
        <w:tc>
          <w:tcPr>
            <w:tcW w:w="121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w:t>
            </w:r>
          </w:p>
        </w:tc>
      </w:tr>
      <w:tr>
        <w:trPr>
          <w:cantSplit w:val="true"/>
        </w:trPr>
        <w:tc>
          <w:tcPr>
            <w:tcW w:w="7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rPr>
              <w:t>5.1.</w:t>
            </w:r>
          </w:p>
        </w:tc>
        <w:tc>
          <w:tcPr>
            <w:tcW w:w="40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Котельная № 1, пгт.Октябрьское, ул.Сенькина, 46б</w:t>
            </w:r>
          </w:p>
        </w:tc>
        <w:tc>
          <w:tcPr>
            <w:tcW w:w="14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куб.м/м.кв</w:t>
            </w:r>
          </w:p>
        </w:tc>
        <w:tc>
          <w:tcPr>
            <w:tcW w:w="97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0,001</w:t>
            </w:r>
          </w:p>
        </w:tc>
        <w:tc>
          <w:tcPr>
            <w:tcW w:w="94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0,001</w:t>
            </w:r>
          </w:p>
        </w:tc>
        <w:tc>
          <w:tcPr>
            <w:tcW w:w="9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0,001</w:t>
            </w:r>
          </w:p>
        </w:tc>
        <w:tc>
          <w:tcPr>
            <w:tcW w:w="9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0,001</w:t>
            </w:r>
          </w:p>
        </w:tc>
        <w:tc>
          <w:tcPr>
            <w:tcW w:w="9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0,001</w:t>
            </w:r>
          </w:p>
        </w:tc>
        <w:tc>
          <w:tcPr>
            <w:tcW w:w="10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0,001</w:t>
            </w:r>
          </w:p>
        </w:tc>
        <w:tc>
          <w:tcPr>
            <w:tcW w:w="12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0,001</w:t>
            </w:r>
          </w:p>
        </w:tc>
        <w:tc>
          <w:tcPr>
            <w:tcW w:w="121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0,001</w:t>
            </w:r>
          </w:p>
        </w:tc>
      </w:tr>
      <w:tr>
        <w:trPr>
          <w:cantSplit w:val="true"/>
        </w:trPr>
        <w:tc>
          <w:tcPr>
            <w:tcW w:w="7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rPr>
              <w:t>5.2.</w:t>
            </w:r>
          </w:p>
        </w:tc>
        <w:tc>
          <w:tcPr>
            <w:tcW w:w="40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Котельная № 2, пгт.Октябрьское, ул.Пионерская, 17б</w:t>
            </w:r>
          </w:p>
        </w:tc>
        <w:tc>
          <w:tcPr>
            <w:tcW w:w="14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куб.м/м.кв</w:t>
            </w:r>
          </w:p>
        </w:tc>
        <w:tc>
          <w:tcPr>
            <w:tcW w:w="97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0,001</w:t>
            </w:r>
          </w:p>
        </w:tc>
        <w:tc>
          <w:tcPr>
            <w:tcW w:w="94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c>
          <w:tcPr>
            <w:tcW w:w="9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c>
          <w:tcPr>
            <w:tcW w:w="9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c>
          <w:tcPr>
            <w:tcW w:w="9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c>
          <w:tcPr>
            <w:tcW w:w="10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c>
          <w:tcPr>
            <w:tcW w:w="12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c>
          <w:tcPr>
            <w:tcW w:w="121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r>
      <w:tr>
        <w:trPr>
          <w:cantSplit w:val="true"/>
        </w:trPr>
        <w:tc>
          <w:tcPr>
            <w:tcW w:w="7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rPr>
              <w:t>5.3.</w:t>
            </w:r>
          </w:p>
        </w:tc>
        <w:tc>
          <w:tcPr>
            <w:tcW w:w="40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Котельная № 3, пгт.Октябрьское, ул.Чапаева, 6б</w:t>
            </w:r>
          </w:p>
        </w:tc>
        <w:tc>
          <w:tcPr>
            <w:tcW w:w="14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куб.м/м.кв</w:t>
            </w:r>
          </w:p>
        </w:tc>
        <w:tc>
          <w:tcPr>
            <w:tcW w:w="97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0,001</w:t>
            </w:r>
          </w:p>
        </w:tc>
        <w:tc>
          <w:tcPr>
            <w:tcW w:w="94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0,001</w:t>
            </w:r>
          </w:p>
        </w:tc>
        <w:tc>
          <w:tcPr>
            <w:tcW w:w="9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0,001</w:t>
            </w:r>
          </w:p>
        </w:tc>
        <w:tc>
          <w:tcPr>
            <w:tcW w:w="9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0,001</w:t>
            </w:r>
          </w:p>
        </w:tc>
        <w:tc>
          <w:tcPr>
            <w:tcW w:w="9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c>
          <w:tcPr>
            <w:tcW w:w="10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c>
          <w:tcPr>
            <w:tcW w:w="12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c>
          <w:tcPr>
            <w:tcW w:w="121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r>
      <w:tr>
        <w:trPr>
          <w:cantSplit w:val="true"/>
        </w:trPr>
        <w:tc>
          <w:tcPr>
            <w:tcW w:w="7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rPr>
              <w:t>5.4.</w:t>
            </w:r>
          </w:p>
        </w:tc>
        <w:tc>
          <w:tcPr>
            <w:tcW w:w="40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Котельная № 6, пгт.Октябрьское, ул.Дзержинского, 2б</w:t>
            </w:r>
          </w:p>
        </w:tc>
        <w:tc>
          <w:tcPr>
            <w:tcW w:w="14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куб.м/м.кв</w:t>
            </w:r>
          </w:p>
        </w:tc>
        <w:tc>
          <w:tcPr>
            <w:tcW w:w="97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0,002</w:t>
            </w:r>
          </w:p>
        </w:tc>
        <w:tc>
          <w:tcPr>
            <w:tcW w:w="94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c>
          <w:tcPr>
            <w:tcW w:w="9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c>
          <w:tcPr>
            <w:tcW w:w="9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c>
          <w:tcPr>
            <w:tcW w:w="9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c>
          <w:tcPr>
            <w:tcW w:w="10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c>
          <w:tcPr>
            <w:tcW w:w="12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c>
          <w:tcPr>
            <w:tcW w:w="121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r>
      <w:tr>
        <w:trPr>
          <w:cantSplit w:val="true"/>
        </w:trPr>
        <w:tc>
          <w:tcPr>
            <w:tcW w:w="7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rPr>
              <w:t>5.5.</w:t>
            </w:r>
          </w:p>
        </w:tc>
        <w:tc>
          <w:tcPr>
            <w:tcW w:w="40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Котельная № 7,пгт.Октябрьское, ул.Медицинская, 3Б</w:t>
            </w:r>
          </w:p>
        </w:tc>
        <w:tc>
          <w:tcPr>
            <w:tcW w:w="14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куб.м/м.кв</w:t>
            </w:r>
          </w:p>
        </w:tc>
        <w:tc>
          <w:tcPr>
            <w:tcW w:w="97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0,000</w:t>
            </w:r>
          </w:p>
        </w:tc>
        <w:tc>
          <w:tcPr>
            <w:tcW w:w="94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c>
          <w:tcPr>
            <w:tcW w:w="9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c>
          <w:tcPr>
            <w:tcW w:w="9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c>
          <w:tcPr>
            <w:tcW w:w="9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c>
          <w:tcPr>
            <w:tcW w:w="10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c>
          <w:tcPr>
            <w:tcW w:w="12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c>
          <w:tcPr>
            <w:tcW w:w="121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r>
      <w:tr>
        <w:trPr>
          <w:cantSplit w:val="true"/>
        </w:trPr>
        <w:tc>
          <w:tcPr>
            <w:tcW w:w="7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rPr>
              <w:t>5.6.</w:t>
            </w:r>
          </w:p>
        </w:tc>
        <w:tc>
          <w:tcPr>
            <w:tcW w:w="40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Котельная № 12, пгт.Октябрьское, ул.Медицинская, 3к</w:t>
            </w:r>
          </w:p>
        </w:tc>
        <w:tc>
          <w:tcPr>
            <w:tcW w:w="14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куб.м/м.кв</w:t>
            </w:r>
          </w:p>
        </w:tc>
        <w:tc>
          <w:tcPr>
            <w:tcW w:w="97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0,000</w:t>
            </w:r>
          </w:p>
        </w:tc>
        <w:tc>
          <w:tcPr>
            <w:tcW w:w="94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0,000</w:t>
            </w:r>
          </w:p>
        </w:tc>
        <w:tc>
          <w:tcPr>
            <w:tcW w:w="9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0,000</w:t>
            </w:r>
          </w:p>
        </w:tc>
        <w:tc>
          <w:tcPr>
            <w:tcW w:w="9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0,000</w:t>
            </w:r>
          </w:p>
        </w:tc>
        <w:tc>
          <w:tcPr>
            <w:tcW w:w="9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0,000</w:t>
            </w:r>
          </w:p>
        </w:tc>
        <w:tc>
          <w:tcPr>
            <w:tcW w:w="10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0,000</w:t>
            </w:r>
          </w:p>
        </w:tc>
        <w:tc>
          <w:tcPr>
            <w:tcW w:w="12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0,000</w:t>
            </w:r>
          </w:p>
        </w:tc>
        <w:tc>
          <w:tcPr>
            <w:tcW w:w="121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0,000</w:t>
            </w:r>
          </w:p>
        </w:tc>
      </w:tr>
      <w:tr>
        <w:trPr>
          <w:cantSplit w:val="true"/>
        </w:trPr>
        <w:tc>
          <w:tcPr>
            <w:tcW w:w="7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rPr>
              <w:t>5.7.</w:t>
            </w:r>
          </w:p>
        </w:tc>
        <w:tc>
          <w:tcPr>
            <w:tcW w:w="40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xml:space="preserve">Котельная № 8, пгт.Октябрьское, </w:t>
            </w:r>
          </w:p>
          <w:p>
            <w:pPr>
              <w:pStyle w:val="Normal"/>
              <w:jc w:val="center"/>
              <w:rPr>
                <w:sz w:val="20"/>
                <w:szCs w:val="20"/>
                <w:lang w:eastAsia="ru-RU"/>
              </w:rPr>
            </w:pPr>
            <w:r>
              <w:rPr>
                <w:sz w:val="20"/>
                <w:szCs w:val="20"/>
                <w:lang w:eastAsia="ru-RU"/>
              </w:rPr>
              <w:t>ул.50 лет, 38А</w:t>
            </w:r>
          </w:p>
        </w:tc>
        <w:tc>
          <w:tcPr>
            <w:tcW w:w="14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куб.м/м.кв</w:t>
            </w:r>
          </w:p>
        </w:tc>
        <w:tc>
          <w:tcPr>
            <w:tcW w:w="97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0,000</w:t>
            </w:r>
          </w:p>
        </w:tc>
        <w:tc>
          <w:tcPr>
            <w:tcW w:w="94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0,000</w:t>
            </w:r>
          </w:p>
        </w:tc>
        <w:tc>
          <w:tcPr>
            <w:tcW w:w="9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c>
          <w:tcPr>
            <w:tcW w:w="9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c>
          <w:tcPr>
            <w:tcW w:w="9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c>
          <w:tcPr>
            <w:tcW w:w="10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c>
          <w:tcPr>
            <w:tcW w:w="12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c>
          <w:tcPr>
            <w:tcW w:w="121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r>
      <w:tr>
        <w:trPr>
          <w:cantSplit w:val="true"/>
        </w:trPr>
        <w:tc>
          <w:tcPr>
            <w:tcW w:w="7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rPr>
              <w:t>5.8.</w:t>
            </w:r>
          </w:p>
        </w:tc>
        <w:tc>
          <w:tcPr>
            <w:tcW w:w="40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Перспективная котельная, пгт.Октябрьское, ул.Дзержинского, 14</w:t>
            </w:r>
          </w:p>
        </w:tc>
        <w:tc>
          <w:tcPr>
            <w:tcW w:w="14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куб.м/м.кв</w:t>
            </w:r>
          </w:p>
        </w:tc>
        <w:tc>
          <w:tcPr>
            <w:tcW w:w="97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c>
          <w:tcPr>
            <w:tcW w:w="94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0,002</w:t>
            </w:r>
          </w:p>
        </w:tc>
        <w:tc>
          <w:tcPr>
            <w:tcW w:w="9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0,002</w:t>
            </w:r>
          </w:p>
        </w:tc>
        <w:tc>
          <w:tcPr>
            <w:tcW w:w="9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0,002</w:t>
            </w:r>
          </w:p>
        </w:tc>
        <w:tc>
          <w:tcPr>
            <w:tcW w:w="9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0,002</w:t>
            </w:r>
          </w:p>
        </w:tc>
        <w:tc>
          <w:tcPr>
            <w:tcW w:w="10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0,002</w:t>
            </w:r>
          </w:p>
        </w:tc>
        <w:tc>
          <w:tcPr>
            <w:tcW w:w="12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0,002</w:t>
            </w:r>
          </w:p>
        </w:tc>
        <w:tc>
          <w:tcPr>
            <w:tcW w:w="121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0,002</w:t>
            </w:r>
          </w:p>
        </w:tc>
      </w:tr>
      <w:tr>
        <w:trPr>
          <w:cantSplit w:val="true"/>
        </w:trPr>
        <w:tc>
          <w:tcPr>
            <w:tcW w:w="7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rPr>
              <w:t>6</w:t>
            </w:r>
          </w:p>
        </w:tc>
        <w:tc>
          <w:tcPr>
            <w:tcW w:w="40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Коэффициент использования установленной тепловой мощности</w:t>
            </w:r>
          </w:p>
        </w:tc>
        <w:tc>
          <w:tcPr>
            <w:tcW w:w="14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w:t>
            </w:r>
          </w:p>
        </w:tc>
        <w:tc>
          <w:tcPr>
            <w:tcW w:w="97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w:t>
            </w:r>
          </w:p>
        </w:tc>
        <w:tc>
          <w:tcPr>
            <w:tcW w:w="94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w:t>
            </w:r>
          </w:p>
        </w:tc>
        <w:tc>
          <w:tcPr>
            <w:tcW w:w="9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w:t>
            </w:r>
          </w:p>
        </w:tc>
        <w:tc>
          <w:tcPr>
            <w:tcW w:w="9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w:t>
            </w:r>
          </w:p>
        </w:tc>
        <w:tc>
          <w:tcPr>
            <w:tcW w:w="9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w:t>
            </w:r>
          </w:p>
        </w:tc>
        <w:tc>
          <w:tcPr>
            <w:tcW w:w="10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w:t>
            </w:r>
          </w:p>
        </w:tc>
        <w:tc>
          <w:tcPr>
            <w:tcW w:w="12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w:t>
            </w:r>
          </w:p>
        </w:tc>
        <w:tc>
          <w:tcPr>
            <w:tcW w:w="121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w:t>
            </w:r>
          </w:p>
        </w:tc>
      </w:tr>
      <w:tr>
        <w:trPr>
          <w:cantSplit w:val="true"/>
        </w:trPr>
        <w:tc>
          <w:tcPr>
            <w:tcW w:w="7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rPr>
              <w:t>6.1.</w:t>
            </w:r>
          </w:p>
        </w:tc>
        <w:tc>
          <w:tcPr>
            <w:tcW w:w="40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Котельная № 1, пгт.Октябрьское, ул.Сенькина, 46б</w:t>
            </w:r>
          </w:p>
        </w:tc>
        <w:tc>
          <w:tcPr>
            <w:tcW w:w="14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c>
          <w:tcPr>
            <w:tcW w:w="97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81,01</w:t>
            </w:r>
          </w:p>
        </w:tc>
        <w:tc>
          <w:tcPr>
            <w:tcW w:w="94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81,01</w:t>
            </w:r>
          </w:p>
        </w:tc>
        <w:tc>
          <w:tcPr>
            <w:tcW w:w="9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81,01</w:t>
            </w:r>
          </w:p>
        </w:tc>
        <w:tc>
          <w:tcPr>
            <w:tcW w:w="9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81,01</w:t>
            </w:r>
          </w:p>
        </w:tc>
        <w:tc>
          <w:tcPr>
            <w:tcW w:w="9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79,82</w:t>
            </w:r>
          </w:p>
        </w:tc>
        <w:tc>
          <w:tcPr>
            <w:tcW w:w="10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79,82</w:t>
            </w:r>
          </w:p>
        </w:tc>
        <w:tc>
          <w:tcPr>
            <w:tcW w:w="12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79,82</w:t>
            </w:r>
          </w:p>
        </w:tc>
        <w:tc>
          <w:tcPr>
            <w:tcW w:w="121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79,82</w:t>
            </w:r>
          </w:p>
        </w:tc>
      </w:tr>
      <w:tr>
        <w:trPr>
          <w:cantSplit w:val="true"/>
        </w:trPr>
        <w:tc>
          <w:tcPr>
            <w:tcW w:w="7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rPr>
              <w:t>6.2.</w:t>
            </w:r>
          </w:p>
        </w:tc>
        <w:tc>
          <w:tcPr>
            <w:tcW w:w="40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Котельная № 2, пгт.Октябрьское, ул.Пионерская, 17б</w:t>
            </w:r>
          </w:p>
        </w:tc>
        <w:tc>
          <w:tcPr>
            <w:tcW w:w="14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c>
          <w:tcPr>
            <w:tcW w:w="97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79,78</w:t>
            </w:r>
          </w:p>
        </w:tc>
        <w:tc>
          <w:tcPr>
            <w:tcW w:w="94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c>
          <w:tcPr>
            <w:tcW w:w="9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c>
          <w:tcPr>
            <w:tcW w:w="9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c>
          <w:tcPr>
            <w:tcW w:w="9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c>
          <w:tcPr>
            <w:tcW w:w="10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c>
          <w:tcPr>
            <w:tcW w:w="12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c>
          <w:tcPr>
            <w:tcW w:w="121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r>
      <w:tr>
        <w:trPr>
          <w:cantSplit w:val="true"/>
        </w:trPr>
        <w:tc>
          <w:tcPr>
            <w:tcW w:w="7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rPr>
              <w:t>6.3.</w:t>
            </w:r>
          </w:p>
        </w:tc>
        <w:tc>
          <w:tcPr>
            <w:tcW w:w="40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Котельная № 3, пгт.Октябрьское, ул.Чапаева, 6б</w:t>
            </w:r>
          </w:p>
        </w:tc>
        <w:tc>
          <w:tcPr>
            <w:tcW w:w="14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c>
          <w:tcPr>
            <w:tcW w:w="97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98,68</w:t>
            </w:r>
          </w:p>
        </w:tc>
        <w:tc>
          <w:tcPr>
            <w:tcW w:w="94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97,93</w:t>
            </w:r>
          </w:p>
        </w:tc>
        <w:tc>
          <w:tcPr>
            <w:tcW w:w="9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97,93</w:t>
            </w:r>
          </w:p>
        </w:tc>
        <w:tc>
          <w:tcPr>
            <w:tcW w:w="9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97,93</w:t>
            </w:r>
          </w:p>
        </w:tc>
        <w:tc>
          <w:tcPr>
            <w:tcW w:w="9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c>
          <w:tcPr>
            <w:tcW w:w="10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c>
          <w:tcPr>
            <w:tcW w:w="12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c>
          <w:tcPr>
            <w:tcW w:w="121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r>
      <w:tr>
        <w:trPr>
          <w:cantSplit w:val="true"/>
        </w:trPr>
        <w:tc>
          <w:tcPr>
            <w:tcW w:w="7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rPr>
              <w:t>6.4.</w:t>
            </w:r>
          </w:p>
        </w:tc>
        <w:tc>
          <w:tcPr>
            <w:tcW w:w="40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Котельная № 6, пгт.Октябрьское, ул.Дзержинского, 2б</w:t>
            </w:r>
          </w:p>
        </w:tc>
        <w:tc>
          <w:tcPr>
            <w:tcW w:w="14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c>
          <w:tcPr>
            <w:tcW w:w="97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60,91</w:t>
            </w:r>
          </w:p>
        </w:tc>
        <w:tc>
          <w:tcPr>
            <w:tcW w:w="94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c>
          <w:tcPr>
            <w:tcW w:w="9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c>
          <w:tcPr>
            <w:tcW w:w="9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c>
          <w:tcPr>
            <w:tcW w:w="9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c>
          <w:tcPr>
            <w:tcW w:w="10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c>
          <w:tcPr>
            <w:tcW w:w="12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c>
          <w:tcPr>
            <w:tcW w:w="121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r>
      <w:tr>
        <w:trPr>
          <w:cantSplit w:val="true"/>
        </w:trPr>
        <w:tc>
          <w:tcPr>
            <w:tcW w:w="7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rPr>
              <w:t>6.5.</w:t>
            </w:r>
          </w:p>
        </w:tc>
        <w:tc>
          <w:tcPr>
            <w:tcW w:w="40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Котельная № 7,пгт.Октябрьское, ул.Медицинская, 3Б</w:t>
            </w:r>
          </w:p>
        </w:tc>
        <w:tc>
          <w:tcPr>
            <w:tcW w:w="14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c>
          <w:tcPr>
            <w:tcW w:w="97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17,36</w:t>
            </w:r>
          </w:p>
        </w:tc>
        <w:tc>
          <w:tcPr>
            <w:tcW w:w="94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c>
          <w:tcPr>
            <w:tcW w:w="9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c>
          <w:tcPr>
            <w:tcW w:w="9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c>
          <w:tcPr>
            <w:tcW w:w="9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c>
          <w:tcPr>
            <w:tcW w:w="10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c>
          <w:tcPr>
            <w:tcW w:w="12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c>
          <w:tcPr>
            <w:tcW w:w="121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r>
      <w:tr>
        <w:trPr>
          <w:cantSplit w:val="true"/>
        </w:trPr>
        <w:tc>
          <w:tcPr>
            <w:tcW w:w="7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rPr>
              <w:t>6.6.</w:t>
            </w:r>
          </w:p>
        </w:tc>
        <w:tc>
          <w:tcPr>
            <w:tcW w:w="40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Котельная № 12, пгт.Октябрьское, ул.Медицинская, 3к</w:t>
            </w:r>
          </w:p>
        </w:tc>
        <w:tc>
          <w:tcPr>
            <w:tcW w:w="14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c>
          <w:tcPr>
            <w:tcW w:w="97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52,03</w:t>
            </w:r>
          </w:p>
        </w:tc>
        <w:tc>
          <w:tcPr>
            <w:tcW w:w="94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68,41</w:t>
            </w:r>
          </w:p>
        </w:tc>
        <w:tc>
          <w:tcPr>
            <w:tcW w:w="9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68,41</w:t>
            </w:r>
          </w:p>
        </w:tc>
        <w:tc>
          <w:tcPr>
            <w:tcW w:w="9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68,41</w:t>
            </w:r>
          </w:p>
        </w:tc>
        <w:tc>
          <w:tcPr>
            <w:tcW w:w="9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68,41</w:t>
            </w:r>
          </w:p>
        </w:tc>
        <w:tc>
          <w:tcPr>
            <w:tcW w:w="10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68,41</w:t>
            </w:r>
          </w:p>
        </w:tc>
        <w:tc>
          <w:tcPr>
            <w:tcW w:w="12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68,41</w:t>
            </w:r>
          </w:p>
        </w:tc>
        <w:tc>
          <w:tcPr>
            <w:tcW w:w="121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68,41</w:t>
            </w:r>
          </w:p>
        </w:tc>
      </w:tr>
      <w:tr>
        <w:trPr>
          <w:cantSplit w:val="true"/>
        </w:trPr>
        <w:tc>
          <w:tcPr>
            <w:tcW w:w="7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rPr>
              <w:t>6.7.</w:t>
            </w:r>
          </w:p>
        </w:tc>
        <w:tc>
          <w:tcPr>
            <w:tcW w:w="40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xml:space="preserve">Котельная № 8, пгт.Октябрьское, </w:t>
            </w:r>
          </w:p>
          <w:p>
            <w:pPr>
              <w:pStyle w:val="Normal"/>
              <w:jc w:val="center"/>
              <w:rPr>
                <w:sz w:val="20"/>
                <w:szCs w:val="20"/>
                <w:lang w:eastAsia="ru-RU"/>
              </w:rPr>
            </w:pPr>
            <w:r>
              <w:rPr>
                <w:sz w:val="20"/>
                <w:szCs w:val="20"/>
                <w:lang w:eastAsia="ru-RU"/>
              </w:rPr>
              <w:t>ул.50 лет, 38А</w:t>
            </w:r>
          </w:p>
        </w:tc>
        <w:tc>
          <w:tcPr>
            <w:tcW w:w="14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c>
          <w:tcPr>
            <w:tcW w:w="97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37,54</w:t>
            </w:r>
          </w:p>
        </w:tc>
        <w:tc>
          <w:tcPr>
            <w:tcW w:w="94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37,54</w:t>
            </w:r>
          </w:p>
        </w:tc>
        <w:tc>
          <w:tcPr>
            <w:tcW w:w="9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c>
          <w:tcPr>
            <w:tcW w:w="9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c>
          <w:tcPr>
            <w:tcW w:w="9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c>
          <w:tcPr>
            <w:tcW w:w="10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c>
          <w:tcPr>
            <w:tcW w:w="12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c>
          <w:tcPr>
            <w:tcW w:w="121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r>
      <w:tr>
        <w:trPr>
          <w:cantSplit w:val="true"/>
        </w:trPr>
        <w:tc>
          <w:tcPr>
            <w:tcW w:w="7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rPr>
              <w:t>6.8.</w:t>
            </w:r>
          </w:p>
        </w:tc>
        <w:tc>
          <w:tcPr>
            <w:tcW w:w="40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Перспективная котельная, пгт.Октябрьское, ул.Дзержинского, 14</w:t>
            </w:r>
          </w:p>
        </w:tc>
        <w:tc>
          <w:tcPr>
            <w:tcW w:w="14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c>
          <w:tcPr>
            <w:tcW w:w="97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c>
          <w:tcPr>
            <w:tcW w:w="94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79,87</w:t>
            </w:r>
          </w:p>
        </w:tc>
        <w:tc>
          <w:tcPr>
            <w:tcW w:w="9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79,87</w:t>
            </w:r>
          </w:p>
        </w:tc>
        <w:tc>
          <w:tcPr>
            <w:tcW w:w="9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79,87</w:t>
            </w:r>
          </w:p>
        </w:tc>
        <w:tc>
          <w:tcPr>
            <w:tcW w:w="9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79,87</w:t>
            </w:r>
          </w:p>
        </w:tc>
        <w:tc>
          <w:tcPr>
            <w:tcW w:w="10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79,87</w:t>
            </w:r>
          </w:p>
        </w:tc>
        <w:tc>
          <w:tcPr>
            <w:tcW w:w="12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79,87</w:t>
            </w:r>
          </w:p>
        </w:tc>
        <w:tc>
          <w:tcPr>
            <w:tcW w:w="121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79,87</w:t>
            </w:r>
          </w:p>
        </w:tc>
      </w:tr>
      <w:tr>
        <w:trPr>
          <w:cantSplit w:val="true"/>
        </w:trPr>
        <w:tc>
          <w:tcPr>
            <w:tcW w:w="7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rPr>
              <w:t>7</w:t>
            </w:r>
          </w:p>
        </w:tc>
        <w:tc>
          <w:tcPr>
            <w:tcW w:w="40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sz w:val="20"/>
                <w:szCs w:val="20"/>
                <w:lang w:eastAsia="ru-RU"/>
              </w:rPr>
            </w:pPr>
            <w:r>
              <w:rPr>
                <w:sz w:val="20"/>
                <w:szCs w:val="20"/>
                <w:lang w:eastAsia="ru-RU"/>
              </w:rPr>
              <w:t>Удельная материальная характеристика тепловых сетей, приведенная к расчетной тепловой нагрузке</w:t>
            </w:r>
          </w:p>
        </w:tc>
        <w:tc>
          <w:tcPr>
            <w:tcW w:w="14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w:t>
            </w:r>
          </w:p>
        </w:tc>
        <w:tc>
          <w:tcPr>
            <w:tcW w:w="97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w:t>
            </w:r>
          </w:p>
        </w:tc>
        <w:tc>
          <w:tcPr>
            <w:tcW w:w="94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w:t>
            </w:r>
          </w:p>
        </w:tc>
        <w:tc>
          <w:tcPr>
            <w:tcW w:w="9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w:t>
            </w:r>
          </w:p>
        </w:tc>
        <w:tc>
          <w:tcPr>
            <w:tcW w:w="9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w:t>
            </w:r>
          </w:p>
        </w:tc>
        <w:tc>
          <w:tcPr>
            <w:tcW w:w="9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w:t>
            </w:r>
          </w:p>
        </w:tc>
        <w:tc>
          <w:tcPr>
            <w:tcW w:w="10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w:t>
            </w:r>
          </w:p>
        </w:tc>
        <w:tc>
          <w:tcPr>
            <w:tcW w:w="12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w:t>
            </w:r>
          </w:p>
        </w:tc>
        <w:tc>
          <w:tcPr>
            <w:tcW w:w="121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w:t>
            </w:r>
          </w:p>
        </w:tc>
      </w:tr>
      <w:tr>
        <w:trPr>
          <w:cantSplit w:val="true"/>
        </w:trPr>
        <w:tc>
          <w:tcPr>
            <w:tcW w:w="7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rPr>
              <w:t>7.1.</w:t>
            </w:r>
          </w:p>
        </w:tc>
        <w:tc>
          <w:tcPr>
            <w:tcW w:w="40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Котельная № 1, пгт.Октябрьское, ул.Сенькина, 46б</w:t>
            </w:r>
          </w:p>
        </w:tc>
        <w:tc>
          <w:tcPr>
            <w:tcW w:w="14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Гкал/час.м.кв</w:t>
            </w:r>
          </w:p>
        </w:tc>
        <w:tc>
          <w:tcPr>
            <w:tcW w:w="97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0,00457</w:t>
            </w:r>
          </w:p>
        </w:tc>
        <w:tc>
          <w:tcPr>
            <w:tcW w:w="94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0,00457</w:t>
            </w:r>
          </w:p>
        </w:tc>
        <w:tc>
          <w:tcPr>
            <w:tcW w:w="9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0,00457</w:t>
            </w:r>
          </w:p>
        </w:tc>
        <w:tc>
          <w:tcPr>
            <w:tcW w:w="9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0,00457</w:t>
            </w:r>
          </w:p>
        </w:tc>
        <w:tc>
          <w:tcPr>
            <w:tcW w:w="9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0,00441</w:t>
            </w:r>
          </w:p>
        </w:tc>
        <w:tc>
          <w:tcPr>
            <w:tcW w:w="10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0,00441</w:t>
            </w:r>
          </w:p>
        </w:tc>
        <w:tc>
          <w:tcPr>
            <w:tcW w:w="12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0,00441</w:t>
            </w:r>
          </w:p>
        </w:tc>
        <w:tc>
          <w:tcPr>
            <w:tcW w:w="121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0,00441</w:t>
            </w:r>
          </w:p>
        </w:tc>
      </w:tr>
      <w:tr>
        <w:trPr>
          <w:cantSplit w:val="true"/>
        </w:trPr>
        <w:tc>
          <w:tcPr>
            <w:tcW w:w="7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rPr>
              <w:t>7.2.</w:t>
            </w:r>
          </w:p>
        </w:tc>
        <w:tc>
          <w:tcPr>
            <w:tcW w:w="40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Котельная № 2, пгт.Октябрьское, ул.Пионерская, 17б</w:t>
            </w:r>
          </w:p>
        </w:tc>
        <w:tc>
          <w:tcPr>
            <w:tcW w:w="14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Гкал/час.м.кв</w:t>
            </w:r>
          </w:p>
        </w:tc>
        <w:tc>
          <w:tcPr>
            <w:tcW w:w="97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0,00736</w:t>
            </w:r>
          </w:p>
        </w:tc>
        <w:tc>
          <w:tcPr>
            <w:tcW w:w="94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c>
          <w:tcPr>
            <w:tcW w:w="9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0,229</w:t>
            </w:r>
          </w:p>
        </w:tc>
        <w:tc>
          <w:tcPr>
            <w:tcW w:w="9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c>
          <w:tcPr>
            <w:tcW w:w="9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0,229</w:t>
            </w:r>
          </w:p>
        </w:tc>
        <w:tc>
          <w:tcPr>
            <w:tcW w:w="10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c>
          <w:tcPr>
            <w:tcW w:w="12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0,229</w:t>
            </w:r>
          </w:p>
        </w:tc>
        <w:tc>
          <w:tcPr>
            <w:tcW w:w="121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r>
      <w:tr>
        <w:trPr>
          <w:cantSplit w:val="true"/>
        </w:trPr>
        <w:tc>
          <w:tcPr>
            <w:tcW w:w="7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rPr>
              <w:t>7.3.</w:t>
            </w:r>
          </w:p>
        </w:tc>
        <w:tc>
          <w:tcPr>
            <w:tcW w:w="40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Котельная № 3, пгт.Октябрьское, ул.Чапаева, 6б</w:t>
            </w:r>
          </w:p>
        </w:tc>
        <w:tc>
          <w:tcPr>
            <w:tcW w:w="14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Гкал/час.м.кв</w:t>
            </w:r>
          </w:p>
        </w:tc>
        <w:tc>
          <w:tcPr>
            <w:tcW w:w="97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0,00418</w:t>
            </w:r>
          </w:p>
        </w:tc>
        <w:tc>
          <w:tcPr>
            <w:tcW w:w="94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0,00418</w:t>
            </w:r>
          </w:p>
        </w:tc>
        <w:tc>
          <w:tcPr>
            <w:tcW w:w="9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0,00418</w:t>
            </w:r>
          </w:p>
        </w:tc>
        <w:tc>
          <w:tcPr>
            <w:tcW w:w="9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0,00418</w:t>
            </w:r>
          </w:p>
        </w:tc>
        <w:tc>
          <w:tcPr>
            <w:tcW w:w="9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c>
          <w:tcPr>
            <w:tcW w:w="10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0,229</w:t>
            </w:r>
          </w:p>
        </w:tc>
        <w:tc>
          <w:tcPr>
            <w:tcW w:w="12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c>
          <w:tcPr>
            <w:tcW w:w="121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0,229</w:t>
            </w:r>
          </w:p>
        </w:tc>
      </w:tr>
      <w:tr>
        <w:trPr>
          <w:cantSplit w:val="true"/>
        </w:trPr>
        <w:tc>
          <w:tcPr>
            <w:tcW w:w="7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rPr>
              <w:t>7.4.</w:t>
            </w:r>
          </w:p>
        </w:tc>
        <w:tc>
          <w:tcPr>
            <w:tcW w:w="40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Котельная № 6, пгт.Октябрьское, ул.Дзержинского, 2б</w:t>
            </w:r>
          </w:p>
        </w:tc>
        <w:tc>
          <w:tcPr>
            <w:tcW w:w="14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Гкал/час.м.кв</w:t>
            </w:r>
          </w:p>
        </w:tc>
        <w:tc>
          <w:tcPr>
            <w:tcW w:w="97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0,01008</w:t>
            </w:r>
          </w:p>
        </w:tc>
        <w:tc>
          <w:tcPr>
            <w:tcW w:w="94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c>
          <w:tcPr>
            <w:tcW w:w="9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0,229</w:t>
            </w:r>
          </w:p>
        </w:tc>
        <w:tc>
          <w:tcPr>
            <w:tcW w:w="9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c>
          <w:tcPr>
            <w:tcW w:w="9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0,229</w:t>
            </w:r>
          </w:p>
        </w:tc>
        <w:tc>
          <w:tcPr>
            <w:tcW w:w="10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c>
          <w:tcPr>
            <w:tcW w:w="12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0,229</w:t>
            </w:r>
          </w:p>
        </w:tc>
        <w:tc>
          <w:tcPr>
            <w:tcW w:w="121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r>
      <w:tr>
        <w:trPr>
          <w:cantSplit w:val="true"/>
        </w:trPr>
        <w:tc>
          <w:tcPr>
            <w:tcW w:w="7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rPr>
              <w:t>7.5.</w:t>
            </w:r>
          </w:p>
        </w:tc>
        <w:tc>
          <w:tcPr>
            <w:tcW w:w="40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Котельная № 7,пгт.Октябрьское, ул.Медицинская, 3Б</w:t>
            </w:r>
          </w:p>
        </w:tc>
        <w:tc>
          <w:tcPr>
            <w:tcW w:w="14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Гкал/час.м.кв</w:t>
            </w:r>
          </w:p>
        </w:tc>
        <w:tc>
          <w:tcPr>
            <w:tcW w:w="97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0,00189</w:t>
            </w:r>
          </w:p>
        </w:tc>
        <w:tc>
          <w:tcPr>
            <w:tcW w:w="94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c>
          <w:tcPr>
            <w:tcW w:w="9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0,229</w:t>
            </w:r>
          </w:p>
        </w:tc>
        <w:tc>
          <w:tcPr>
            <w:tcW w:w="9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c>
          <w:tcPr>
            <w:tcW w:w="9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0,229</w:t>
            </w:r>
          </w:p>
        </w:tc>
        <w:tc>
          <w:tcPr>
            <w:tcW w:w="10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c>
          <w:tcPr>
            <w:tcW w:w="12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0,229</w:t>
            </w:r>
          </w:p>
        </w:tc>
        <w:tc>
          <w:tcPr>
            <w:tcW w:w="121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r>
      <w:tr>
        <w:trPr>
          <w:cantSplit w:val="true"/>
        </w:trPr>
        <w:tc>
          <w:tcPr>
            <w:tcW w:w="7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rPr>
              <w:t>7.6.</w:t>
            </w:r>
          </w:p>
        </w:tc>
        <w:tc>
          <w:tcPr>
            <w:tcW w:w="40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Котельная № 12, пгт.Октябрьское, ул.Медицинская, 3к</w:t>
            </w:r>
          </w:p>
        </w:tc>
        <w:tc>
          <w:tcPr>
            <w:tcW w:w="14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Гкал/час.м.кв</w:t>
            </w:r>
          </w:p>
        </w:tc>
        <w:tc>
          <w:tcPr>
            <w:tcW w:w="97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0,00197</w:t>
            </w:r>
          </w:p>
        </w:tc>
        <w:tc>
          <w:tcPr>
            <w:tcW w:w="94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0,00195</w:t>
            </w:r>
          </w:p>
        </w:tc>
        <w:tc>
          <w:tcPr>
            <w:tcW w:w="9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0,00195</w:t>
            </w:r>
          </w:p>
        </w:tc>
        <w:tc>
          <w:tcPr>
            <w:tcW w:w="9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0,00195</w:t>
            </w:r>
          </w:p>
        </w:tc>
        <w:tc>
          <w:tcPr>
            <w:tcW w:w="9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0,00195</w:t>
            </w:r>
          </w:p>
        </w:tc>
        <w:tc>
          <w:tcPr>
            <w:tcW w:w="10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0,00195</w:t>
            </w:r>
          </w:p>
        </w:tc>
        <w:tc>
          <w:tcPr>
            <w:tcW w:w="12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0,00195</w:t>
            </w:r>
          </w:p>
        </w:tc>
        <w:tc>
          <w:tcPr>
            <w:tcW w:w="121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0,00195</w:t>
            </w:r>
          </w:p>
        </w:tc>
      </w:tr>
      <w:tr>
        <w:trPr>
          <w:cantSplit w:val="true"/>
        </w:trPr>
        <w:tc>
          <w:tcPr>
            <w:tcW w:w="7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rPr>
              <w:t>7.7.</w:t>
            </w:r>
          </w:p>
        </w:tc>
        <w:tc>
          <w:tcPr>
            <w:tcW w:w="40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Котельная №8, пгт. Октябрьское, ул. 50 лет, 38А</w:t>
            </w:r>
          </w:p>
        </w:tc>
        <w:tc>
          <w:tcPr>
            <w:tcW w:w="14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Гкал/час.м.кв</w:t>
            </w:r>
          </w:p>
        </w:tc>
        <w:tc>
          <w:tcPr>
            <w:tcW w:w="97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0,00262</w:t>
            </w:r>
          </w:p>
        </w:tc>
        <w:tc>
          <w:tcPr>
            <w:tcW w:w="94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0,00262</w:t>
            </w:r>
          </w:p>
        </w:tc>
        <w:tc>
          <w:tcPr>
            <w:tcW w:w="9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c>
          <w:tcPr>
            <w:tcW w:w="9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0,229</w:t>
            </w:r>
          </w:p>
        </w:tc>
        <w:tc>
          <w:tcPr>
            <w:tcW w:w="9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c>
          <w:tcPr>
            <w:tcW w:w="10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0,229</w:t>
            </w:r>
          </w:p>
        </w:tc>
        <w:tc>
          <w:tcPr>
            <w:tcW w:w="12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c>
          <w:tcPr>
            <w:tcW w:w="121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0,229</w:t>
            </w:r>
          </w:p>
        </w:tc>
      </w:tr>
      <w:tr>
        <w:trPr>
          <w:cantSplit w:val="true"/>
        </w:trPr>
        <w:tc>
          <w:tcPr>
            <w:tcW w:w="7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rPr>
              <w:t>7.8.</w:t>
            </w:r>
          </w:p>
        </w:tc>
        <w:tc>
          <w:tcPr>
            <w:tcW w:w="40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Перспективная котельная, пгт.Октябрьское, ул.Дзержинского, 14</w:t>
            </w:r>
          </w:p>
        </w:tc>
        <w:tc>
          <w:tcPr>
            <w:tcW w:w="14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Гкал/час.м.кв</w:t>
            </w:r>
          </w:p>
        </w:tc>
        <w:tc>
          <w:tcPr>
            <w:tcW w:w="97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c>
          <w:tcPr>
            <w:tcW w:w="94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0,00817</w:t>
            </w:r>
          </w:p>
        </w:tc>
        <w:tc>
          <w:tcPr>
            <w:tcW w:w="9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0,00817</w:t>
            </w:r>
          </w:p>
        </w:tc>
        <w:tc>
          <w:tcPr>
            <w:tcW w:w="9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0,00817</w:t>
            </w:r>
          </w:p>
        </w:tc>
        <w:tc>
          <w:tcPr>
            <w:tcW w:w="9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0,00817</w:t>
            </w:r>
          </w:p>
        </w:tc>
        <w:tc>
          <w:tcPr>
            <w:tcW w:w="10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0,00817</w:t>
            </w:r>
          </w:p>
        </w:tc>
        <w:tc>
          <w:tcPr>
            <w:tcW w:w="12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0,00817</w:t>
            </w:r>
          </w:p>
        </w:tc>
        <w:tc>
          <w:tcPr>
            <w:tcW w:w="121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0,00817</w:t>
            </w:r>
          </w:p>
        </w:tc>
      </w:tr>
      <w:tr>
        <w:trPr>
          <w:cantSplit w:val="true"/>
        </w:trPr>
        <w:tc>
          <w:tcPr>
            <w:tcW w:w="7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rPr>
              <w:t>8</w:t>
            </w:r>
          </w:p>
        </w:tc>
        <w:tc>
          <w:tcPr>
            <w:tcW w:w="40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sz w:val="20"/>
                <w:szCs w:val="20"/>
                <w:lang w:eastAsia="ru-RU"/>
              </w:rPr>
            </w:pPr>
            <w:r>
              <w:rPr>
                <w:sz w:val="20"/>
                <w:szCs w:val="20"/>
                <w:lang w:eastAsia="ru-RU"/>
              </w:rPr>
              <w:t xml:space="preserve">Доля тепловой энергии, выработанной в комбинированном режиме </w:t>
            </w:r>
          </w:p>
        </w:tc>
        <w:tc>
          <w:tcPr>
            <w:tcW w:w="14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c>
          <w:tcPr>
            <w:tcW w:w="97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c>
          <w:tcPr>
            <w:tcW w:w="94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c>
          <w:tcPr>
            <w:tcW w:w="9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c>
          <w:tcPr>
            <w:tcW w:w="9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c>
          <w:tcPr>
            <w:tcW w:w="9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c>
          <w:tcPr>
            <w:tcW w:w="10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c>
          <w:tcPr>
            <w:tcW w:w="12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c>
          <w:tcPr>
            <w:tcW w:w="121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r>
      <w:tr>
        <w:trPr>
          <w:cantSplit w:val="true"/>
        </w:trPr>
        <w:tc>
          <w:tcPr>
            <w:tcW w:w="7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rPr>
              <w:t>9</w:t>
            </w:r>
          </w:p>
        </w:tc>
        <w:tc>
          <w:tcPr>
            <w:tcW w:w="40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sz w:val="20"/>
                <w:szCs w:val="20"/>
                <w:lang w:eastAsia="ru-RU"/>
              </w:rPr>
            </w:pPr>
            <w:r>
              <w:rPr>
                <w:sz w:val="20"/>
                <w:szCs w:val="20"/>
                <w:lang w:eastAsia="ru-RU"/>
              </w:rPr>
              <w:t>удельный расход условного топлива на отпуск электрической энергии</w:t>
            </w:r>
          </w:p>
        </w:tc>
        <w:tc>
          <w:tcPr>
            <w:tcW w:w="14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кг у.т./кВт.ч</w:t>
            </w:r>
          </w:p>
        </w:tc>
        <w:tc>
          <w:tcPr>
            <w:tcW w:w="97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c>
          <w:tcPr>
            <w:tcW w:w="94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c>
          <w:tcPr>
            <w:tcW w:w="9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c>
          <w:tcPr>
            <w:tcW w:w="9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c>
          <w:tcPr>
            <w:tcW w:w="9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c>
          <w:tcPr>
            <w:tcW w:w="10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c>
          <w:tcPr>
            <w:tcW w:w="12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c>
          <w:tcPr>
            <w:tcW w:w="121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r>
      <w:tr>
        <w:trPr>
          <w:cantSplit w:val="true"/>
        </w:trPr>
        <w:tc>
          <w:tcPr>
            <w:tcW w:w="7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rPr>
              <w:t>10</w:t>
            </w:r>
          </w:p>
        </w:tc>
        <w:tc>
          <w:tcPr>
            <w:tcW w:w="40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sz w:val="20"/>
                <w:szCs w:val="20"/>
                <w:lang w:eastAsia="ru-RU"/>
              </w:rPr>
            </w:pPr>
            <w:r>
              <w:rPr>
                <w:sz w:val="20"/>
                <w:szCs w:val="20"/>
                <w:lang w:eastAsia="ru-RU"/>
              </w:rPr>
              <w:t>коэффициент использования теплоты топлива (только для источников тепловой энергии, функционирующих в режиме комбинированной выработки электрической и тепловой энергии)</w:t>
            </w:r>
          </w:p>
        </w:tc>
        <w:tc>
          <w:tcPr>
            <w:tcW w:w="14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w:t>
            </w:r>
          </w:p>
        </w:tc>
        <w:tc>
          <w:tcPr>
            <w:tcW w:w="97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c>
          <w:tcPr>
            <w:tcW w:w="94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c>
          <w:tcPr>
            <w:tcW w:w="9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c>
          <w:tcPr>
            <w:tcW w:w="9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c>
          <w:tcPr>
            <w:tcW w:w="9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c>
          <w:tcPr>
            <w:tcW w:w="10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c>
          <w:tcPr>
            <w:tcW w:w="12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c>
          <w:tcPr>
            <w:tcW w:w="121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r>
      <w:tr>
        <w:trPr>
          <w:cantSplit w:val="true"/>
        </w:trPr>
        <w:tc>
          <w:tcPr>
            <w:tcW w:w="7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rPr>
              <w:t>11</w:t>
            </w:r>
          </w:p>
        </w:tc>
        <w:tc>
          <w:tcPr>
            <w:tcW w:w="40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sz w:val="20"/>
                <w:szCs w:val="20"/>
                <w:lang w:eastAsia="ru-RU"/>
              </w:rPr>
            </w:pPr>
            <w:r>
              <w:rPr>
                <w:sz w:val="20"/>
                <w:szCs w:val="20"/>
                <w:lang w:eastAsia="ru-RU"/>
              </w:rPr>
              <w:t>доля отпуска тепловой энергии, осуществляемого потребителям по приборам учета, в общем объеме отпущенной тепловой энергии</w:t>
            </w:r>
          </w:p>
        </w:tc>
        <w:tc>
          <w:tcPr>
            <w:tcW w:w="14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c>
          <w:tcPr>
            <w:tcW w:w="97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20</w:t>
            </w:r>
          </w:p>
        </w:tc>
        <w:tc>
          <w:tcPr>
            <w:tcW w:w="94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40</w:t>
            </w:r>
          </w:p>
        </w:tc>
        <w:tc>
          <w:tcPr>
            <w:tcW w:w="9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50</w:t>
            </w:r>
          </w:p>
        </w:tc>
        <w:tc>
          <w:tcPr>
            <w:tcW w:w="9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60</w:t>
            </w:r>
          </w:p>
        </w:tc>
        <w:tc>
          <w:tcPr>
            <w:tcW w:w="9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70</w:t>
            </w:r>
          </w:p>
        </w:tc>
        <w:tc>
          <w:tcPr>
            <w:tcW w:w="10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80</w:t>
            </w:r>
          </w:p>
        </w:tc>
        <w:tc>
          <w:tcPr>
            <w:tcW w:w="12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100</w:t>
            </w:r>
          </w:p>
        </w:tc>
        <w:tc>
          <w:tcPr>
            <w:tcW w:w="121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100</w:t>
            </w:r>
          </w:p>
        </w:tc>
      </w:tr>
      <w:tr>
        <w:trPr>
          <w:cantSplit w:val="true"/>
        </w:trPr>
        <w:tc>
          <w:tcPr>
            <w:tcW w:w="7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rPr>
              <w:t>12</w:t>
            </w:r>
          </w:p>
        </w:tc>
        <w:tc>
          <w:tcPr>
            <w:tcW w:w="40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sz w:val="20"/>
                <w:szCs w:val="20"/>
                <w:lang w:eastAsia="ru-RU"/>
              </w:rPr>
            </w:pPr>
            <w:r>
              <w:rPr>
                <w:sz w:val="20"/>
                <w:szCs w:val="20"/>
                <w:lang w:eastAsia="ru-RU"/>
              </w:rPr>
              <w:t>средневзвешенный (по материальной характеристике) срок эксплуатации тепловых сетей (для каждой системы теплоснабжения)</w:t>
            </w:r>
          </w:p>
        </w:tc>
        <w:tc>
          <w:tcPr>
            <w:tcW w:w="14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w:t>
            </w:r>
          </w:p>
        </w:tc>
        <w:tc>
          <w:tcPr>
            <w:tcW w:w="97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н/д</w:t>
            </w:r>
          </w:p>
        </w:tc>
        <w:tc>
          <w:tcPr>
            <w:tcW w:w="94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н/д</w:t>
            </w:r>
          </w:p>
        </w:tc>
        <w:tc>
          <w:tcPr>
            <w:tcW w:w="9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н/д</w:t>
            </w:r>
          </w:p>
        </w:tc>
        <w:tc>
          <w:tcPr>
            <w:tcW w:w="9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н/д</w:t>
            </w:r>
          </w:p>
        </w:tc>
        <w:tc>
          <w:tcPr>
            <w:tcW w:w="9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н/д</w:t>
            </w:r>
          </w:p>
        </w:tc>
        <w:tc>
          <w:tcPr>
            <w:tcW w:w="10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н/д</w:t>
            </w:r>
          </w:p>
        </w:tc>
        <w:tc>
          <w:tcPr>
            <w:tcW w:w="12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н/д</w:t>
            </w:r>
          </w:p>
        </w:tc>
        <w:tc>
          <w:tcPr>
            <w:tcW w:w="121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н/д</w:t>
            </w:r>
          </w:p>
        </w:tc>
      </w:tr>
      <w:tr>
        <w:trPr>
          <w:cantSplit w:val="true"/>
        </w:trPr>
        <w:tc>
          <w:tcPr>
            <w:tcW w:w="7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rPr>
              <w:t>13</w:t>
            </w:r>
          </w:p>
        </w:tc>
        <w:tc>
          <w:tcPr>
            <w:tcW w:w="40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sz w:val="20"/>
                <w:szCs w:val="20"/>
                <w:lang w:eastAsia="ru-RU"/>
              </w:rPr>
            </w:pPr>
            <w:r>
              <w:rPr>
                <w:sz w:val="20"/>
                <w:szCs w:val="20"/>
                <w:lang w:eastAsia="ru-RU"/>
              </w:rPr>
              <w:t>отношение материальной характеристики тепловых сетей, реконструированных за год, к общей материальной характеристике тепловых сетей (фактическое значение за отчетный период и прогноз изменения при реализации проектов, указанных в утвержденной схеме теплоснабжения) (для каждой системы теплоснабжения, а также для поселения, городского округа, города федерального значения)</w:t>
            </w:r>
          </w:p>
        </w:tc>
        <w:tc>
          <w:tcPr>
            <w:tcW w:w="14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c>
          <w:tcPr>
            <w:tcW w:w="97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10</w:t>
            </w:r>
          </w:p>
        </w:tc>
        <w:tc>
          <w:tcPr>
            <w:tcW w:w="94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10</w:t>
            </w:r>
          </w:p>
        </w:tc>
        <w:tc>
          <w:tcPr>
            <w:tcW w:w="9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10</w:t>
            </w:r>
          </w:p>
        </w:tc>
        <w:tc>
          <w:tcPr>
            <w:tcW w:w="9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10</w:t>
            </w:r>
          </w:p>
        </w:tc>
        <w:tc>
          <w:tcPr>
            <w:tcW w:w="9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10</w:t>
            </w:r>
          </w:p>
        </w:tc>
        <w:tc>
          <w:tcPr>
            <w:tcW w:w="10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10</w:t>
            </w:r>
          </w:p>
        </w:tc>
        <w:tc>
          <w:tcPr>
            <w:tcW w:w="12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10</w:t>
            </w:r>
          </w:p>
        </w:tc>
        <w:tc>
          <w:tcPr>
            <w:tcW w:w="121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10</w:t>
            </w:r>
          </w:p>
        </w:tc>
      </w:tr>
      <w:tr>
        <w:trPr>
          <w:cantSplit w:val="true"/>
        </w:trPr>
        <w:tc>
          <w:tcPr>
            <w:tcW w:w="7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rPr>
              <w:t>14</w:t>
            </w:r>
          </w:p>
        </w:tc>
        <w:tc>
          <w:tcPr>
            <w:tcW w:w="40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sz w:val="20"/>
                <w:szCs w:val="20"/>
                <w:lang w:eastAsia="ru-RU"/>
              </w:rPr>
            </w:pPr>
            <w:r>
              <w:rPr>
                <w:sz w:val="20"/>
                <w:szCs w:val="20"/>
                <w:lang w:eastAsia="ru-RU"/>
              </w:rPr>
              <w:t>Отношение установленной тепловой мощности оборудования источников тепловой энергии, реконструированного за год, к общей установленной тепловой мощности источников тепловой энергии.</w:t>
            </w:r>
          </w:p>
        </w:tc>
        <w:tc>
          <w:tcPr>
            <w:tcW w:w="14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c>
          <w:tcPr>
            <w:tcW w:w="97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w:t>
            </w:r>
          </w:p>
        </w:tc>
        <w:tc>
          <w:tcPr>
            <w:tcW w:w="94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w:t>
            </w:r>
          </w:p>
        </w:tc>
        <w:tc>
          <w:tcPr>
            <w:tcW w:w="9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w:t>
            </w:r>
          </w:p>
        </w:tc>
        <w:tc>
          <w:tcPr>
            <w:tcW w:w="9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w:t>
            </w:r>
          </w:p>
        </w:tc>
        <w:tc>
          <w:tcPr>
            <w:tcW w:w="9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w:t>
            </w:r>
          </w:p>
        </w:tc>
        <w:tc>
          <w:tcPr>
            <w:tcW w:w="10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w:t>
            </w:r>
          </w:p>
        </w:tc>
        <w:tc>
          <w:tcPr>
            <w:tcW w:w="12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w:t>
            </w:r>
          </w:p>
        </w:tc>
        <w:tc>
          <w:tcPr>
            <w:tcW w:w="121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w:t>
            </w:r>
          </w:p>
        </w:tc>
      </w:tr>
      <w:tr>
        <w:trPr>
          <w:cantSplit w:val="true"/>
        </w:trPr>
        <w:tc>
          <w:tcPr>
            <w:tcW w:w="7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rPr>
            </w:pPr>
            <w:r>
              <w:rPr>
                <w:sz w:val="20"/>
                <w:szCs w:val="20"/>
              </w:rPr>
              <w:t>15</w:t>
            </w:r>
          </w:p>
        </w:tc>
        <w:tc>
          <w:tcPr>
            <w:tcW w:w="40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sz w:val="20"/>
                <w:szCs w:val="20"/>
                <w:lang w:eastAsia="ru-RU"/>
              </w:rPr>
            </w:pPr>
            <w:r>
              <w:rPr>
                <w:sz w:val="20"/>
                <w:szCs w:val="20"/>
                <w:lang w:eastAsia="ru-RU"/>
              </w:rPr>
              <w:t>Отсутствие зафиксированных фактов нарушения антимонопольного законодательства (выданных предупреждений, предписаний), а также отсутствие применения санкций, предусмотренных Кодексом Российской Федерации об административных правонарушениях, за нарушение законодательства Российской Федерации в сфере теплоснабжения, антимонопольного законодательства Российской Федерации, законодательства Российской Федерации о естественных монополиях</w:t>
            </w:r>
          </w:p>
        </w:tc>
        <w:tc>
          <w:tcPr>
            <w:tcW w:w="14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w:t>
            </w:r>
          </w:p>
        </w:tc>
        <w:tc>
          <w:tcPr>
            <w:tcW w:w="97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w:t>
            </w:r>
          </w:p>
        </w:tc>
        <w:tc>
          <w:tcPr>
            <w:tcW w:w="94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w:t>
            </w:r>
          </w:p>
        </w:tc>
        <w:tc>
          <w:tcPr>
            <w:tcW w:w="9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w:t>
            </w:r>
          </w:p>
        </w:tc>
        <w:tc>
          <w:tcPr>
            <w:tcW w:w="9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w:t>
            </w:r>
          </w:p>
        </w:tc>
        <w:tc>
          <w:tcPr>
            <w:tcW w:w="9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w:t>
            </w:r>
          </w:p>
        </w:tc>
        <w:tc>
          <w:tcPr>
            <w:tcW w:w="10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w:t>
            </w:r>
          </w:p>
        </w:tc>
        <w:tc>
          <w:tcPr>
            <w:tcW w:w="12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w:t>
            </w:r>
          </w:p>
        </w:tc>
        <w:tc>
          <w:tcPr>
            <w:tcW w:w="121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w:t>
            </w:r>
            <w:bookmarkStart w:id="1292" w:name="_Hlk161086936"/>
            <w:bookmarkEnd w:id="1292"/>
          </w:p>
        </w:tc>
      </w:tr>
    </w:tbl>
    <w:p>
      <w:pPr>
        <w:pStyle w:val="Normal"/>
        <w:jc w:val="right"/>
        <w:rPr>
          <w:rFonts w:eastAsia="Calibri" w:cs="Calibri"/>
          <w:szCs w:val="22"/>
          <w:lang w:eastAsia="en-US"/>
        </w:rPr>
      </w:pPr>
      <w:r>
        <w:rPr>
          <w:rFonts w:eastAsia="Calibri" w:cs="Calibri"/>
          <w:szCs w:val="22"/>
          <w:lang w:eastAsia="en-US"/>
        </w:rPr>
      </w:r>
    </w:p>
    <w:p>
      <w:pPr>
        <w:pStyle w:val="Normal"/>
        <w:jc w:val="right"/>
        <w:rPr>
          <w:rFonts w:eastAsia="Calibri"/>
          <w:szCs w:val="22"/>
          <w:lang w:eastAsia="en-US"/>
        </w:rPr>
      </w:pPr>
      <w:r>
        <w:rPr>
          <w:rFonts w:eastAsia="Calibri"/>
          <w:szCs w:val="22"/>
          <w:lang w:eastAsia="en-US"/>
        </w:rPr>
      </w:r>
    </w:p>
    <w:p>
      <w:pPr>
        <w:pStyle w:val="Normal"/>
        <w:ind w:firstLine="709"/>
        <w:jc w:val="both"/>
        <w:rPr>
          <w:rFonts w:eastAsia="Calibri"/>
          <w:szCs w:val="22"/>
          <w:lang w:eastAsia="en-US"/>
        </w:rPr>
      </w:pPr>
      <w:r>
        <w:rPr>
          <w:rFonts w:eastAsia="Calibri"/>
          <w:szCs w:val="22"/>
          <w:lang w:eastAsia="en-US"/>
        </w:rPr>
      </w:r>
    </w:p>
    <w:p>
      <w:pPr>
        <w:pStyle w:val="Normal"/>
        <w:keepNext w:val="true"/>
        <w:keepLines/>
        <w:numPr>
          <w:ilvl w:val="0"/>
          <w:numId w:val="0"/>
        </w:numPr>
        <w:ind w:left="0" w:firstLine="709"/>
        <w:jc w:val="both"/>
        <w:outlineLvl w:val="1"/>
        <w:rPr>
          <w:rFonts w:eastAsia="Calibri Light" w:cs="Calibri Light"/>
          <w:b/>
          <w:b/>
          <w:szCs w:val="26"/>
          <w:lang w:eastAsia="en-US"/>
        </w:rPr>
      </w:pPr>
      <w:r>
        <w:rPr>
          <w:rFonts w:eastAsia="Calibri Light" w:cs="Calibri Light"/>
          <w:b/>
          <w:szCs w:val="26"/>
          <w:lang w:eastAsia="en-US"/>
        </w:rPr>
      </w:r>
      <w:bookmarkStart w:id="1293" w:name="_Hlk50125271"/>
      <w:bookmarkStart w:id="1294" w:name="_Hlk129096883"/>
      <w:bookmarkStart w:id="1295" w:name="_Hlk50125271"/>
      <w:bookmarkStart w:id="1296" w:name="_Hlk129096883"/>
      <w:bookmarkEnd w:id="1295"/>
      <w:bookmarkEnd w:id="1296"/>
    </w:p>
    <w:p>
      <w:pPr>
        <w:pStyle w:val="2"/>
        <w:spacing w:before="0" w:after="0"/>
        <w:rPr>
          <w:color w:val="auto"/>
        </w:rPr>
      </w:pPr>
      <w:r>
        <w:rPr>
          <w:color w:val="auto"/>
        </w:rPr>
        <w:t>13.2. О</w:t>
      </w:r>
      <w:r>
        <w:rPr>
          <w:rFonts w:cs="Times New Roman"/>
          <w:szCs w:val="24"/>
        </w:rPr>
        <w:t>писание изменений (фактических данных) в оценке значений индикаторов развития систем теплоснабжения поселения, а в ценовых зонах теплоснабжения также изменений (фактических данных) в достижении ключевых показателей, отражающих результаты внедрения целевой модели рынка тепловой энергии, целевых показателей реализации схемы теплоснабжения поселения с учетом реализации проектов схемы теплоснабжения</w:t>
      </w:r>
    </w:p>
    <w:p>
      <w:pPr>
        <w:pStyle w:val="2"/>
        <w:spacing w:before="0" w:after="0"/>
        <w:rPr>
          <w:b w:val="false"/>
          <w:b w:val="false"/>
        </w:rPr>
      </w:pPr>
      <w:r>
        <w:rPr>
          <w:b w:val="false"/>
        </w:rPr>
        <w:t>Индикаторы развития систем теплоснабжения поселения с учетом реализации проектов схемы теплоснабжения определены в соответствии с актуальным состоянием системы теплоснабжения и с учетом реализации запланированных к реализации мероприятий.</w:t>
      </w:r>
    </w:p>
    <w:p>
      <w:pPr>
        <w:pStyle w:val="2"/>
        <w:spacing w:before="0" w:after="0"/>
        <w:rPr>
          <w:b w:val="false"/>
          <w:b w:val="false"/>
          <w:color w:val="auto"/>
        </w:rPr>
      </w:pPr>
      <w:r>
        <w:rPr>
          <w:b w:val="false"/>
        </w:rPr>
        <w:t>Городское поселение не входит в ценовую зону теплоснабжения и не имеет результатов внедрения целевой модели рынка тепловой энергии.</w:t>
      </w:r>
      <w:bookmarkStart w:id="1297" w:name="_Toc181340536"/>
      <w:bookmarkStart w:id="1298" w:name="_Toc160530071"/>
      <w:bookmarkStart w:id="1299" w:name="_Toc160455189"/>
      <w:bookmarkEnd w:id="1297"/>
      <w:bookmarkEnd w:id="1298"/>
      <w:bookmarkEnd w:id="1299"/>
    </w:p>
    <w:p>
      <w:pPr>
        <w:pStyle w:val="Normal"/>
        <w:jc w:val="both"/>
        <w:rPr>
          <w:rFonts w:eastAsia="Calibri Light"/>
          <w:b/>
          <w:b/>
          <w:sz w:val="28"/>
          <w:szCs w:val="32"/>
          <w:lang w:eastAsia="en-US"/>
        </w:rPr>
      </w:pPr>
      <w:r>
        <w:rPr>
          <w:rFonts w:eastAsia="Calibri Light"/>
          <w:b/>
          <w:sz w:val="28"/>
          <w:szCs w:val="32"/>
          <w:lang w:eastAsia="en-US"/>
        </w:rPr>
      </w:r>
      <w:r>
        <w:br w:type="page"/>
      </w:r>
    </w:p>
    <w:p>
      <w:pPr>
        <w:pStyle w:val="Normal"/>
        <w:keepNext w:val="true"/>
        <w:keepLines/>
        <w:numPr>
          <w:ilvl w:val="0"/>
          <w:numId w:val="0"/>
        </w:numPr>
        <w:spacing w:before="0" w:after="120"/>
        <w:ind w:left="0" w:hanging="0"/>
        <w:jc w:val="center"/>
        <w:outlineLvl w:val="0"/>
        <w:rPr>
          <w:rFonts w:eastAsia="Calibri Light" w:cs="Calibri Light"/>
          <w:b/>
          <w:b/>
          <w:lang w:eastAsia="en-US"/>
        </w:rPr>
      </w:pPr>
      <w:bookmarkStart w:id="1300" w:name="_Toc181340539"/>
      <w:bookmarkStart w:id="1301" w:name="_Toc160530074"/>
      <w:r>
        <w:rPr>
          <w:rFonts w:eastAsia="Calibri Light" w:cs="Calibri Light"/>
          <w:b/>
          <w:lang w:eastAsia="en-US"/>
        </w:rPr>
        <w:t>Глава 14 «Ценовые (тарифные) последствия»</w:t>
      </w:r>
      <w:bookmarkEnd w:id="1300"/>
      <w:bookmarkEnd w:id="1301"/>
    </w:p>
    <w:p>
      <w:pPr>
        <w:pStyle w:val="Normal"/>
        <w:ind w:firstLine="567"/>
        <w:jc w:val="both"/>
        <w:rPr>
          <w:lang w:eastAsia="ar-SA"/>
        </w:rPr>
      </w:pPr>
      <w:r>
        <w:rPr/>
        <w:t xml:space="preserve">Основным направлением развития системы централизованного теплоснабжения выбрано сохранение существующей схемы теплоснабжения, с проведением работ по реконструкции и модернизации объектов теплоснабжения. </w:t>
      </w:r>
      <w:r>
        <w:rPr>
          <w:lang w:eastAsia="ar-SA"/>
        </w:rPr>
        <w:t>Реализация рекомендуемых мероприятий позволит сократить потери тепловой энергии, повысить надежность эффективность использования котельно-печного топлива, а также повысить надежность теплоснабжения потребителей.</w:t>
      </w:r>
    </w:p>
    <w:p>
      <w:pPr>
        <w:pStyle w:val="Normal"/>
        <w:ind w:firstLine="567"/>
        <w:jc w:val="both"/>
        <w:rPr>
          <w:lang w:eastAsia="ar-SA"/>
        </w:rPr>
      </w:pPr>
      <w:r>
        <w:rPr>
          <w:lang w:eastAsia="ar-SA"/>
        </w:rPr>
        <w:t>Прогнозные тарифы рассчитаны на основе экспертных оценок и могут пересматриваться по мере появления уточненных прогнозов социально-экономического развития по данным Минэкономразвития РФ (прогнозов роста цен на топливо и электроэнергию, ИПЦ и других индексов-дефляторов) и с учетом возможного изменения условий реализации мероприятий схемы теплоснабжения.</w:t>
      </w:r>
    </w:p>
    <w:p>
      <w:pPr>
        <w:pStyle w:val="A2"/>
        <w:rPr>
          <w:rFonts w:eastAsia="Calibri"/>
          <w:b/>
          <w:b/>
          <w:bCs/>
          <w:szCs w:val="22"/>
          <w:lang w:eastAsia="en-US"/>
        </w:rPr>
      </w:pPr>
      <w:r>
        <w:rPr/>
        <w:t>Прогнозирование</w:t>
      </w:r>
      <w:r>
        <w:rPr>
          <w:spacing w:val="1"/>
        </w:rPr>
        <w:t xml:space="preserve"> </w:t>
      </w:r>
      <w:r>
        <w:rPr/>
        <w:t>финансово-хозяйственной</w:t>
      </w:r>
      <w:r>
        <w:rPr>
          <w:spacing w:val="1"/>
        </w:rPr>
        <w:t xml:space="preserve"> </w:t>
      </w:r>
      <w:r>
        <w:rPr/>
        <w:t>деятельности</w:t>
      </w:r>
      <w:r>
        <w:rPr>
          <w:spacing w:val="1"/>
        </w:rPr>
        <w:t xml:space="preserve"> </w:t>
      </w:r>
      <w:r>
        <w:rPr/>
        <w:t>теплоснабжающей</w:t>
      </w:r>
      <w:r>
        <w:rPr>
          <w:spacing w:val="1"/>
        </w:rPr>
        <w:t xml:space="preserve"> </w:t>
      </w:r>
      <w:r>
        <w:rPr/>
        <w:t>организации</w:t>
      </w:r>
      <w:r>
        <w:rPr>
          <w:spacing w:val="1"/>
        </w:rPr>
        <w:t xml:space="preserve"> </w:t>
      </w:r>
      <w:r>
        <w:rPr/>
        <w:t>проводится на основе фактических</w:t>
      </w:r>
      <w:r>
        <w:rPr>
          <w:spacing w:val="1"/>
        </w:rPr>
        <w:t xml:space="preserve"> </w:t>
      </w:r>
      <w:r>
        <w:rPr/>
        <w:t>показателей</w:t>
      </w:r>
      <w:r>
        <w:rPr>
          <w:spacing w:val="1"/>
        </w:rPr>
        <w:t xml:space="preserve"> </w:t>
      </w:r>
      <w:r>
        <w:rPr/>
        <w:t>финансово-хозяйственной</w:t>
      </w:r>
      <w:r>
        <w:rPr>
          <w:spacing w:val="1"/>
        </w:rPr>
        <w:t xml:space="preserve"> </w:t>
      </w:r>
      <w:r>
        <w:rPr/>
        <w:t>деятельности за базовый период регулирования и утверждённый период регулирования на</w:t>
      </w:r>
      <w:r>
        <w:rPr>
          <w:spacing w:val="-57"/>
        </w:rPr>
        <w:t xml:space="preserve"> </w:t>
      </w:r>
      <w:r>
        <w:rPr/>
        <w:t>момент разработки схемы теплоснабжения. Исходные данные принимаются с портала по</w:t>
      </w:r>
      <w:r>
        <w:rPr>
          <w:spacing w:val="1"/>
        </w:rPr>
        <w:t xml:space="preserve"> </w:t>
      </w:r>
      <w:r>
        <w:rPr/>
        <w:t>раскрытию информации, подлежащих свободному доступу (</w:t>
      </w:r>
      <w:hyperlink r:id="rId70">
        <w:r>
          <w:rPr>
            <w:u w:val="single"/>
          </w:rPr>
          <w:t>http://ri.eias.ru</w:t>
        </w:r>
      </w:hyperlink>
      <w:r>
        <w:rPr/>
        <w:t>) и данных от</w:t>
      </w:r>
      <w:r>
        <w:rPr>
          <w:spacing w:val="1"/>
        </w:rPr>
        <w:t xml:space="preserve"> </w:t>
      </w:r>
      <w:r>
        <w:rPr/>
        <w:t>ТСО.</w:t>
      </w:r>
      <w:r>
        <w:rPr>
          <w:spacing w:val="1"/>
        </w:rPr>
        <w:t xml:space="preserve"> </w:t>
      </w:r>
    </w:p>
    <w:p>
      <w:pPr>
        <w:pStyle w:val="Normal"/>
        <w:ind w:firstLine="567"/>
        <w:jc w:val="both"/>
        <w:rPr>
          <w:lang w:eastAsia="ar-SA"/>
        </w:rPr>
      </w:pPr>
      <w:r>
        <w:rPr>
          <w:lang w:eastAsia="ar-SA"/>
        </w:rPr>
        <w:t xml:space="preserve">Индексы-дефляторы, принятые для прогноза производственных расходов и тарифов на покупные энергоносители и воду определены на основе </w:t>
      </w:r>
      <w:r>
        <w:rPr/>
        <w:t>Прогноза социально-экономического развития Российской Федерации на 2025 год и на плановый период 2026 и 2027 годов, Прогноза социально-экономического развития Российской Федерации на период до 2024 года.</w:t>
      </w:r>
    </w:p>
    <w:p>
      <w:pPr>
        <w:pStyle w:val="Normal"/>
        <w:ind w:firstLine="567"/>
        <w:jc w:val="both"/>
        <w:rPr>
          <w:rFonts w:eastAsia="Calibri"/>
          <w:szCs w:val="22"/>
          <w:lang w:eastAsia="en-US"/>
        </w:rPr>
      </w:pPr>
      <w:r>
        <w:rPr>
          <w:rFonts w:eastAsia="Calibri"/>
          <w:szCs w:val="22"/>
          <w:lang w:eastAsia="en-US"/>
        </w:rPr>
      </w:r>
    </w:p>
    <w:p>
      <w:pPr>
        <w:pStyle w:val="Normal"/>
        <w:jc w:val="right"/>
        <w:rPr>
          <w:rFonts w:eastAsia="Calibri" w:cs="Calibri"/>
          <w:szCs w:val="22"/>
          <w:lang w:eastAsia="en-US"/>
        </w:rPr>
      </w:pPr>
      <w:r>
        <w:rPr>
          <w:rFonts w:eastAsia="Calibri" w:cs="Calibri"/>
          <w:szCs w:val="22"/>
          <w:lang w:eastAsia="en-US"/>
        </w:rPr>
        <w:t>Таблица 35 – Индексы-дефляторы, принятые для прогноза производственных расходов и тарифов на покупные энергоносители и воду (базовый вариант развития)</w:t>
      </w:r>
    </w:p>
    <w:tbl>
      <w:tblPr>
        <w:tblW w:w="4900" w:type="pct"/>
        <w:jc w:val="left"/>
        <w:tblInd w:w="0" w:type="dxa"/>
        <w:tblCellMar>
          <w:top w:w="0" w:type="dxa"/>
          <w:left w:w="108" w:type="dxa"/>
          <w:bottom w:w="0" w:type="dxa"/>
          <w:right w:w="108" w:type="dxa"/>
        </w:tblCellMar>
        <w:tblLook w:val="04a0" w:noVBand="1" w:noHBand="0" w:lastColumn="0" w:firstColumn="1" w:lastRow="0" w:firstRow="1"/>
      </w:tblPr>
      <w:tblGrid>
        <w:gridCol w:w="535"/>
        <w:gridCol w:w="3037"/>
        <w:gridCol w:w="757"/>
        <w:gridCol w:w="752"/>
        <w:gridCol w:w="754"/>
        <w:gridCol w:w="754"/>
        <w:gridCol w:w="751"/>
        <w:gridCol w:w="918"/>
        <w:gridCol w:w="916"/>
        <w:gridCol w:w="917"/>
        <w:gridCol w:w="747"/>
        <w:gridCol w:w="915"/>
        <w:gridCol w:w="718"/>
        <w:gridCol w:w="917"/>
        <w:gridCol w:w="890"/>
      </w:tblGrid>
      <w:tr>
        <w:trPr>
          <w:tblHeader w:val="true"/>
          <w:cantSplit w:val="true"/>
        </w:trPr>
        <w:tc>
          <w:tcPr>
            <w:tcW w:w="535"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 xml:space="preserve">№ </w:t>
            </w:r>
            <w:r>
              <w:rPr>
                <w:sz w:val="20"/>
                <w:szCs w:val="20"/>
              </w:rPr>
              <w:t>п/п</w:t>
            </w:r>
          </w:p>
        </w:tc>
        <w:tc>
          <w:tcPr>
            <w:tcW w:w="3037" w:type="dxa"/>
            <w:vMerge w:val="restart"/>
            <w:tcBorders>
              <w:top w:val="single" w:sz="4" w:space="0" w:color="000000"/>
              <w:left w:val="single" w:sz="4" w:space="0" w:color="000000"/>
              <w:bottom w:val="single" w:sz="4" w:space="0" w:color="000000"/>
              <w:right w:val="single" w:sz="4" w:space="0" w:color="000000"/>
            </w:tcBorders>
            <w:vAlign w:val="center"/>
          </w:tcPr>
          <w:p>
            <w:pPr>
              <w:pStyle w:val="Normal"/>
              <w:rPr>
                <w:sz w:val="20"/>
                <w:szCs w:val="20"/>
              </w:rPr>
            </w:pPr>
            <w:r>
              <w:rPr>
                <w:sz w:val="20"/>
                <w:szCs w:val="20"/>
              </w:rPr>
              <w:t>Наименование</w:t>
            </w:r>
          </w:p>
        </w:tc>
        <w:tc>
          <w:tcPr>
            <w:tcW w:w="10706" w:type="dxa"/>
            <w:gridSpan w:val="13"/>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Период, год</w:t>
            </w:r>
          </w:p>
        </w:tc>
      </w:tr>
      <w:tr>
        <w:trPr>
          <w:tblHeader w:val="true"/>
          <w:cantSplit w:val="true"/>
        </w:trPr>
        <w:tc>
          <w:tcPr>
            <w:tcW w:w="53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r>
          </w:p>
        </w:tc>
        <w:tc>
          <w:tcPr>
            <w:tcW w:w="303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sz w:val="20"/>
                <w:szCs w:val="20"/>
              </w:rPr>
            </w:pPr>
            <w:r>
              <w:rPr>
                <w:sz w:val="20"/>
                <w:szCs w:val="20"/>
              </w:rPr>
            </w:r>
          </w:p>
        </w:tc>
        <w:tc>
          <w:tcPr>
            <w:tcW w:w="75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2021</w:t>
            </w:r>
          </w:p>
        </w:tc>
        <w:tc>
          <w:tcPr>
            <w:tcW w:w="75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 xml:space="preserve">2022 </w:t>
            </w:r>
          </w:p>
        </w:tc>
        <w:tc>
          <w:tcPr>
            <w:tcW w:w="75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2023</w:t>
            </w:r>
          </w:p>
        </w:tc>
        <w:tc>
          <w:tcPr>
            <w:tcW w:w="75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2024</w:t>
            </w:r>
          </w:p>
        </w:tc>
        <w:tc>
          <w:tcPr>
            <w:tcW w:w="75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2025</w:t>
            </w:r>
          </w:p>
        </w:tc>
        <w:tc>
          <w:tcPr>
            <w:tcW w:w="91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2026</w:t>
            </w:r>
          </w:p>
        </w:tc>
        <w:tc>
          <w:tcPr>
            <w:tcW w:w="91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2027</w:t>
            </w:r>
          </w:p>
        </w:tc>
        <w:tc>
          <w:tcPr>
            <w:tcW w:w="91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2028</w:t>
            </w:r>
          </w:p>
        </w:tc>
        <w:tc>
          <w:tcPr>
            <w:tcW w:w="74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2029</w:t>
            </w:r>
          </w:p>
        </w:tc>
        <w:tc>
          <w:tcPr>
            <w:tcW w:w="91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2030</w:t>
            </w:r>
          </w:p>
        </w:tc>
        <w:tc>
          <w:tcPr>
            <w:tcW w:w="71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2031</w:t>
            </w:r>
          </w:p>
        </w:tc>
        <w:tc>
          <w:tcPr>
            <w:tcW w:w="91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2032</w:t>
            </w:r>
          </w:p>
        </w:tc>
        <w:tc>
          <w:tcPr>
            <w:tcW w:w="89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2033</w:t>
            </w:r>
          </w:p>
        </w:tc>
      </w:tr>
      <w:tr>
        <w:trPr/>
        <w:tc>
          <w:tcPr>
            <w:tcW w:w="53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Cs/>
                <w:sz w:val="20"/>
                <w:szCs w:val="20"/>
              </w:rPr>
            </w:pPr>
            <w:r>
              <w:rPr>
                <w:bCs/>
                <w:sz w:val="20"/>
                <w:szCs w:val="20"/>
              </w:rPr>
              <w:t>1</w:t>
            </w:r>
          </w:p>
        </w:tc>
        <w:tc>
          <w:tcPr>
            <w:tcW w:w="3037" w:type="dxa"/>
            <w:tcBorders>
              <w:top w:val="single" w:sz="4" w:space="0" w:color="000000"/>
              <w:left w:val="single" w:sz="4" w:space="0" w:color="000000"/>
              <w:bottom w:val="single" w:sz="4" w:space="0" w:color="000000"/>
              <w:right w:val="single" w:sz="4" w:space="0" w:color="000000"/>
            </w:tcBorders>
            <w:vAlign w:val="center"/>
          </w:tcPr>
          <w:p>
            <w:pPr>
              <w:pStyle w:val="Normal"/>
              <w:rPr>
                <w:sz w:val="20"/>
                <w:szCs w:val="20"/>
              </w:rPr>
            </w:pPr>
            <w:r>
              <w:rPr>
                <w:bCs/>
                <w:sz w:val="20"/>
                <w:szCs w:val="20"/>
              </w:rPr>
              <w:t xml:space="preserve">Индекс потребительских цен (ИПЦ), </w:t>
            </w:r>
            <w:r>
              <w:rPr>
                <w:b/>
                <w:bCs/>
                <w:i/>
                <w:iCs/>
                <w:sz w:val="20"/>
                <w:szCs w:val="20"/>
              </w:rPr>
              <w:t>I</w:t>
            </w:r>
            <w:r>
              <w:rPr>
                <w:b/>
                <w:bCs/>
                <w:i/>
                <w:iCs/>
                <w:sz w:val="20"/>
                <w:szCs w:val="20"/>
                <w:vertAlign w:val="subscript"/>
              </w:rPr>
              <w:t>ИПЦ,i</w:t>
            </w:r>
          </w:p>
        </w:tc>
        <w:tc>
          <w:tcPr>
            <w:tcW w:w="75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1,037</w:t>
            </w:r>
          </w:p>
        </w:tc>
        <w:tc>
          <w:tcPr>
            <w:tcW w:w="75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1,124</w:t>
            </w:r>
          </w:p>
        </w:tc>
        <w:tc>
          <w:tcPr>
            <w:tcW w:w="754"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jc w:val="center"/>
              <w:rPr>
                <w:sz w:val="20"/>
                <w:szCs w:val="20"/>
              </w:rPr>
            </w:pPr>
            <w:r>
              <w:rPr>
                <w:sz w:val="20"/>
                <w:szCs w:val="20"/>
              </w:rPr>
              <w:t>1,055</w:t>
            </w:r>
          </w:p>
        </w:tc>
        <w:tc>
          <w:tcPr>
            <w:tcW w:w="754" w:type="dxa"/>
            <w:tcBorders>
              <w:top w:val="single" w:sz="8" w:space="0" w:color="000000"/>
              <w:bottom w:val="single" w:sz="8" w:space="0" w:color="000000"/>
              <w:right w:val="single" w:sz="8" w:space="0" w:color="000000"/>
            </w:tcBorders>
            <w:shd w:color="auto" w:fill="auto" w:val="clear"/>
            <w:vAlign w:val="center"/>
          </w:tcPr>
          <w:p>
            <w:pPr>
              <w:pStyle w:val="Normal"/>
              <w:jc w:val="center"/>
              <w:rPr>
                <w:sz w:val="20"/>
                <w:szCs w:val="20"/>
              </w:rPr>
            </w:pPr>
            <w:r>
              <w:rPr>
                <w:sz w:val="20"/>
                <w:szCs w:val="20"/>
              </w:rPr>
              <w:t>1,057</w:t>
            </w:r>
          </w:p>
        </w:tc>
        <w:tc>
          <w:tcPr>
            <w:tcW w:w="751" w:type="dxa"/>
            <w:tcBorders>
              <w:top w:val="single" w:sz="8" w:space="0" w:color="000000"/>
              <w:bottom w:val="single" w:sz="8" w:space="0" w:color="000000"/>
              <w:right w:val="single" w:sz="8" w:space="0" w:color="000000"/>
            </w:tcBorders>
            <w:shd w:color="auto" w:fill="auto" w:val="clear"/>
            <w:vAlign w:val="center"/>
          </w:tcPr>
          <w:p>
            <w:pPr>
              <w:pStyle w:val="Normal"/>
              <w:jc w:val="center"/>
              <w:rPr>
                <w:sz w:val="20"/>
                <w:szCs w:val="20"/>
              </w:rPr>
            </w:pPr>
            <w:r>
              <w:rPr>
                <w:sz w:val="20"/>
                <w:szCs w:val="20"/>
              </w:rPr>
              <w:t>1,048</w:t>
            </w:r>
          </w:p>
        </w:tc>
        <w:tc>
          <w:tcPr>
            <w:tcW w:w="918" w:type="dxa"/>
            <w:tcBorders>
              <w:top w:val="single" w:sz="8" w:space="0" w:color="000000"/>
              <w:bottom w:val="single" w:sz="8" w:space="0" w:color="000000"/>
              <w:right w:val="single" w:sz="8" w:space="0" w:color="000000"/>
            </w:tcBorders>
            <w:shd w:color="auto" w:fill="auto" w:val="clear"/>
            <w:vAlign w:val="center"/>
          </w:tcPr>
          <w:p>
            <w:pPr>
              <w:pStyle w:val="Normal"/>
              <w:jc w:val="center"/>
              <w:rPr>
                <w:sz w:val="20"/>
                <w:szCs w:val="20"/>
              </w:rPr>
            </w:pPr>
            <w:r>
              <w:rPr>
                <w:sz w:val="20"/>
                <w:szCs w:val="20"/>
              </w:rPr>
              <w:t>1,043</w:t>
            </w:r>
          </w:p>
        </w:tc>
        <w:tc>
          <w:tcPr>
            <w:tcW w:w="91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1,020</w:t>
            </w:r>
          </w:p>
        </w:tc>
        <w:tc>
          <w:tcPr>
            <w:tcW w:w="91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1,020</w:t>
            </w:r>
          </w:p>
        </w:tc>
        <w:tc>
          <w:tcPr>
            <w:tcW w:w="74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1,020</w:t>
            </w:r>
          </w:p>
        </w:tc>
        <w:tc>
          <w:tcPr>
            <w:tcW w:w="91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1,020</w:t>
            </w:r>
          </w:p>
        </w:tc>
        <w:tc>
          <w:tcPr>
            <w:tcW w:w="71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1,02</w:t>
            </w:r>
          </w:p>
        </w:tc>
        <w:tc>
          <w:tcPr>
            <w:tcW w:w="91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1,02</w:t>
            </w:r>
          </w:p>
        </w:tc>
        <w:tc>
          <w:tcPr>
            <w:tcW w:w="89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1,02</w:t>
            </w:r>
          </w:p>
        </w:tc>
      </w:tr>
      <w:tr>
        <w:trPr/>
        <w:tc>
          <w:tcPr>
            <w:tcW w:w="53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Cs/>
                <w:sz w:val="20"/>
                <w:szCs w:val="20"/>
              </w:rPr>
            </w:pPr>
            <w:r>
              <w:rPr>
                <w:bCs/>
                <w:sz w:val="20"/>
                <w:szCs w:val="20"/>
              </w:rPr>
              <w:t>2</w:t>
            </w:r>
          </w:p>
        </w:tc>
        <w:tc>
          <w:tcPr>
            <w:tcW w:w="3037" w:type="dxa"/>
            <w:tcBorders>
              <w:top w:val="single" w:sz="4" w:space="0" w:color="000000"/>
              <w:left w:val="single" w:sz="4" w:space="0" w:color="000000"/>
              <w:bottom w:val="single" w:sz="4" w:space="0" w:color="000000"/>
              <w:right w:val="single" w:sz="4" w:space="0" w:color="000000"/>
            </w:tcBorders>
            <w:vAlign w:val="center"/>
          </w:tcPr>
          <w:p>
            <w:pPr>
              <w:pStyle w:val="Normal"/>
              <w:rPr>
                <w:sz w:val="20"/>
                <w:szCs w:val="20"/>
              </w:rPr>
            </w:pPr>
            <w:r>
              <w:rPr>
                <w:bCs/>
                <w:sz w:val="20"/>
                <w:szCs w:val="20"/>
              </w:rPr>
              <w:t xml:space="preserve">Индекс роста оптовой цены на природный газ (для всех категорий потребителей, за исключением населения), </w:t>
            </w:r>
            <w:r>
              <w:rPr>
                <w:b/>
                <w:bCs/>
                <w:i/>
                <w:iCs/>
                <w:sz w:val="20"/>
                <w:szCs w:val="20"/>
              </w:rPr>
              <w:t>I</w:t>
            </w:r>
            <w:r>
              <w:rPr>
                <w:b/>
                <w:bCs/>
                <w:i/>
                <w:iCs/>
                <w:sz w:val="20"/>
                <w:szCs w:val="20"/>
                <w:vertAlign w:val="subscript"/>
              </w:rPr>
              <w:t>ПГ,i</w:t>
            </w:r>
          </w:p>
        </w:tc>
        <w:tc>
          <w:tcPr>
            <w:tcW w:w="75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1,367</w:t>
            </w:r>
          </w:p>
        </w:tc>
        <w:tc>
          <w:tcPr>
            <w:tcW w:w="75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1,122</w:t>
            </w:r>
          </w:p>
        </w:tc>
        <w:tc>
          <w:tcPr>
            <w:tcW w:w="754" w:type="dxa"/>
            <w:tcBorders>
              <w:left w:val="single" w:sz="8" w:space="0" w:color="000000"/>
              <w:bottom w:val="single" w:sz="8" w:space="0" w:color="000000"/>
              <w:right w:val="single" w:sz="8" w:space="0" w:color="000000"/>
            </w:tcBorders>
            <w:shd w:color="auto" w:fill="auto" w:val="clear"/>
            <w:vAlign w:val="center"/>
          </w:tcPr>
          <w:p>
            <w:pPr>
              <w:pStyle w:val="Normal"/>
              <w:jc w:val="center"/>
              <w:rPr>
                <w:sz w:val="20"/>
                <w:szCs w:val="20"/>
              </w:rPr>
            </w:pPr>
            <w:r>
              <w:rPr>
                <w:sz w:val="20"/>
                <w:szCs w:val="20"/>
              </w:rPr>
              <w:t>0,929</w:t>
            </w:r>
          </w:p>
        </w:tc>
        <w:tc>
          <w:tcPr>
            <w:tcW w:w="754" w:type="dxa"/>
            <w:tcBorders>
              <w:bottom w:val="single" w:sz="8" w:space="0" w:color="000000"/>
              <w:right w:val="single" w:sz="8" w:space="0" w:color="000000"/>
            </w:tcBorders>
            <w:shd w:color="auto" w:fill="auto" w:val="clear"/>
            <w:vAlign w:val="center"/>
          </w:tcPr>
          <w:p>
            <w:pPr>
              <w:pStyle w:val="Normal"/>
              <w:jc w:val="center"/>
              <w:rPr>
                <w:sz w:val="20"/>
                <w:szCs w:val="20"/>
              </w:rPr>
            </w:pPr>
            <w:r>
              <w:rPr>
                <w:sz w:val="20"/>
                <w:szCs w:val="20"/>
              </w:rPr>
              <w:t>1,159</w:t>
            </w:r>
          </w:p>
        </w:tc>
        <w:tc>
          <w:tcPr>
            <w:tcW w:w="751" w:type="dxa"/>
            <w:tcBorders>
              <w:bottom w:val="single" w:sz="8" w:space="0" w:color="000000"/>
              <w:right w:val="single" w:sz="8" w:space="0" w:color="000000"/>
            </w:tcBorders>
            <w:shd w:color="auto" w:fill="auto" w:val="clear"/>
            <w:vAlign w:val="center"/>
          </w:tcPr>
          <w:p>
            <w:pPr>
              <w:pStyle w:val="Normal"/>
              <w:jc w:val="center"/>
              <w:rPr>
                <w:sz w:val="20"/>
                <w:szCs w:val="20"/>
              </w:rPr>
            </w:pPr>
            <w:r>
              <w:rPr>
                <w:sz w:val="20"/>
                <w:szCs w:val="20"/>
              </w:rPr>
              <w:t>0,999</w:t>
            </w:r>
          </w:p>
        </w:tc>
        <w:tc>
          <w:tcPr>
            <w:tcW w:w="918" w:type="dxa"/>
            <w:tcBorders>
              <w:bottom w:val="single" w:sz="8" w:space="0" w:color="000000"/>
              <w:right w:val="single" w:sz="8" w:space="0" w:color="000000"/>
            </w:tcBorders>
            <w:shd w:color="auto" w:fill="auto" w:val="clear"/>
            <w:vAlign w:val="center"/>
          </w:tcPr>
          <w:p>
            <w:pPr>
              <w:pStyle w:val="Normal"/>
              <w:jc w:val="center"/>
              <w:rPr>
                <w:sz w:val="20"/>
                <w:szCs w:val="20"/>
              </w:rPr>
            </w:pPr>
            <w:r>
              <w:rPr>
                <w:sz w:val="20"/>
                <w:szCs w:val="20"/>
              </w:rPr>
              <w:t>1,007</w:t>
            </w:r>
          </w:p>
        </w:tc>
        <w:tc>
          <w:tcPr>
            <w:tcW w:w="91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1,021</w:t>
            </w:r>
          </w:p>
        </w:tc>
        <w:tc>
          <w:tcPr>
            <w:tcW w:w="91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1,020</w:t>
            </w:r>
          </w:p>
        </w:tc>
        <w:tc>
          <w:tcPr>
            <w:tcW w:w="74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1,020</w:t>
            </w:r>
          </w:p>
        </w:tc>
        <w:tc>
          <w:tcPr>
            <w:tcW w:w="91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1,020</w:t>
            </w:r>
          </w:p>
        </w:tc>
        <w:tc>
          <w:tcPr>
            <w:tcW w:w="71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1,02</w:t>
            </w:r>
          </w:p>
        </w:tc>
        <w:tc>
          <w:tcPr>
            <w:tcW w:w="91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1,02</w:t>
            </w:r>
          </w:p>
        </w:tc>
        <w:tc>
          <w:tcPr>
            <w:tcW w:w="89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1,02</w:t>
            </w:r>
          </w:p>
        </w:tc>
      </w:tr>
      <w:tr>
        <w:trPr/>
        <w:tc>
          <w:tcPr>
            <w:tcW w:w="53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Cs/>
                <w:sz w:val="20"/>
                <w:szCs w:val="20"/>
              </w:rPr>
            </w:pPr>
            <w:r>
              <w:rPr>
                <w:bCs/>
                <w:sz w:val="20"/>
                <w:szCs w:val="20"/>
              </w:rPr>
              <w:t>3</w:t>
            </w:r>
          </w:p>
        </w:tc>
        <w:tc>
          <w:tcPr>
            <w:tcW w:w="3037" w:type="dxa"/>
            <w:tcBorders>
              <w:top w:val="single" w:sz="4" w:space="0" w:color="000000"/>
              <w:left w:val="single" w:sz="4" w:space="0" w:color="000000"/>
              <w:bottom w:val="single" w:sz="4" w:space="0" w:color="000000"/>
              <w:right w:val="single" w:sz="4" w:space="0" w:color="000000"/>
            </w:tcBorders>
            <w:vAlign w:val="center"/>
          </w:tcPr>
          <w:p>
            <w:pPr>
              <w:pStyle w:val="Normal"/>
              <w:rPr>
                <w:bCs/>
                <w:sz w:val="20"/>
                <w:szCs w:val="20"/>
              </w:rPr>
            </w:pPr>
            <w:r>
              <w:rPr>
                <w:bCs/>
                <w:sz w:val="20"/>
                <w:szCs w:val="20"/>
              </w:rPr>
              <w:t>Индекс роста цены на каменный уголь,</w:t>
            </w:r>
            <w:r>
              <w:rPr>
                <w:b/>
                <w:bCs/>
                <w:i/>
                <w:iCs/>
                <w:sz w:val="20"/>
                <w:szCs w:val="20"/>
              </w:rPr>
              <w:t xml:space="preserve"> I</w:t>
            </w:r>
            <w:r>
              <w:rPr>
                <w:b/>
                <w:bCs/>
                <w:i/>
                <w:iCs/>
                <w:sz w:val="20"/>
                <w:szCs w:val="20"/>
                <w:vertAlign w:val="subscript"/>
              </w:rPr>
              <w:t>КУ,i</w:t>
            </w:r>
          </w:p>
        </w:tc>
        <w:tc>
          <w:tcPr>
            <w:tcW w:w="75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1,165</w:t>
            </w:r>
          </w:p>
        </w:tc>
        <w:tc>
          <w:tcPr>
            <w:tcW w:w="75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1,537</w:t>
            </w:r>
          </w:p>
        </w:tc>
        <w:tc>
          <w:tcPr>
            <w:tcW w:w="754" w:type="dxa"/>
            <w:tcBorders>
              <w:left w:val="single" w:sz="8" w:space="0" w:color="000000"/>
              <w:bottom w:val="single" w:sz="8" w:space="0" w:color="000000"/>
              <w:right w:val="single" w:sz="8" w:space="0" w:color="000000"/>
            </w:tcBorders>
            <w:shd w:color="auto" w:fill="auto" w:val="clear"/>
            <w:vAlign w:val="center"/>
          </w:tcPr>
          <w:p>
            <w:pPr>
              <w:pStyle w:val="Normal"/>
              <w:jc w:val="center"/>
              <w:rPr>
                <w:sz w:val="20"/>
                <w:szCs w:val="20"/>
              </w:rPr>
            </w:pPr>
            <w:r>
              <w:rPr>
                <w:sz w:val="20"/>
                <w:szCs w:val="20"/>
              </w:rPr>
              <w:t>0,875</w:t>
            </w:r>
          </w:p>
        </w:tc>
        <w:tc>
          <w:tcPr>
            <w:tcW w:w="754" w:type="dxa"/>
            <w:tcBorders>
              <w:bottom w:val="single" w:sz="8" w:space="0" w:color="000000"/>
              <w:right w:val="single" w:sz="8" w:space="0" w:color="000000"/>
            </w:tcBorders>
            <w:shd w:color="auto" w:fill="auto" w:val="clear"/>
            <w:vAlign w:val="center"/>
          </w:tcPr>
          <w:p>
            <w:pPr>
              <w:pStyle w:val="Normal"/>
              <w:jc w:val="center"/>
              <w:rPr>
                <w:sz w:val="20"/>
                <w:szCs w:val="20"/>
              </w:rPr>
            </w:pPr>
            <w:r>
              <w:rPr>
                <w:sz w:val="20"/>
                <w:szCs w:val="20"/>
              </w:rPr>
              <w:t>1,057</w:t>
            </w:r>
          </w:p>
        </w:tc>
        <w:tc>
          <w:tcPr>
            <w:tcW w:w="751" w:type="dxa"/>
            <w:tcBorders>
              <w:bottom w:val="single" w:sz="8" w:space="0" w:color="000000"/>
              <w:right w:val="single" w:sz="8" w:space="0" w:color="000000"/>
            </w:tcBorders>
            <w:shd w:color="auto" w:fill="auto" w:val="clear"/>
            <w:vAlign w:val="center"/>
          </w:tcPr>
          <w:p>
            <w:pPr>
              <w:pStyle w:val="Normal"/>
              <w:jc w:val="center"/>
              <w:rPr>
                <w:sz w:val="20"/>
                <w:szCs w:val="20"/>
              </w:rPr>
            </w:pPr>
            <w:r>
              <w:rPr>
                <w:sz w:val="20"/>
                <w:szCs w:val="20"/>
              </w:rPr>
              <w:t>1,029</w:t>
            </w:r>
          </w:p>
        </w:tc>
        <w:tc>
          <w:tcPr>
            <w:tcW w:w="918" w:type="dxa"/>
            <w:tcBorders>
              <w:bottom w:val="single" w:sz="8" w:space="0" w:color="000000"/>
              <w:right w:val="single" w:sz="8" w:space="0" w:color="000000"/>
            </w:tcBorders>
            <w:shd w:color="auto" w:fill="auto" w:val="clear"/>
            <w:vAlign w:val="center"/>
          </w:tcPr>
          <w:p>
            <w:pPr>
              <w:pStyle w:val="Normal"/>
              <w:jc w:val="center"/>
              <w:rPr>
                <w:sz w:val="20"/>
                <w:szCs w:val="20"/>
              </w:rPr>
            </w:pPr>
            <w:r>
              <w:rPr>
                <w:sz w:val="20"/>
                <w:szCs w:val="20"/>
              </w:rPr>
              <w:t>1,03</w:t>
            </w:r>
          </w:p>
        </w:tc>
        <w:tc>
          <w:tcPr>
            <w:tcW w:w="91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1,038</w:t>
            </w:r>
          </w:p>
        </w:tc>
        <w:tc>
          <w:tcPr>
            <w:tcW w:w="91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1,036</w:t>
            </w:r>
          </w:p>
        </w:tc>
        <w:tc>
          <w:tcPr>
            <w:tcW w:w="74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1,036</w:t>
            </w:r>
          </w:p>
        </w:tc>
        <w:tc>
          <w:tcPr>
            <w:tcW w:w="91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1,036</w:t>
            </w:r>
          </w:p>
        </w:tc>
        <w:tc>
          <w:tcPr>
            <w:tcW w:w="71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1,036</w:t>
            </w:r>
          </w:p>
        </w:tc>
        <w:tc>
          <w:tcPr>
            <w:tcW w:w="91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1,036</w:t>
            </w:r>
          </w:p>
        </w:tc>
        <w:tc>
          <w:tcPr>
            <w:tcW w:w="89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1,036</w:t>
            </w:r>
          </w:p>
        </w:tc>
      </w:tr>
      <w:tr>
        <w:trPr/>
        <w:tc>
          <w:tcPr>
            <w:tcW w:w="53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Cs/>
                <w:sz w:val="20"/>
                <w:szCs w:val="20"/>
              </w:rPr>
            </w:pPr>
            <w:r>
              <w:rPr>
                <w:bCs/>
                <w:sz w:val="20"/>
                <w:szCs w:val="20"/>
              </w:rPr>
              <w:t>4</w:t>
            </w:r>
          </w:p>
        </w:tc>
        <w:tc>
          <w:tcPr>
            <w:tcW w:w="3037" w:type="dxa"/>
            <w:tcBorders>
              <w:top w:val="single" w:sz="4" w:space="0" w:color="000000"/>
              <w:left w:val="single" w:sz="4" w:space="0" w:color="000000"/>
              <w:bottom w:val="single" w:sz="4" w:space="0" w:color="000000"/>
              <w:right w:val="single" w:sz="4" w:space="0" w:color="000000"/>
            </w:tcBorders>
            <w:vAlign w:val="center"/>
          </w:tcPr>
          <w:p>
            <w:pPr>
              <w:pStyle w:val="Normal"/>
              <w:rPr>
                <w:sz w:val="20"/>
                <w:szCs w:val="20"/>
              </w:rPr>
            </w:pPr>
            <w:r>
              <w:rPr>
                <w:bCs/>
                <w:sz w:val="20"/>
                <w:szCs w:val="20"/>
              </w:rPr>
              <w:t xml:space="preserve">Индекс роста цены на электроэнергию (для всех категорий потребителей, за исключением населения), </w:t>
            </w:r>
            <w:r>
              <w:rPr>
                <w:b/>
                <w:bCs/>
                <w:i/>
                <w:iCs/>
                <w:sz w:val="20"/>
                <w:szCs w:val="20"/>
              </w:rPr>
              <w:t>I</w:t>
            </w:r>
            <w:r>
              <w:rPr>
                <w:b/>
                <w:bCs/>
                <w:i/>
                <w:iCs/>
                <w:sz w:val="20"/>
                <w:szCs w:val="20"/>
                <w:vertAlign w:val="subscript"/>
              </w:rPr>
              <w:t>ЭЭ,i</w:t>
            </w:r>
          </w:p>
        </w:tc>
        <w:tc>
          <w:tcPr>
            <w:tcW w:w="75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1,034</w:t>
            </w:r>
          </w:p>
        </w:tc>
        <w:tc>
          <w:tcPr>
            <w:tcW w:w="75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1,050</w:t>
            </w:r>
          </w:p>
        </w:tc>
        <w:tc>
          <w:tcPr>
            <w:tcW w:w="754" w:type="dxa"/>
            <w:tcBorders>
              <w:left w:val="single" w:sz="8" w:space="0" w:color="000000"/>
              <w:bottom w:val="single" w:sz="8" w:space="0" w:color="000000"/>
              <w:right w:val="single" w:sz="8" w:space="0" w:color="000000"/>
            </w:tcBorders>
            <w:shd w:color="auto" w:fill="auto" w:val="clear"/>
            <w:vAlign w:val="center"/>
          </w:tcPr>
          <w:p>
            <w:pPr>
              <w:pStyle w:val="Normal"/>
              <w:jc w:val="center"/>
              <w:rPr>
                <w:sz w:val="20"/>
                <w:szCs w:val="20"/>
              </w:rPr>
            </w:pPr>
            <w:r>
              <w:rPr>
                <w:sz w:val="20"/>
                <w:szCs w:val="20"/>
              </w:rPr>
              <w:t>1,075</w:t>
            </w:r>
          </w:p>
        </w:tc>
        <w:tc>
          <w:tcPr>
            <w:tcW w:w="754" w:type="dxa"/>
            <w:tcBorders>
              <w:bottom w:val="single" w:sz="8" w:space="0" w:color="000000"/>
              <w:right w:val="single" w:sz="8" w:space="0" w:color="000000"/>
            </w:tcBorders>
            <w:shd w:color="auto" w:fill="auto" w:val="clear"/>
            <w:vAlign w:val="center"/>
          </w:tcPr>
          <w:p>
            <w:pPr>
              <w:pStyle w:val="Normal"/>
              <w:jc w:val="center"/>
              <w:rPr>
                <w:sz w:val="20"/>
                <w:szCs w:val="20"/>
              </w:rPr>
            </w:pPr>
            <w:r>
              <w:rPr>
                <w:sz w:val="20"/>
                <w:szCs w:val="20"/>
              </w:rPr>
              <w:t>1,056</w:t>
            </w:r>
          </w:p>
        </w:tc>
        <w:tc>
          <w:tcPr>
            <w:tcW w:w="751" w:type="dxa"/>
            <w:tcBorders>
              <w:bottom w:val="single" w:sz="8" w:space="0" w:color="000000"/>
              <w:right w:val="single" w:sz="8" w:space="0" w:color="000000"/>
            </w:tcBorders>
            <w:shd w:color="auto" w:fill="auto" w:val="clear"/>
            <w:vAlign w:val="center"/>
          </w:tcPr>
          <w:p>
            <w:pPr>
              <w:pStyle w:val="Normal"/>
              <w:jc w:val="center"/>
              <w:rPr>
                <w:sz w:val="20"/>
                <w:szCs w:val="20"/>
              </w:rPr>
            </w:pPr>
            <w:r>
              <w:rPr>
                <w:sz w:val="20"/>
                <w:szCs w:val="20"/>
              </w:rPr>
              <w:t>1,049</w:t>
            </w:r>
          </w:p>
        </w:tc>
        <w:tc>
          <w:tcPr>
            <w:tcW w:w="918" w:type="dxa"/>
            <w:tcBorders>
              <w:bottom w:val="single" w:sz="8" w:space="0" w:color="000000"/>
              <w:right w:val="single" w:sz="8" w:space="0" w:color="000000"/>
            </w:tcBorders>
            <w:shd w:color="auto" w:fill="auto" w:val="clear"/>
            <w:vAlign w:val="center"/>
          </w:tcPr>
          <w:p>
            <w:pPr>
              <w:pStyle w:val="Normal"/>
              <w:jc w:val="center"/>
              <w:rPr>
                <w:sz w:val="20"/>
                <w:szCs w:val="20"/>
              </w:rPr>
            </w:pPr>
            <w:r>
              <w:rPr>
                <w:sz w:val="20"/>
                <w:szCs w:val="20"/>
              </w:rPr>
              <w:t>1,03</w:t>
            </w:r>
          </w:p>
        </w:tc>
        <w:tc>
          <w:tcPr>
            <w:tcW w:w="91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1,015</w:t>
            </w:r>
          </w:p>
        </w:tc>
        <w:tc>
          <w:tcPr>
            <w:tcW w:w="91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1,000</w:t>
            </w:r>
          </w:p>
        </w:tc>
        <w:tc>
          <w:tcPr>
            <w:tcW w:w="74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1,000</w:t>
            </w:r>
          </w:p>
        </w:tc>
        <w:tc>
          <w:tcPr>
            <w:tcW w:w="91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1,000</w:t>
            </w:r>
          </w:p>
        </w:tc>
        <w:tc>
          <w:tcPr>
            <w:tcW w:w="71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1,000</w:t>
            </w:r>
          </w:p>
        </w:tc>
        <w:tc>
          <w:tcPr>
            <w:tcW w:w="91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1,000</w:t>
            </w:r>
          </w:p>
        </w:tc>
        <w:tc>
          <w:tcPr>
            <w:tcW w:w="89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1,000</w:t>
            </w:r>
          </w:p>
        </w:tc>
      </w:tr>
      <w:tr>
        <w:trPr/>
        <w:tc>
          <w:tcPr>
            <w:tcW w:w="53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Cs/>
                <w:sz w:val="20"/>
                <w:szCs w:val="20"/>
              </w:rPr>
            </w:pPr>
            <w:r>
              <w:rPr>
                <w:bCs/>
                <w:sz w:val="20"/>
                <w:szCs w:val="20"/>
              </w:rPr>
              <w:t>5</w:t>
            </w:r>
          </w:p>
        </w:tc>
        <w:tc>
          <w:tcPr>
            <w:tcW w:w="3037" w:type="dxa"/>
            <w:tcBorders>
              <w:top w:val="single" w:sz="4" w:space="0" w:color="000000"/>
              <w:left w:val="single" w:sz="4" w:space="0" w:color="000000"/>
              <w:bottom w:val="single" w:sz="4" w:space="0" w:color="000000"/>
              <w:right w:val="single" w:sz="4" w:space="0" w:color="000000"/>
            </w:tcBorders>
            <w:vAlign w:val="center"/>
          </w:tcPr>
          <w:p>
            <w:pPr>
              <w:pStyle w:val="Normal"/>
              <w:rPr>
                <w:sz w:val="20"/>
                <w:szCs w:val="20"/>
              </w:rPr>
            </w:pPr>
            <w:r>
              <w:rPr>
                <w:bCs/>
                <w:sz w:val="20"/>
                <w:szCs w:val="20"/>
              </w:rPr>
              <w:t xml:space="preserve">Индекс роста цены на услуги водоснабжения/водоотведения, </w:t>
            </w:r>
            <w:r>
              <w:rPr>
                <w:b/>
                <w:bCs/>
                <w:i/>
                <w:iCs/>
                <w:sz w:val="20"/>
                <w:szCs w:val="20"/>
              </w:rPr>
              <w:t>I</w:t>
            </w:r>
            <w:r>
              <w:rPr>
                <w:b/>
                <w:bCs/>
                <w:i/>
                <w:iCs/>
                <w:sz w:val="20"/>
                <w:szCs w:val="20"/>
                <w:vertAlign w:val="subscript"/>
              </w:rPr>
              <w:t>ВС/ВО</w:t>
            </w:r>
          </w:p>
        </w:tc>
        <w:tc>
          <w:tcPr>
            <w:tcW w:w="75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1,039</w:t>
            </w:r>
          </w:p>
        </w:tc>
        <w:tc>
          <w:tcPr>
            <w:tcW w:w="75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1,042</w:t>
            </w:r>
          </w:p>
        </w:tc>
        <w:tc>
          <w:tcPr>
            <w:tcW w:w="754" w:type="dxa"/>
            <w:tcBorders>
              <w:left w:val="single" w:sz="8" w:space="0" w:color="000000"/>
              <w:bottom w:val="single" w:sz="8" w:space="0" w:color="000000"/>
              <w:right w:val="single" w:sz="8" w:space="0" w:color="000000"/>
            </w:tcBorders>
            <w:shd w:color="auto" w:fill="auto" w:val="clear"/>
            <w:vAlign w:val="center"/>
          </w:tcPr>
          <w:p>
            <w:pPr>
              <w:pStyle w:val="Normal"/>
              <w:jc w:val="center"/>
              <w:rPr>
                <w:sz w:val="20"/>
                <w:szCs w:val="20"/>
              </w:rPr>
            </w:pPr>
            <w:r>
              <w:rPr>
                <w:sz w:val="20"/>
                <w:szCs w:val="20"/>
              </w:rPr>
              <w:t>1,043</w:t>
            </w:r>
          </w:p>
        </w:tc>
        <w:tc>
          <w:tcPr>
            <w:tcW w:w="754" w:type="dxa"/>
            <w:tcBorders>
              <w:bottom w:val="single" w:sz="8" w:space="0" w:color="000000"/>
              <w:right w:val="single" w:sz="8" w:space="0" w:color="000000"/>
            </w:tcBorders>
            <w:shd w:color="auto" w:fill="auto" w:val="clear"/>
            <w:vAlign w:val="center"/>
          </w:tcPr>
          <w:p>
            <w:pPr>
              <w:pStyle w:val="Normal"/>
              <w:jc w:val="center"/>
              <w:rPr>
                <w:sz w:val="20"/>
                <w:szCs w:val="20"/>
              </w:rPr>
            </w:pPr>
            <w:r>
              <w:rPr>
                <w:sz w:val="20"/>
                <w:szCs w:val="20"/>
              </w:rPr>
              <w:t>1,044</w:t>
            </w:r>
          </w:p>
        </w:tc>
        <w:tc>
          <w:tcPr>
            <w:tcW w:w="751" w:type="dxa"/>
            <w:tcBorders>
              <w:bottom w:val="single" w:sz="8" w:space="0" w:color="000000"/>
              <w:right w:val="single" w:sz="8" w:space="0" w:color="000000"/>
            </w:tcBorders>
            <w:shd w:color="auto" w:fill="auto" w:val="clear"/>
            <w:vAlign w:val="center"/>
          </w:tcPr>
          <w:p>
            <w:pPr>
              <w:pStyle w:val="Normal"/>
              <w:jc w:val="center"/>
              <w:rPr>
                <w:sz w:val="20"/>
                <w:szCs w:val="20"/>
              </w:rPr>
            </w:pPr>
            <w:r>
              <w:rPr>
                <w:sz w:val="20"/>
                <w:szCs w:val="20"/>
              </w:rPr>
              <w:t>1,06</w:t>
            </w:r>
          </w:p>
        </w:tc>
        <w:tc>
          <w:tcPr>
            <w:tcW w:w="918" w:type="dxa"/>
            <w:tcBorders>
              <w:bottom w:val="single" w:sz="8" w:space="0" w:color="000000"/>
              <w:right w:val="single" w:sz="8" w:space="0" w:color="000000"/>
            </w:tcBorders>
            <w:shd w:color="auto" w:fill="auto" w:val="clear"/>
            <w:vAlign w:val="center"/>
          </w:tcPr>
          <w:p>
            <w:pPr>
              <w:pStyle w:val="Normal"/>
              <w:jc w:val="center"/>
              <w:rPr>
                <w:sz w:val="20"/>
                <w:szCs w:val="20"/>
              </w:rPr>
            </w:pPr>
            <w:r>
              <w:rPr>
                <w:sz w:val="20"/>
                <w:szCs w:val="20"/>
              </w:rPr>
              <w:t>1,045</w:t>
            </w:r>
          </w:p>
        </w:tc>
        <w:tc>
          <w:tcPr>
            <w:tcW w:w="91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1,028</w:t>
            </w:r>
          </w:p>
        </w:tc>
        <w:tc>
          <w:tcPr>
            <w:tcW w:w="91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1,027</w:t>
            </w:r>
          </w:p>
        </w:tc>
        <w:tc>
          <w:tcPr>
            <w:tcW w:w="74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1,027</w:t>
            </w:r>
          </w:p>
        </w:tc>
        <w:tc>
          <w:tcPr>
            <w:tcW w:w="91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1,027</w:t>
            </w:r>
          </w:p>
        </w:tc>
        <w:tc>
          <w:tcPr>
            <w:tcW w:w="71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1,027</w:t>
            </w:r>
          </w:p>
        </w:tc>
        <w:tc>
          <w:tcPr>
            <w:tcW w:w="91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1,027</w:t>
            </w:r>
          </w:p>
        </w:tc>
        <w:tc>
          <w:tcPr>
            <w:tcW w:w="89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1,027</w:t>
            </w:r>
          </w:p>
        </w:tc>
      </w:tr>
      <w:tr>
        <w:trPr/>
        <w:tc>
          <w:tcPr>
            <w:tcW w:w="53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Cs/>
                <w:sz w:val="20"/>
                <w:szCs w:val="20"/>
              </w:rPr>
            </w:pPr>
            <w:r>
              <w:rPr>
                <w:bCs/>
                <w:sz w:val="20"/>
                <w:szCs w:val="20"/>
              </w:rPr>
              <w:t>6</w:t>
            </w:r>
          </w:p>
        </w:tc>
        <w:tc>
          <w:tcPr>
            <w:tcW w:w="3037" w:type="dxa"/>
            <w:tcBorders>
              <w:top w:val="single" w:sz="4" w:space="0" w:color="000000"/>
              <w:left w:val="single" w:sz="4" w:space="0" w:color="000000"/>
              <w:bottom w:val="single" w:sz="4" w:space="0" w:color="000000"/>
              <w:right w:val="single" w:sz="4" w:space="0" w:color="000000"/>
            </w:tcBorders>
            <w:vAlign w:val="center"/>
          </w:tcPr>
          <w:p>
            <w:pPr>
              <w:pStyle w:val="Normal"/>
              <w:rPr>
                <w:sz w:val="20"/>
                <w:szCs w:val="20"/>
              </w:rPr>
            </w:pPr>
            <w:r>
              <w:rPr>
                <w:bCs/>
                <w:sz w:val="20"/>
                <w:szCs w:val="20"/>
              </w:rPr>
              <w:t xml:space="preserve">Индекс роста цены на покупную тепловую энергию, </w:t>
            </w:r>
            <w:r>
              <w:rPr>
                <w:b/>
                <w:bCs/>
                <w:i/>
                <w:iCs/>
                <w:sz w:val="20"/>
                <w:szCs w:val="20"/>
              </w:rPr>
              <w:t>I</w:t>
            </w:r>
            <w:r>
              <w:rPr>
                <w:b/>
                <w:bCs/>
                <w:i/>
                <w:iCs/>
                <w:sz w:val="20"/>
                <w:szCs w:val="20"/>
                <w:vertAlign w:val="subscript"/>
              </w:rPr>
              <w:t>ТЭ,i</w:t>
            </w:r>
          </w:p>
        </w:tc>
        <w:tc>
          <w:tcPr>
            <w:tcW w:w="75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1,148</w:t>
            </w:r>
          </w:p>
        </w:tc>
        <w:tc>
          <w:tcPr>
            <w:tcW w:w="75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1,139</w:t>
            </w:r>
          </w:p>
        </w:tc>
        <w:tc>
          <w:tcPr>
            <w:tcW w:w="754" w:type="dxa"/>
            <w:tcBorders>
              <w:left w:val="single" w:sz="8" w:space="0" w:color="000000"/>
              <w:bottom w:val="single" w:sz="8" w:space="0" w:color="000000"/>
              <w:right w:val="single" w:sz="8" w:space="0" w:color="000000"/>
            </w:tcBorders>
            <w:shd w:color="auto" w:fill="auto" w:val="clear"/>
            <w:vAlign w:val="center"/>
          </w:tcPr>
          <w:p>
            <w:pPr>
              <w:pStyle w:val="Normal"/>
              <w:jc w:val="center"/>
              <w:rPr>
                <w:sz w:val="20"/>
                <w:szCs w:val="20"/>
              </w:rPr>
            </w:pPr>
            <w:r>
              <w:rPr>
                <w:sz w:val="20"/>
                <w:szCs w:val="20"/>
              </w:rPr>
              <w:t>1,045</w:t>
            </w:r>
          </w:p>
        </w:tc>
        <w:tc>
          <w:tcPr>
            <w:tcW w:w="754" w:type="dxa"/>
            <w:tcBorders>
              <w:bottom w:val="single" w:sz="8" w:space="0" w:color="000000"/>
              <w:right w:val="single" w:sz="8" w:space="0" w:color="000000"/>
            </w:tcBorders>
            <w:shd w:color="auto" w:fill="auto" w:val="clear"/>
            <w:vAlign w:val="center"/>
          </w:tcPr>
          <w:p>
            <w:pPr>
              <w:pStyle w:val="Normal"/>
              <w:jc w:val="center"/>
              <w:rPr>
                <w:sz w:val="20"/>
                <w:szCs w:val="20"/>
              </w:rPr>
            </w:pPr>
            <w:r>
              <w:rPr>
                <w:sz w:val="20"/>
                <w:szCs w:val="20"/>
              </w:rPr>
              <w:t>1,064</w:t>
            </w:r>
          </w:p>
        </w:tc>
        <w:tc>
          <w:tcPr>
            <w:tcW w:w="751" w:type="dxa"/>
            <w:tcBorders>
              <w:bottom w:val="single" w:sz="8" w:space="0" w:color="000000"/>
              <w:right w:val="single" w:sz="8" w:space="0" w:color="000000"/>
            </w:tcBorders>
            <w:shd w:color="auto" w:fill="auto" w:val="clear"/>
            <w:vAlign w:val="center"/>
          </w:tcPr>
          <w:p>
            <w:pPr>
              <w:pStyle w:val="Normal"/>
              <w:jc w:val="center"/>
              <w:rPr>
                <w:sz w:val="20"/>
                <w:szCs w:val="20"/>
              </w:rPr>
            </w:pPr>
            <w:r>
              <w:rPr>
                <w:sz w:val="20"/>
                <w:szCs w:val="20"/>
              </w:rPr>
              <w:t>1,044</w:t>
            </w:r>
          </w:p>
        </w:tc>
        <w:tc>
          <w:tcPr>
            <w:tcW w:w="918" w:type="dxa"/>
            <w:tcBorders>
              <w:bottom w:val="single" w:sz="8" w:space="0" w:color="000000"/>
              <w:right w:val="single" w:sz="8" w:space="0" w:color="000000"/>
            </w:tcBorders>
            <w:shd w:color="auto" w:fill="auto" w:val="clear"/>
            <w:vAlign w:val="center"/>
          </w:tcPr>
          <w:p>
            <w:pPr>
              <w:pStyle w:val="Normal"/>
              <w:jc w:val="center"/>
              <w:rPr>
                <w:sz w:val="20"/>
                <w:szCs w:val="20"/>
              </w:rPr>
            </w:pPr>
            <w:r>
              <w:rPr>
                <w:sz w:val="20"/>
                <w:szCs w:val="20"/>
              </w:rPr>
              <w:t>1,039</w:t>
            </w:r>
          </w:p>
        </w:tc>
        <w:tc>
          <w:tcPr>
            <w:tcW w:w="91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1,023</w:t>
            </w:r>
          </w:p>
        </w:tc>
        <w:tc>
          <w:tcPr>
            <w:tcW w:w="91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1,023</w:t>
            </w:r>
          </w:p>
        </w:tc>
        <w:tc>
          <w:tcPr>
            <w:tcW w:w="74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1,039</w:t>
            </w:r>
          </w:p>
        </w:tc>
        <w:tc>
          <w:tcPr>
            <w:tcW w:w="91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1,039</w:t>
            </w:r>
          </w:p>
        </w:tc>
        <w:tc>
          <w:tcPr>
            <w:tcW w:w="71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1,023</w:t>
            </w:r>
          </w:p>
        </w:tc>
        <w:tc>
          <w:tcPr>
            <w:tcW w:w="91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1,023</w:t>
            </w:r>
          </w:p>
        </w:tc>
        <w:tc>
          <w:tcPr>
            <w:tcW w:w="89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1,039</w:t>
            </w:r>
          </w:p>
        </w:tc>
      </w:tr>
    </w:tbl>
    <w:p>
      <w:pPr>
        <w:pStyle w:val="Normal"/>
        <w:jc w:val="both"/>
        <w:rPr>
          <w:rFonts w:eastAsia="Calibri"/>
          <w:szCs w:val="22"/>
          <w:lang w:eastAsia="en-US"/>
        </w:rPr>
      </w:pPr>
      <w:r>
        <w:rPr>
          <w:rFonts w:eastAsia="Calibri"/>
          <w:szCs w:val="22"/>
          <w:lang w:eastAsia="en-US"/>
        </w:rPr>
      </w:r>
    </w:p>
    <w:p>
      <w:pPr>
        <w:pStyle w:val="Normal"/>
        <w:spacing w:before="0" w:after="0"/>
        <w:ind w:firstLine="567"/>
        <w:contextualSpacing/>
        <w:jc w:val="both"/>
        <w:rPr>
          <w:lang w:eastAsia="ru-RU"/>
        </w:rPr>
      </w:pPr>
      <w:r>
        <w:rPr>
          <w:szCs w:val="28"/>
          <w:lang w:eastAsia="ru-RU"/>
        </w:rPr>
        <w:t>Тарифно-балансовые модели т</w:t>
      </w:r>
      <w:r>
        <w:rPr>
          <w:lang w:eastAsia="ru-RU"/>
        </w:rPr>
        <w:t>еплоснабжения потребителей по каждой системе теплоснабжения приведены в таблице 36.</w:t>
      </w:r>
    </w:p>
    <w:p>
      <w:pPr>
        <w:pStyle w:val="Normal"/>
        <w:jc w:val="right"/>
        <w:rPr>
          <w:rFonts w:eastAsia="Calibri" w:cs="Calibri"/>
          <w:iCs/>
          <w:lang w:eastAsia="en-US"/>
        </w:rPr>
      </w:pPr>
      <w:r>
        <w:rPr>
          <w:rFonts w:eastAsia="Calibri" w:cs="Calibri"/>
          <w:iCs/>
          <w:lang w:eastAsia="en-US"/>
        </w:rPr>
        <w:t>Таблица 36 – Тарифно-балансовые модели теплоснабжения потребителей</w:t>
      </w:r>
    </w:p>
    <w:tbl>
      <w:tblPr>
        <w:tblW w:w="5000" w:type="pct"/>
        <w:jc w:val="center"/>
        <w:tblInd w:w="0" w:type="dxa"/>
        <w:tblCellMar>
          <w:top w:w="0" w:type="dxa"/>
          <w:left w:w="108" w:type="dxa"/>
          <w:bottom w:w="0" w:type="dxa"/>
          <w:right w:w="108" w:type="dxa"/>
        </w:tblCellMar>
        <w:tblLook w:val="04a0" w:noVBand="1" w:noHBand="0" w:lastColumn="0" w:firstColumn="1" w:lastRow="0" w:firstRow="1"/>
      </w:tblPr>
      <w:tblGrid>
        <w:gridCol w:w="626"/>
        <w:gridCol w:w="5427"/>
        <w:gridCol w:w="1226"/>
        <w:gridCol w:w="776"/>
        <w:gridCol w:w="842"/>
        <w:gridCol w:w="870"/>
        <w:gridCol w:w="919"/>
        <w:gridCol w:w="1045"/>
        <w:gridCol w:w="772"/>
        <w:gridCol w:w="1039"/>
        <w:gridCol w:w="1026"/>
      </w:tblGrid>
      <w:tr>
        <w:trPr>
          <w:tblHeader w:val="true"/>
          <w:cantSplit w:val="true"/>
        </w:trPr>
        <w:tc>
          <w:tcPr>
            <w:tcW w:w="62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Cs/>
                <w:sz w:val="20"/>
                <w:szCs w:val="20"/>
              </w:rPr>
            </w:pPr>
            <w:r>
              <w:rPr>
                <w:bCs/>
                <w:sz w:val="20"/>
                <w:szCs w:val="20"/>
              </w:rPr>
              <w:t xml:space="preserve">№ </w:t>
            </w:r>
            <w:r>
              <w:rPr>
                <w:bCs/>
                <w:sz w:val="20"/>
                <w:szCs w:val="20"/>
              </w:rPr>
              <w:t>п/п</w:t>
            </w:r>
          </w:p>
        </w:tc>
        <w:tc>
          <w:tcPr>
            <w:tcW w:w="542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bCs/>
                <w:sz w:val="20"/>
                <w:szCs w:val="20"/>
              </w:rPr>
            </w:pPr>
            <w:r>
              <w:rPr>
                <w:bCs/>
                <w:sz w:val="20"/>
                <w:szCs w:val="20"/>
              </w:rPr>
              <w:t>Наименование</w:t>
            </w:r>
          </w:p>
        </w:tc>
        <w:tc>
          <w:tcPr>
            <w:tcW w:w="12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136" w:right="-184" w:hanging="0"/>
              <w:jc w:val="center"/>
              <w:rPr>
                <w:bCs/>
                <w:sz w:val="20"/>
                <w:szCs w:val="20"/>
              </w:rPr>
            </w:pPr>
            <w:r>
              <w:rPr>
                <w:bCs/>
                <w:sz w:val="20"/>
                <w:szCs w:val="20"/>
              </w:rPr>
              <w:t>Ед. измерения</w:t>
            </w:r>
          </w:p>
        </w:tc>
        <w:tc>
          <w:tcPr>
            <w:tcW w:w="7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136" w:right="-184" w:hanging="0"/>
              <w:jc w:val="center"/>
              <w:rPr>
                <w:sz w:val="20"/>
                <w:szCs w:val="20"/>
              </w:rPr>
            </w:pPr>
            <w:r>
              <w:rPr>
                <w:iCs/>
                <w:sz w:val="20"/>
                <w:szCs w:val="20"/>
              </w:rPr>
              <w:t>2023 год</w:t>
            </w:r>
          </w:p>
        </w:tc>
        <w:tc>
          <w:tcPr>
            <w:tcW w:w="8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136" w:right="-184" w:hanging="0"/>
              <w:jc w:val="center"/>
              <w:rPr>
                <w:sz w:val="20"/>
                <w:szCs w:val="20"/>
              </w:rPr>
            </w:pPr>
            <w:r>
              <w:rPr>
                <w:iCs/>
                <w:sz w:val="20"/>
                <w:szCs w:val="20"/>
              </w:rPr>
              <w:t>2024 год</w:t>
            </w:r>
          </w:p>
        </w:tc>
        <w:tc>
          <w:tcPr>
            <w:tcW w:w="87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136" w:right="-184" w:hanging="0"/>
              <w:jc w:val="center"/>
              <w:rPr>
                <w:sz w:val="20"/>
                <w:szCs w:val="20"/>
              </w:rPr>
            </w:pPr>
            <w:r>
              <w:rPr>
                <w:iCs/>
                <w:sz w:val="20"/>
                <w:szCs w:val="20"/>
              </w:rPr>
              <w:t>2025 год</w:t>
            </w:r>
          </w:p>
        </w:tc>
        <w:tc>
          <w:tcPr>
            <w:tcW w:w="9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136" w:right="-184" w:hanging="0"/>
              <w:jc w:val="center"/>
              <w:rPr>
                <w:sz w:val="20"/>
                <w:szCs w:val="20"/>
              </w:rPr>
            </w:pPr>
            <w:r>
              <w:rPr>
                <w:iCs/>
                <w:sz w:val="20"/>
                <w:szCs w:val="20"/>
              </w:rPr>
              <w:t>2026 год</w:t>
            </w:r>
          </w:p>
        </w:tc>
        <w:tc>
          <w:tcPr>
            <w:tcW w:w="104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136" w:right="-184" w:hanging="0"/>
              <w:jc w:val="center"/>
              <w:rPr>
                <w:sz w:val="20"/>
                <w:szCs w:val="20"/>
              </w:rPr>
            </w:pPr>
            <w:r>
              <w:rPr>
                <w:iCs/>
                <w:sz w:val="20"/>
                <w:szCs w:val="20"/>
              </w:rPr>
              <w:t>2027 год</w:t>
            </w:r>
          </w:p>
        </w:tc>
        <w:tc>
          <w:tcPr>
            <w:tcW w:w="7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136" w:right="-184" w:hanging="0"/>
              <w:jc w:val="center"/>
              <w:rPr>
                <w:sz w:val="20"/>
                <w:szCs w:val="20"/>
              </w:rPr>
            </w:pPr>
            <w:r>
              <w:rPr>
                <w:iCs/>
                <w:sz w:val="20"/>
                <w:szCs w:val="20"/>
              </w:rPr>
              <w:t>2028 год</w:t>
            </w:r>
          </w:p>
        </w:tc>
        <w:tc>
          <w:tcPr>
            <w:tcW w:w="10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136" w:right="-184" w:hanging="0"/>
              <w:jc w:val="center"/>
              <w:rPr>
                <w:sz w:val="20"/>
                <w:szCs w:val="20"/>
              </w:rPr>
            </w:pPr>
            <w:r>
              <w:rPr>
                <w:sz w:val="20"/>
                <w:szCs w:val="20"/>
              </w:rPr>
              <w:t>2029-2034 год</w:t>
            </w:r>
          </w:p>
        </w:tc>
        <w:tc>
          <w:tcPr>
            <w:tcW w:w="10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136" w:right="-184" w:hanging="0"/>
              <w:jc w:val="center"/>
              <w:rPr>
                <w:sz w:val="20"/>
                <w:szCs w:val="20"/>
              </w:rPr>
            </w:pPr>
            <w:r>
              <w:rPr>
                <w:sz w:val="20"/>
                <w:szCs w:val="20"/>
              </w:rPr>
              <w:t xml:space="preserve">2035 – 2040 </w:t>
            </w:r>
            <w:r>
              <w:rPr>
                <w:iCs/>
                <w:sz w:val="20"/>
                <w:szCs w:val="20"/>
              </w:rPr>
              <w:t>годы</w:t>
            </w:r>
          </w:p>
        </w:tc>
      </w:tr>
      <w:tr>
        <w:trPr>
          <w:cantSplit w:val="true"/>
        </w:trPr>
        <w:tc>
          <w:tcPr>
            <w:tcW w:w="62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Cs/>
                <w:sz w:val="20"/>
                <w:szCs w:val="20"/>
              </w:rPr>
            </w:pPr>
            <w:r>
              <w:rPr>
                <w:bCs/>
                <w:sz w:val="20"/>
                <w:szCs w:val="20"/>
              </w:rPr>
              <w:t>1</w:t>
            </w:r>
          </w:p>
        </w:tc>
        <w:tc>
          <w:tcPr>
            <w:tcW w:w="542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Производство тепловой энергии</w:t>
            </w:r>
          </w:p>
        </w:tc>
        <w:tc>
          <w:tcPr>
            <w:tcW w:w="12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136" w:right="-184" w:hanging="0"/>
              <w:jc w:val="center"/>
              <w:rPr>
                <w:sz w:val="20"/>
                <w:szCs w:val="20"/>
              </w:rPr>
            </w:pPr>
            <w:r>
              <w:rPr>
                <w:sz w:val="20"/>
                <w:szCs w:val="20"/>
              </w:rPr>
              <w:t>Гкал</w:t>
            </w:r>
          </w:p>
        </w:tc>
        <w:tc>
          <w:tcPr>
            <w:tcW w:w="77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sz w:val="20"/>
                <w:szCs w:val="20"/>
              </w:rPr>
            </w:pPr>
            <w:r>
              <w:rPr>
                <w:sz w:val="20"/>
                <w:szCs w:val="20"/>
              </w:rPr>
              <w:t>26838,8</w:t>
            </w:r>
          </w:p>
        </w:tc>
        <w:tc>
          <w:tcPr>
            <w:tcW w:w="84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sz w:val="20"/>
                <w:szCs w:val="20"/>
              </w:rPr>
            </w:pPr>
            <w:r>
              <w:rPr>
                <w:sz w:val="20"/>
                <w:szCs w:val="20"/>
              </w:rPr>
              <w:t>26838,8</w:t>
            </w:r>
          </w:p>
        </w:tc>
        <w:tc>
          <w:tcPr>
            <w:tcW w:w="87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sz w:val="20"/>
                <w:szCs w:val="20"/>
              </w:rPr>
            </w:pPr>
            <w:r>
              <w:rPr>
                <w:sz w:val="20"/>
                <w:szCs w:val="20"/>
              </w:rPr>
              <w:t>26838,8</w:t>
            </w:r>
          </w:p>
        </w:tc>
        <w:tc>
          <w:tcPr>
            <w:tcW w:w="91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sz w:val="20"/>
                <w:szCs w:val="20"/>
              </w:rPr>
            </w:pPr>
            <w:r>
              <w:rPr>
                <w:sz w:val="20"/>
                <w:szCs w:val="20"/>
              </w:rPr>
              <w:t>26838,8</w:t>
            </w:r>
          </w:p>
        </w:tc>
        <w:tc>
          <w:tcPr>
            <w:tcW w:w="104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sz w:val="20"/>
                <w:szCs w:val="20"/>
              </w:rPr>
            </w:pPr>
            <w:r>
              <w:rPr>
                <w:sz w:val="20"/>
                <w:szCs w:val="20"/>
              </w:rPr>
              <w:t>21484,0</w:t>
            </w:r>
          </w:p>
        </w:tc>
        <w:tc>
          <w:tcPr>
            <w:tcW w:w="77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sz w:val="20"/>
                <w:szCs w:val="20"/>
              </w:rPr>
            </w:pPr>
            <w:r>
              <w:rPr>
                <w:sz w:val="20"/>
                <w:szCs w:val="20"/>
              </w:rPr>
              <w:t>21484,0</w:t>
            </w:r>
          </w:p>
        </w:tc>
        <w:tc>
          <w:tcPr>
            <w:tcW w:w="103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sz w:val="20"/>
                <w:szCs w:val="20"/>
              </w:rPr>
            </w:pPr>
            <w:r>
              <w:rPr>
                <w:sz w:val="20"/>
                <w:szCs w:val="20"/>
              </w:rPr>
              <w:t>21484,0</w:t>
            </w:r>
          </w:p>
        </w:tc>
        <w:tc>
          <w:tcPr>
            <w:tcW w:w="10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sz w:val="20"/>
                <w:szCs w:val="20"/>
              </w:rPr>
            </w:pPr>
            <w:r>
              <w:rPr>
                <w:sz w:val="20"/>
                <w:szCs w:val="20"/>
              </w:rPr>
              <w:t>21484,0</w:t>
            </w:r>
          </w:p>
        </w:tc>
      </w:tr>
      <w:tr>
        <w:trPr>
          <w:cantSplit w:val="true"/>
        </w:trPr>
        <w:tc>
          <w:tcPr>
            <w:tcW w:w="62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Cs/>
                <w:sz w:val="20"/>
                <w:szCs w:val="20"/>
              </w:rPr>
            </w:pPr>
            <w:r>
              <w:rPr>
                <w:bCs/>
                <w:sz w:val="20"/>
                <w:szCs w:val="20"/>
              </w:rPr>
              <w:t>2</w:t>
            </w:r>
          </w:p>
        </w:tc>
        <w:tc>
          <w:tcPr>
            <w:tcW w:w="542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Собственные нужды</w:t>
            </w:r>
          </w:p>
        </w:tc>
        <w:tc>
          <w:tcPr>
            <w:tcW w:w="12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136" w:right="-184" w:hanging="0"/>
              <w:jc w:val="center"/>
              <w:rPr>
                <w:sz w:val="20"/>
                <w:szCs w:val="20"/>
              </w:rPr>
            </w:pPr>
            <w:r>
              <w:rPr>
                <w:sz w:val="20"/>
                <w:szCs w:val="20"/>
              </w:rPr>
              <w:t>Гкал</w:t>
            </w:r>
          </w:p>
        </w:tc>
        <w:tc>
          <w:tcPr>
            <w:tcW w:w="77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sz w:val="20"/>
                <w:szCs w:val="20"/>
              </w:rPr>
            </w:pPr>
            <w:r>
              <w:rPr>
                <w:sz w:val="20"/>
                <w:szCs w:val="20"/>
              </w:rPr>
              <w:t>2439,9</w:t>
            </w:r>
          </w:p>
        </w:tc>
        <w:tc>
          <w:tcPr>
            <w:tcW w:w="84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sz w:val="20"/>
                <w:szCs w:val="20"/>
              </w:rPr>
            </w:pPr>
            <w:r>
              <w:rPr>
                <w:sz w:val="20"/>
                <w:szCs w:val="20"/>
              </w:rPr>
              <w:t>1328,1</w:t>
            </w:r>
          </w:p>
        </w:tc>
        <w:tc>
          <w:tcPr>
            <w:tcW w:w="87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sz w:val="20"/>
                <w:szCs w:val="20"/>
              </w:rPr>
            </w:pPr>
            <w:r>
              <w:rPr>
                <w:sz w:val="20"/>
                <w:szCs w:val="20"/>
              </w:rPr>
              <w:t>1328,1</w:t>
            </w:r>
          </w:p>
        </w:tc>
        <w:tc>
          <w:tcPr>
            <w:tcW w:w="91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sz w:val="20"/>
                <w:szCs w:val="20"/>
              </w:rPr>
            </w:pPr>
            <w:r>
              <w:rPr>
                <w:sz w:val="20"/>
                <w:szCs w:val="20"/>
              </w:rPr>
              <w:t>1328,1</w:t>
            </w:r>
          </w:p>
        </w:tc>
        <w:tc>
          <w:tcPr>
            <w:tcW w:w="104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sz w:val="20"/>
                <w:szCs w:val="20"/>
              </w:rPr>
            </w:pPr>
            <w:r>
              <w:rPr>
                <w:sz w:val="20"/>
                <w:szCs w:val="20"/>
              </w:rPr>
              <w:t>877,6</w:t>
            </w:r>
          </w:p>
        </w:tc>
        <w:tc>
          <w:tcPr>
            <w:tcW w:w="77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sz w:val="20"/>
                <w:szCs w:val="20"/>
              </w:rPr>
            </w:pPr>
            <w:r>
              <w:rPr>
                <w:sz w:val="20"/>
                <w:szCs w:val="20"/>
              </w:rPr>
              <w:t>877,6</w:t>
            </w:r>
          </w:p>
        </w:tc>
        <w:tc>
          <w:tcPr>
            <w:tcW w:w="103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sz w:val="20"/>
                <w:szCs w:val="20"/>
              </w:rPr>
            </w:pPr>
            <w:r>
              <w:rPr>
                <w:sz w:val="20"/>
                <w:szCs w:val="20"/>
              </w:rPr>
              <w:t>877,6</w:t>
            </w:r>
          </w:p>
        </w:tc>
        <w:tc>
          <w:tcPr>
            <w:tcW w:w="10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sz w:val="20"/>
                <w:szCs w:val="20"/>
              </w:rPr>
            </w:pPr>
            <w:r>
              <w:rPr>
                <w:sz w:val="20"/>
                <w:szCs w:val="20"/>
              </w:rPr>
              <w:t>877,6</w:t>
            </w:r>
          </w:p>
        </w:tc>
      </w:tr>
      <w:tr>
        <w:trPr>
          <w:cantSplit w:val="true"/>
        </w:trPr>
        <w:tc>
          <w:tcPr>
            <w:tcW w:w="62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Cs/>
                <w:sz w:val="20"/>
                <w:szCs w:val="20"/>
              </w:rPr>
            </w:pPr>
            <w:r>
              <w:rPr>
                <w:bCs/>
                <w:sz w:val="20"/>
                <w:szCs w:val="20"/>
              </w:rPr>
              <w:t>3</w:t>
            </w:r>
          </w:p>
        </w:tc>
        <w:tc>
          <w:tcPr>
            <w:tcW w:w="542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Потери в тепловой сети</w:t>
            </w:r>
          </w:p>
        </w:tc>
        <w:tc>
          <w:tcPr>
            <w:tcW w:w="12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136" w:right="-184" w:hanging="0"/>
              <w:jc w:val="center"/>
              <w:rPr>
                <w:sz w:val="20"/>
                <w:szCs w:val="20"/>
              </w:rPr>
            </w:pPr>
            <w:r>
              <w:rPr>
                <w:sz w:val="20"/>
                <w:szCs w:val="20"/>
              </w:rPr>
              <w:t>Гкал</w:t>
            </w:r>
          </w:p>
        </w:tc>
        <w:tc>
          <w:tcPr>
            <w:tcW w:w="77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sz w:val="20"/>
                <w:szCs w:val="20"/>
              </w:rPr>
            </w:pPr>
            <w:r>
              <w:rPr>
                <w:sz w:val="20"/>
                <w:szCs w:val="20"/>
              </w:rPr>
              <w:t>790,0</w:t>
            </w:r>
          </w:p>
        </w:tc>
        <w:tc>
          <w:tcPr>
            <w:tcW w:w="84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sz w:val="20"/>
                <w:szCs w:val="20"/>
              </w:rPr>
            </w:pPr>
            <w:r>
              <w:rPr>
                <w:sz w:val="20"/>
                <w:szCs w:val="20"/>
              </w:rPr>
              <w:t>790,0</w:t>
            </w:r>
          </w:p>
        </w:tc>
        <w:tc>
          <w:tcPr>
            <w:tcW w:w="87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sz w:val="20"/>
                <w:szCs w:val="20"/>
              </w:rPr>
            </w:pPr>
            <w:r>
              <w:rPr>
                <w:sz w:val="20"/>
                <w:szCs w:val="20"/>
              </w:rPr>
              <w:t>785,5</w:t>
            </w:r>
          </w:p>
        </w:tc>
        <w:tc>
          <w:tcPr>
            <w:tcW w:w="91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sz w:val="20"/>
                <w:szCs w:val="20"/>
              </w:rPr>
            </w:pPr>
            <w:r>
              <w:rPr>
                <w:sz w:val="20"/>
                <w:szCs w:val="20"/>
              </w:rPr>
              <w:t>785,5</w:t>
            </w:r>
          </w:p>
        </w:tc>
        <w:tc>
          <w:tcPr>
            <w:tcW w:w="104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sz w:val="20"/>
                <w:szCs w:val="20"/>
              </w:rPr>
            </w:pPr>
            <w:r>
              <w:rPr>
                <w:sz w:val="20"/>
                <w:szCs w:val="20"/>
              </w:rPr>
              <w:t>785,5</w:t>
            </w:r>
          </w:p>
        </w:tc>
        <w:tc>
          <w:tcPr>
            <w:tcW w:w="77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sz w:val="20"/>
                <w:szCs w:val="20"/>
              </w:rPr>
            </w:pPr>
            <w:r>
              <w:rPr>
                <w:sz w:val="20"/>
                <w:szCs w:val="20"/>
              </w:rPr>
              <w:t>785,5</w:t>
            </w:r>
          </w:p>
        </w:tc>
        <w:tc>
          <w:tcPr>
            <w:tcW w:w="103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sz w:val="20"/>
                <w:szCs w:val="20"/>
              </w:rPr>
            </w:pPr>
            <w:r>
              <w:rPr>
                <w:sz w:val="20"/>
                <w:szCs w:val="20"/>
              </w:rPr>
              <w:t>785,5</w:t>
            </w:r>
          </w:p>
        </w:tc>
        <w:tc>
          <w:tcPr>
            <w:tcW w:w="10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sz w:val="20"/>
                <w:szCs w:val="20"/>
              </w:rPr>
            </w:pPr>
            <w:r>
              <w:rPr>
                <w:sz w:val="20"/>
                <w:szCs w:val="20"/>
              </w:rPr>
              <w:t>785,5</w:t>
            </w:r>
          </w:p>
        </w:tc>
      </w:tr>
      <w:tr>
        <w:trPr>
          <w:cantSplit w:val="true"/>
        </w:trPr>
        <w:tc>
          <w:tcPr>
            <w:tcW w:w="62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Cs/>
                <w:sz w:val="20"/>
                <w:szCs w:val="20"/>
              </w:rPr>
            </w:pPr>
            <w:r>
              <w:rPr>
                <w:bCs/>
                <w:sz w:val="20"/>
                <w:szCs w:val="20"/>
              </w:rPr>
              <w:t>4</w:t>
            </w:r>
          </w:p>
        </w:tc>
        <w:tc>
          <w:tcPr>
            <w:tcW w:w="542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Полезный отпуск</w:t>
            </w:r>
          </w:p>
        </w:tc>
        <w:tc>
          <w:tcPr>
            <w:tcW w:w="12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136" w:right="-184" w:hanging="0"/>
              <w:jc w:val="center"/>
              <w:rPr>
                <w:sz w:val="20"/>
                <w:szCs w:val="20"/>
              </w:rPr>
            </w:pPr>
            <w:r>
              <w:rPr>
                <w:sz w:val="20"/>
                <w:szCs w:val="20"/>
              </w:rPr>
              <w:t>Гкал</w:t>
            </w:r>
          </w:p>
        </w:tc>
        <w:tc>
          <w:tcPr>
            <w:tcW w:w="77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sz w:val="20"/>
                <w:szCs w:val="20"/>
              </w:rPr>
            </w:pPr>
            <w:r>
              <w:rPr>
                <w:sz w:val="20"/>
                <w:szCs w:val="20"/>
              </w:rPr>
              <w:t>23608,9</w:t>
            </w:r>
          </w:p>
        </w:tc>
        <w:tc>
          <w:tcPr>
            <w:tcW w:w="84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sz w:val="20"/>
                <w:szCs w:val="20"/>
              </w:rPr>
            </w:pPr>
            <w:r>
              <w:rPr>
                <w:sz w:val="20"/>
                <w:szCs w:val="20"/>
              </w:rPr>
              <w:t>23608,9</w:t>
            </w:r>
          </w:p>
        </w:tc>
        <w:tc>
          <w:tcPr>
            <w:tcW w:w="87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sz w:val="20"/>
                <w:szCs w:val="20"/>
              </w:rPr>
            </w:pPr>
            <w:r>
              <w:rPr>
                <w:sz w:val="20"/>
                <w:szCs w:val="20"/>
              </w:rPr>
              <w:t>23608,9</w:t>
            </w:r>
          </w:p>
        </w:tc>
        <w:tc>
          <w:tcPr>
            <w:tcW w:w="91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sz w:val="20"/>
                <w:szCs w:val="20"/>
              </w:rPr>
            </w:pPr>
            <w:r>
              <w:rPr>
                <w:sz w:val="20"/>
                <w:szCs w:val="20"/>
              </w:rPr>
              <w:t>23608,9</w:t>
            </w:r>
          </w:p>
        </w:tc>
        <w:tc>
          <w:tcPr>
            <w:tcW w:w="104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sz w:val="20"/>
                <w:szCs w:val="20"/>
              </w:rPr>
            </w:pPr>
            <w:r>
              <w:rPr>
                <w:sz w:val="20"/>
                <w:szCs w:val="20"/>
              </w:rPr>
              <w:t>19820,9</w:t>
            </w:r>
          </w:p>
        </w:tc>
        <w:tc>
          <w:tcPr>
            <w:tcW w:w="77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sz w:val="20"/>
                <w:szCs w:val="20"/>
              </w:rPr>
            </w:pPr>
            <w:r>
              <w:rPr>
                <w:sz w:val="20"/>
                <w:szCs w:val="20"/>
              </w:rPr>
              <w:t>19820,9</w:t>
            </w:r>
          </w:p>
        </w:tc>
        <w:tc>
          <w:tcPr>
            <w:tcW w:w="103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sz w:val="20"/>
                <w:szCs w:val="20"/>
              </w:rPr>
            </w:pPr>
            <w:r>
              <w:rPr>
                <w:sz w:val="20"/>
                <w:szCs w:val="20"/>
              </w:rPr>
              <w:t>19820,9</w:t>
            </w:r>
          </w:p>
        </w:tc>
        <w:tc>
          <w:tcPr>
            <w:tcW w:w="10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sz w:val="20"/>
                <w:szCs w:val="20"/>
              </w:rPr>
            </w:pPr>
            <w:r>
              <w:rPr>
                <w:sz w:val="20"/>
                <w:szCs w:val="20"/>
              </w:rPr>
              <w:t>19820,9</w:t>
            </w:r>
          </w:p>
        </w:tc>
      </w:tr>
      <w:tr>
        <w:trPr>
          <w:cantSplit w:val="true"/>
        </w:trPr>
        <w:tc>
          <w:tcPr>
            <w:tcW w:w="62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Cs/>
                <w:sz w:val="20"/>
                <w:szCs w:val="20"/>
              </w:rPr>
            </w:pPr>
            <w:r>
              <w:rPr>
                <w:bCs/>
                <w:sz w:val="20"/>
                <w:szCs w:val="20"/>
              </w:rPr>
              <w:t>5</w:t>
            </w:r>
          </w:p>
        </w:tc>
        <w:tc>
          <w:tcPr>
            <w:tcW w:w="54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rPr>
                <w:sz w:val="20"/>
                <w:szCs w:val="20"/>
              </w:rPr>
            </w:pPr>
            <w:r>
              <w:rPr>
                <w:sz w:val="20"/>
                <w:szCs w:val="20"/>
              </w:rPr>
              <w:t>Себестоимость производимых товаров (оказываемых услуг) по регулируемому виду деятельности, в том числе</w:t>
            </w:r>
          </w:p>
        </w:tc>
        <w:tc>
          <w:tcPr>
            <w:tcW w:w="12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136" w:right="-184" w:hanging="0"/>
              <w:jc w:val="center"/>
              <w:rPr>
                <w:sz w:val="20"/>
                <w:szCs w:val="20"/>
              </w:rPr>
            </w:pPr>
            <w:r>
              <w:rPr>
                <w:sz w:val="20"/>
                <w:szCs w:val="20"/>
              </w:rPr>
              <w:t>тыс.руб.</w:t>
            </w:r>
          </w:p>
        </w:tc>
        <w:tc>
          <w:tcPr>
            <w:tcW w:w="77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sz w:val="20"/>
                <w:szCs w:val="20"/>
              </w:rPr>
            </w:pPr>
            <w:r>
              <w:rPr>
                <w:sz w:val="20"/>
                <w:szCs w:val="20"/>
              </w:rPr>
              <w:t>92510,063</w:t>
            </w:r>
          </w:p>
        </w:tc>
        <w:tc>
          <w:tcPr>
            <w:tcW w:w="84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sz w:val="20"/>
                <w:szCs w:val="20"/>
              </w:rPr>
            </w:pPr>
            <w:r>
              <w:rPr>
                <w:sz w:val="20"/>
                <w:szCs w:val="20"/>
              </w:rPr>
              <w:t>102199,462</w:t>
            </w:r>
          </w:p>
        </w:tc>
        <w:tc>
          <w:tcPr>
            <w:tcW w:w="87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sz w:val="20"/>
                <w:szCs w:val="20"/>
              </w:rPr>
            </w:pPr>
            <w:r>
              <w:rPr>
                <w:sz w:val="20"/>
                <w:szCs w:val="20"/>
              </w:rPr>
              <w:t>104670,980</w:t>
            </w:r>
          </w:p>
        </w:tc>
        <w:tc>
          <w:tcPr>
            <w:tcW w:w="91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sz w:val="20"/>
                <w:szCs w:val="20"/>
              </w:rPr>
            </w:pPr>
            <w:r>
              <w:rPr>
                <w:sz w:val="20"/>
                <w:szCs w:val="20"/>
              </w:rPr>
              <w:t>107039,035</w:t>
            </w:r>
          </w:p>
        </w:tc>
        <w:tc>
          <w:tcPr>
            <w:tcW w:w="104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sz w:val="20"/>
                <w:szCs w:val="20"/>
              </w:rPr>
            </w:pPr>
            <w:r>
              <w:rPr>
                <w:sz w:val="20"/>
                <w:szCs w:val="20"/>
              </w:rPr>
              <w:t>93097,621</w:t>
            </w:r>
          </w:p>
        </w:tc>
        <w:tc>
          <w:tcPr>
            <w:tcW w:w="77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sz w:val="20"/>
                <w:szCs w:val="20"/>
              </w:rPr>
            </w:pPr>
            <w:r>
              <w:rPr>
                <w:sz w:val="20"/>
                <w:szCs w:val="20"/>
              </w:rPr>
              <w:t>94576,865</w:t>
            </w:r>
          </w:p>
        </w:tc>
        <w:tc>
          <w:tcPr>
            <w:tcW w:w="103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sz w:val="20"/>
                <w:szCs w:val="20"/>
              </w:rPr>
            </w:pPr>
            <w:r>
              <w:rPr>
                <w:sz w:val="20"/>
                <w:szCs w:val="20"/>
              </w:rPr>
              <w:t>100800,675</w:t>
            </w:r>
          </w:p>
        </w:tc>
        <w:tc>
          <w:tcPr>
            <w:tcW w:w="10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sz w:val="20"/>
                <w:szCs w:val="20"/>
              </w:rPr>
            </w:pPr>
            <w:r>
              <w:rPr>
                <w:sz w:val="20"/>
                <w:szCs w:val="20"/>
              </w:rPr>
              <w:t>105808,627</w:t>
            </w:r>
          </w:p>
        </w:tc>
      </w:tr>
      <w:tr>
        <w:trPr>
          <w:cantSplit w:val="true"/>
        </w:trPr>
        <w:tc>
          <w:tcPr>
            <w:tcW w:w="62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Cs/>
                <w:sz w:val="20"/>
                <w:szCs w:val="20"/>
              </w:rPr>
            </w:pPr>
            <w:r>
              <w:rPr>
                <w:bCs/>
                <w:sz w:val="20"/>
                <w:szCs w:val="20"/>
              </w:rPr>
              <w:t>5.1.</w:t>
            </w:r>
          </w:p>
        </w:tc>
        <w:tc>
          <w:tcPr>
            <w:tcW w:w="54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rPr>
                <w:sz w:val="20"/>
                <w:szCs w:val="20"/>
              </w:rPr>
            </w:pPr>
            <w:r>
              <w:rPr>
                <w:sz w:val="20"/>
                <w:szCs w:val="20"/>
              </w:rPr>
              <w:t>расходы на топливо</w:t>
            </w:r>
          </w:p>
        </w:tc>
        <w:tc>
          <w:tcPr>
            <w:tcW w:w="12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136" w:right="-184" w:hanging="0"/>
              <w:jc w:val="center"/>
              <w:rPr>
                <w:bCs/>
                <w:sz w:val="20"/>
                <w:szCs w:val="20"/>
              </w:rPr>
            </w:pPr>
            <w:r>
              <w:rPr>
                <w:bCs/>
                <w:sz w:val="20"/>
                <w:szCs w:val="20"/>
              </w:rPr>
              <w:t>тыс.руб.</w:t>
            </w:r>
          </w:p>
        </w:tc>
        <w:tc>
          <w:tcPr>
            <w:tcW w:w="77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sz w:val="20"/>
                <w:szCs w:val="20"/>
              </w:rPr>
            </w:pPr>
            <w:r>
              <w:rPr>
                <w:sz w:val="20"/>
                <w:szCs w:val="20"/>
              </w:rPr>
              <w:t>43847,776</w:t>
            </w:r>
          </w:p>
        </w:tc>
        <w:tc>
          <w:tcPr>
            <w:tcW w:w="84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sz w:val="20"/>
                <w:szCs w:val="20"/>
              </w:rPr>
            </w:pPr>
            <w:r>
              <w:rPr>
                <w:sz w:val="20"/>
                <w:szCs w:val="20"/>
              </w:rPr>
              <w:t>50819,572</w:t>
            </w:r>
          </w:p>
        </w:tc>
        <w:tc>
          <w:tcPr>
            <w:tcW w:w="87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sz w:val="20"/>
                <w:szCs w:val="20"/>
              </w:rPr>
            </w:pPr>
            <w:r>
              <w:rPr>
                <w:sz w:val="20"/>
                <w:szCs w:val="20"/>
              </w:rPr>
              <w:t>50768,752</w:t>
            </w:r>
          </w:p>
        </w:tc>
        <w:tc>
          <w:tcPr>
            <w:tcW w:w="91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sz w:val="20"/>
                <w:szCs w:val="20"/>
              </w:rPr>
            </w:pPr>
            <w:r>
              <w:rPr>
                <w:sz w:val="20"/>
                <w:szCs w:val="20"/>
              </w:rPr>
              <w:t>51124,134</w:t>
            </w:r>
          </w:p>
        </w:tc>
        <w:tc>
          <w:tcPr>
            <w:tcW w:w="104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sz w:val="20"/>
                <w:szCs w:val="20"/>
              </w:rPr>
            </w:pPr>
            <w:r>
              <w:rPr>
                <w:sz w:val="20"/>
                <w:szCs w:val="20"/>
              </w:rPr>
              <w:t>41783,464</w:t>
            </w:r>
          </w:p>
        </w:tc>
        <w:tc>
          <w:tcPr>
            <w:tcW w:w="77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sz w:val="20"/>
                <w:szCs w:val="20"/>
              </w:rPr>
            </w:pPr>
            <w:r>
              <w:rPr>
                <w:sz w:val="20"/>
                <w:szCs w:val="20"/>
              </w:rPr>
              <w:t>42619,133</w:t>
            </w:r>
          </w:p>
        </w:tc>
        <w:tc>
          <w:tcPr>
            <w:tcW w:w="103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sz w:val="20"/>
                <w:szCs w:val="20"/>
              </w:rPr>
            </w:pPr>
            <w:r>
              <w:rPr>
                <w:sz w:val="20"/>
                <w:szCs w:val="20"/>
              </w:rPr>
              <w:t>46132,320</w:t>
            </w:r>
          </w:p>
        </w:tc>
        <w:tc>
          <w:tcPr>
            <w:tcW w:w="10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sz w:val="20"/>
                <w:szCs w:val="20"/>
              </w:rPr>
            </w:pPr>
            <w:r>
              <w:rPr>
                <w:sz w:val="20"/>
                <w:szCs w:val="20"/>
              </w:rPr>
              <w:t>48955,987</w:t>
            </w:r>
          </w:p>
        </w:tc>
      </w:tr>
      <w:tr>
        <w:trPr>
          <w:cantSplit w:val="true"/>
        </w:trPr>
        <w:tc>
          <w:tcPr>
            <w:tcW w:w="62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Cs/>
                <w:sz w:val="20"/>
                <w:szCs w:val="20"/>
              </w:rPr>
            </w:pPr>
            <w:r>
              <w:rPr>
                <w:bCs/>
                <w:sz w:val="20"/>
                <w:szCs w:val="20"/>
              </w:rPr>
              <w:t>5.2.</w:t>
            </w:r>
          </w:p>
        </w:tc>
        <w:tc>
          <w:tcPr>
            <w:tcW w:w="54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rPr>
                <w:sz w:val="20"/>
                <w:szCs w:val="20"/>
              </w:rPr>
            </w:pPr>
            <w:r>
              <w:rPr>
                <w:sz w:val="20"/>
                <w:szCs w:val="20"/>
              </w:rPr>
              <w:t xml:space="preserve">Расходы на покупаемую электрическую энергию (мощность), </w:t>
            </w:r>
          </w:p>
        </w:tc>
        <w:tc>
          <w:tcPr>
            <w:tcW w:w="12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136" w:right="-184" w:hanging="0"/>
              <w:jc w:val="center"/>
              <w:rPr>
                <w:sz w:val="20"/>
                <w:szCs w:val="20"/>
              </w:rPr>
            </w:pPr>
            <w:r>
              <w:rPr>
                <w:bCs/>
                <w:sz w:val="20"/>
                <w:szCs w:val="20"/>
              </w:rPr>
              <w:t>тыс.руб.</w:t>
            </w:r>
          </w:p>
        </w:tc>
        <w:tc>
          <w:tcPr>
            <w:tcW w:w="77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sz w:val="20"/>
                <w:szCs w:val="20"/>
              </w:rPr>
            </w:pPr>
            <w:r>
              <w:rPr>
                <w:sz w:val="20"/>
                <w:szCs w:val="20"/>
              </w:rPr>
              <w:t>21596,476</w:t>
            </w:r>
          </w:p>
        </w:tc>
        <w:tc>
          <w:tcPr>
            <w:tcW w:w="84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sz w:val="20"/>
                <w:szCs w:val="20"/>
              </w:rPr>
            </w:pPr>
            <w:r>
              <w:rPr>
                <w:sz w:val="20"/>
                <w:szCs w:val="20"/>
              </w:rPr>
              <w:t>22805,879</w:t>
            </w:r>
          </w:p>
        </w:tc>
        <w:tc>
          <w:tcPr>
            <w:tcW w:w="87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sz w:val="20"/>
                <w:szCs w:val="20"/>
              </w:rPr>
            </w:pPr>
            <w:r>
              <w:rPr>
                <w:sz w:val="20"/>
                <w:szCs w:val="20"/>
              </w:rPr>
              <w:t>23923,367</w:t>
            </w:r>
          </w:p>
        </w:tc>
        <w:tc>
          <w:tcPr>
            <w:tcW w:w="91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sz w:val="20"/>
                <w:szCs w:val="20"/>
              </w:rPr>
            </w:pPr>
            <w:r>
              <w:rPr>
                <w:sz w:val="20"/>
                <w:szCs w:val="20"/>
              </w:rPr>
              <w:t>24641,068</w:t>
            </w:r>
          </w:p>
        </w:tc>
        <w:tc>
          <w:tcPr>
            <w:tcW w:w="104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sz w:val="20"/>
                <w:szCs w:val="20"/>
              </w:rPr>
            </w:pPr>
            <w:r>
              <w:rPr>
                <w:sz w:val="20"/>
                <w:szCs w:val="20"/>
              </w:rPr>
              <w:t>20020,656</w:t>
            </w:r>
          </w:p>
        </w:tc>
        <w:tc>
          <w:tcPr>
            <w:tcW w:w="77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sz w:val="20"/>
                <w:szCs w:val="20"/>
              </w:rPr>
            </w:pPr>
            <w:r>
              <w:rPr>
                <w:sz w:val="20"/>
                <w:szCs w:val="20"/>
              </w:rPr>
              <w:t>20020,656</w:t>
            </w:r>
          </w:p>
        </w:tc>
        <w:tc>
          <w:tcPr>
            <w:tcW w:w="103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sz w:val="20"/>
                <w:szCs w:val="20"/>
              </w:rPr>
            </w:pPr>
            <w:r>
              <w:rPr>
                <w:sz w:val="20"/>
                <w:szCs w:val="20"/>
              </w:rPr>
              <w:t>20020,656</w:t>
            </w:r>
          </w:p>
        </w:tc>
        <w:tc>
          <w:tcPr>
            <w:tcW w:w="10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sz w:val="20"/>
                <w:szCs w:val="20"/>
              </w:rPr>
            </w:pPr>
            <w:r>
              <w:rPr>
                <w:sz w:val="20"/>
                <w:szCs w:val="20"/>
              </w:rPr>
              <w:t>20020,656</w:t>
            </w:r>
          </w:p>
        </w:tc>
      </w:tr>
      <w:tr>
        <w:trPr>
          <w:cantSplit w:val="true"/>
        </w:trPr>
        <w:tc>
          <w:tcPr>
            <w:tcW w:w="62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Cs/>
                <w:sz w:val="20"/>
                <w:szCs w:val="20"/>
              </w:rPr>
            </w:pPr>
            <w:r>
              <w:rPr>
                <w:bCs/>
                <w:sz w:val="20"/>
                <w:szCs w:val="20"/>
              </w:rPr>
              <w:t>5.3.</w:t>
            </w:r>
          </w:p>
        </w:tc>
        <w:tc>
          <w:tcPr>
            <w:tcW w:w="54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rPr>
                <w:sz w:val="20"/>
                <w:szCs w:val="20"/>
              </w:rPr>
            </w:pPr>
            <w:r>
              <w:rPr>
                <w:sz w:val="20"/>
                <w:szCs w:val="20"/>
              </w:rPr>
              <w:t>Расходы на приобретение холодной воды</w:t>
            </w:r>
          </w:p>
        </w:tc>
        <w:tc>
          <w:tcPr>
            <w:tcW w:w="12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136" w:right="-184" w:hanging="0"/>
              <w:jc w:val="center"/>
              <w:rPr>
                <w:sz w:val="20"/>
                <w:szCs w:val="20"/>
              </w:rPr>
            </w:pPr>
            <w:r>
              <w:rPr>
                <w:sz w:val="20"/>
                <w:szCs w:val="20"/>
              </w:rPr>
              <w:t>тыс.руб.</w:t>
            </w:r>
          </w:p>
        </w:tc>
        <w:tc>
          <w:tcPr>
            <w:tcW w:w="77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sz w:val="20"/>
                <w:szCs w:val="20"/>
              </w:rPr>
            </w:pPr>
            <w:r>
              <w:rPr>
                <w:sz w:val="20"/>
                <w:szCs w:val="20"/>
              </w:rPr>
              <w:t>2657,793</w:t>
            </w:r>
          </w:p>
        </w:tc>
        <w:tc>
          <w:tcPr>
            <w:tcW w:w="84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sz w:val="20"/>
                <w:szCs w:val="20"/>
              </w:rPr>
            </w:pPr>
            <w:r>
              <w:rPr>
                <w:sz w:val="20"/>
                <w:szCs w:val="20"/>
              </w:rPr>
              <w:t>2774,736</w:t>
            </w:r>
          </w:p>
        </w:tc>
        <w:tc>
          <w:tcPr>
            <w:tcW w:w="87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sz w:val="20"/>
                <w:szCs w:val="20"/>
              </w:rPr>
            </w:pPr>
            <w:r>
              <w:rPr>
                <w:sz w:val="20"/>
                <w:szCs w:val="20"/>
              </w:rPr>
              <w:t>2941,220</w:t>
            </w:r>
          </w:p>
        </w:tc>
        <w:tc>
          <w:tcPr>
            <w:tcW w:w="91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sz w:val="20"/>
                <w:szCs w:val="20"/>
              </w:rPr>
            </w:pPr>
            <w:r>
              <w:rPr>
                <w:sz w:val="20"/>
                <w:szCs w:val="20"/>
              </w:rPr>
              <w:t>3073,575</w:t>
            </w:r>
          </w:p>
        </w:tc>
        <w:tc>
          <w:tcPr>
            <w:tcW w:w="104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sz w:val="20"/>
                <w:szCs w:val="20"/>
              </w:rPr>
            </w:pPr>
            <w:r>
              <w:rPr>
                <w:sz w:val="20"/>
                <w:szCs w:val="20"/>
              </w:rPr>
              <w:t>2529,237</w:t>
            </w:r>
          </w:p>
        </w:tc>
        <w:tc>
          <w:tcPr>
            <w:tcW w:w="77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sz w:val="20"/>
                <w:szCs w:val="20"/>
              </w:rPr>
            </w:pPr>
            <w:r>
              <w:rPr>
                <w:sz w:val="20"/>
                <w:szCs w:val="20"/>
              </w:rPr>
              <w:t>2597,527</w:t>
            </w:r>
          </w:p>
        </w:tc>
        <w:tc>
          <w:tcPr>
            <w:tcW w:w="103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sz w:val="20"/>
                <w:szCs w:val="20"/>
              </w:rPr>
            </w:pPr>
            <w:r>
              <w:rPr>
                <w:sz w:val="20"/>
                <w:szCs w:val="20"/>
              </w:rPr>
              <w:t>2889,627</w:t>
            </w:r>
          </w:p>
        </w:tc>
        <w:tc>
          <w:tcPr>
            <w:tcW w:w="10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sz w:val="20"/>
                <w:szCs w:val="20"/>
              </w:rPr>
            </w:pPr>
            <w:r>
              <w:rPr>
                <w:sz w:val="20"/>
                <w:szCs w:val="20"/>
              </w:rPr>
              <w:t>3130,063</w:t>
            </w:r>
          </w:p>
        </w:tc>
      </w:tr>
      <w:tr>
        <w:trPr>
          <w:cantSplit w:val="true"/>
        </w:trPr>
        <w:tc>
          <w:tcPr>
            <w:tcW w:w="62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Cs/>
                <w:sz w:val="20"/>
                <w:szCs w:val="20"/>
              </w:rPr>
            </w:pPr>
            <w:r>
              <w:rPr>
                <w:bCs/>
                <w:sz w:val="20"/>
                <w:szCs w:val="20"/>
              </w:rPr>
              <w:t>5.4.</w:t>
            </w:r>
          </w:p>
        </w:tc>
        <w:tc>
          <w:tcPr>
            <w:tcW w:w="54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rPr>
                <w:sz w:val="20"/>
                <w:szCs w:val="20"/>
              </w:rPr>
            </w:pPr>
            <w:r>
              <w:rPr>
                <w:sz w:val="20"/>
                <w:szCs w:val="20"/>
              </w:rPr>
              <w:t>ФОТ</w:t>
            </w:r>
          </w:p>
        </w:tc>
        <w:tc>
          <w:tcPr>
            <w:tcW w:w="12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136" w:right="-184" w:hanging="0"/>
              <w:jc w:val="center"/>
              <w:rPr>
                <w:bCs/>
                <w:sz w:val="20"/>
                <w:szCs w:val="20"/>
              </w:rPr>
            </w:pPr>
            <w:r>
              <w:rPr>
                <w:bCs/>
                <w:sz w:val="20"/>
                <w:szCs w:val="20"/>
              </w:rPr>
              <w:t>тыс.руб.</w:t>
            </w:r>
          </w:p>
        </w:tc>
        <w:tc>
          <w:tcPr>
            <w:tcW w:w="77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sz w:val="20"/>
                <w:szCs w:val="20"/>
              </w:rPr>
            </w:pPr>
            <w:r>
              <w:rPr>
                <w:sz w:val="20"/>
                <w:szCs w:val="20"/>
              </w:rPr>
              <w:t>23094,606</w:t>
            </w:r>
          </w:p>
        </w:tc>
        <w:tc>
          <w:tcPr>
            <w:tcW w:w="84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sz w:val="20"/>
                <w:szCs w:val="20"/>
              </w:rPr>
            </w:pPr>
            <w:r>
              <w:rPr>
                <w:sz w:val="20"/>
                <w:szCs w:val="20"/>
              </w:rPr>
              <w:t>24410,999</w:t>
            </w:r>
          </w:p>
        </w:tc>
        <w:tc>
          <w:tcPr>
            <w:tcW w:w="87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sz w:val="20"/>
                <w:szCs w:val="20"/>
              </w:rPr>
            </w:pPr>
            <w:r>
              <w:rPr>
                <w:sz w:val="20"/>
                <w:szCs w:val="20"/>
              </w:rPr>
              <w:t>25582,727</w:t>
            </w:r>
          </w:p>
        </w:tc>
        <w:tc>
          <w:tcPr>
            <w:tcW w:w="91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sz w:val="20"/>
                <w:szCs w:val="20"/>
              </w:rPr>
            </w:pPr>
            <w:r>
              <w:rPr>
                <w:sz w:val="20"/>
                <w:szCs w:val="20"/>
              </w:rPr>
              <w:t>26682,784</w:t>
            </w:r>
          </w:p>
        </w:tc>
        <w:tc>
          <w:tcPr>
            <w:tcW w:w="104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sz w:val="20"/>
                <w:szCs w:val="20"/>
              </w:rPr>
            </w:pPr>
            <w:r>
              <w:rPr>
                <w:sz w:val="20"/>
                <w:szCs w:val="20"/>
              </w:rPr>
              <w:t>27216,440</w:t>
            </w:r>
          </w:p>
        </w:tc>
        <w:tc>
          <w:tcPr>
            <w:tcW w:w="77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sz w:val="20"/>
                <w:szCs w:val="20"/>
              </w:rPr>
            </w:pPr>
            <w:r>
              <w:rPr>
                <w:sz w:val="20"/>
                <w:szCs w:val="20"/>
              </w:rPr>
              <w:t>27760,768</w:t>
            </w:r>
          </w:p>
        </w:tc>
        <w:tc>
          <w:tcPr>
            <w:tcW w:w="103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sz w:val="20"/>
                <w:szCs w:val="20"/>
              </w:rPr>
            </w:pPr>
            <w:r>
              <w:rPr>
                <w:sz w:val="20"/>
                <w:szCs w:val="20"/>
              </w:rPr>
              <w:t>30049,148</w:t>
            </w:r>
          </w:p>
        </w:tc>
        <w:tc>
          <w:tcPr>
            <w:tcW w:w="10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sz w:val="20"/>
                <w:szCs w:val="20"/>
              </w:rPr>
            </w:pPr>
            <w:r>
              <w:rPr>
                <w:sz w:val="20"/>
                <w:szCs w:val="20"/>
              </w:rPr>
              <w:t>31888,397</w:t>
            </w:r>
          </w:p>
        </w:tc>
      </w:tr>
      <w:tr>
        <w:trPr>
          <w:cantSplit w:val="true"/>
        </w:trPr>
        <w:tc>
          <w:tcPr>
            <w:tcW w:w="62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Cs/>
                <w:sz w:val="20"/>
                <w:szCs w:val="20"/>
              </w:rPr>
            </w:pPr>
            <w:r>
              <w:rPr>
                <w:bCs/>
                <w:sz w:val="20"/>
                <w:szCs w:val="20"/>
              </w:rPr>
              <w:t>5.5.</w:t>
            </w:r>
          </w:p>
        </w:tc>
        <w:tc>
          <w:tcPr>
            <w:tcW w:w="54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rPr>
                <w:sz w:val="20"/>
                <w:szCs w:val="20"/>
              </w:rPr>
            </w:pPr>
            <w:r>
              <w:rPr>
                <w:sz w:val="20"/>
                <w:szCs w:val="20"/>
              </w:rPr>
              <w:t>Расходы на амортизацию основных производственных средств</w:t>
            </w:r>
          </w:p>
        </w:tc>
        <w:tc>
          <w:tcPr>
            <w:tcW w:w="12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136" w:right="-184" w:hanging="0"/>
              <w:jc w:val="center"/>
              <w:rPr>
                <w:sz w:val="20"/>
                <w:szCs w:val="20"/>
              </w:rPr>
            </w:pPr>
            <w:r>
              <w:rPr>
                <w:bCs/>
                <w:sz w:val="20"/>
                <w:szCs w:val="20"/>
              </w:rPr>
              <w:t>тыс.руб.</w:t>
            </w:r>
          </w:p>
        </w:tc>
        <w:tc>
          <w:tcPr>
            <w:tcW w:w="77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sz w:val="20"/>
                <w:szCs w:val="20"/>
              </w:rPr>
            </w:pPr>
            <w:r>
              <w:rPr>
                <w:sz w:val="20"/>
                <w:szCs w:val="20"/>
              </w:rPr>
              <w:t>0,000</w:t>
            </w:r>
          </w:p>
        </w:tc>
        <w:tc>
          <w:tcPr>
            <w:tcW w:w="84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sz w:val="20"/>
                <w:szCs w:val="20"/>
              </w:rPr>
            </w:pPr>
            <w:r>
              <w:rPr>
                <w:sz w:val="20"/>
                <w:szCs w:val="20"/>
              </w:rPr>
              <w:t>0,000</w:t>
            </w:r>
          </w:p>
        </w:tc>
        <w:tc>
          <w:tcPr>
            <w:tcW w:w="87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sz w:val="20"/>
                <w:szCs w:val="20"/>
              </w:rPr>
            </w:pPr>
            <w:r>
              <w:rPr>
                <w:sz w:val="20"/>
                <w:szCs w:val="20"/>
              </w:rPr>
              <w:t>0,000</w:t>
            </w:r>
          </w:p>
        </w:tc>
        <w:tc>
          <w:tcPr>
            <w:tcW w:w="91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sz w:val="20"/>
                <w:szCs w:val="20"/>
              </w:rPr>
            </w:pPr>
            <w:r>
              <w:rPr>
                <w:sz w:val="20"/>
                <w:szCs w:val="20"/>
              </w:rPr>
              <w:t>0,000</w:t>
            </w:r>
          </w:p>
        </w:tc>
        <w:tc>
          <w:tcPr>
            <w:tcW w:w="104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sz w:val="20"/>
                <w:szCs w:val="20"/>
              </w:rPr>
            </w:pPr>
            <w:r>
              <w:rPr>
                <w:sz w:val="20"/>
                <w:szCs w:val="20"/>
              </w:rPr>
              <w:t>0,000</w:t>
            </w:r>
          </w:p>
        </w:tc>
        <w:tc>
          <w:tcPr>
            <w:tcW w:w="77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sz w:val="20"/>
                <w:szCs w:val="20"/>
              </w:rPr>
            </w:pPr>
            <w:r>
              <w:rPr>
                <w:sz w:val="20"/>
                <w:szCs w:val="20"/>
              </w:rPr>
              <w:t>0,000</w:t>
            </w:r>
          </w:p>
        </w:tc>
        <w:tc>
          <w:tcPr>
            <w:tcW w:w="103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sz w:val="20"/>
                <w:szCs w:val="20"/>
              </w:rPr>
            </w:pPr>
            <w:r>
              <w:rPr>
                <w:sz w:val="20"/>
                <w:szCs w:val="20"/>
              </w:rPr>
              <w:t>0,000</w:t>
            </w:r>
          </w:p>
        </w:tc>
        <w:tc>
          <w:tcPr>
            <w:tcW w:w="10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sz w:val="20"/>
                <w:szCs w:val="20"/>
              </w:rPr>
            </w:pPr>
            <w:r>
              <w:rPr>
                <w:sz w:val="20"/>
                <w:szCs w:val="20"/>
              </w:rPr>
              <w:t>0,000</w:t>
            </w:r>
          </w:p>
        </w:tc>
      </w:tr>
      <w:tr>
        <w:trPr>
          <w:cantSplit w:val="true"/>
        </w:trPr>
        <w:tc>
          <w:tcPr>
            <w:tcW w:w="62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5.6.</w:t>
            </w:r>
          </w:p>
        </w:tc>
        <w:tc>
          <w:tcPr>
            <w:tcW w:w="54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rPr>
                <w:sz w:val="20"/>
                <w:szCs w:val="20"/>
              </w:rPr>
            </w:pPr>
            <w:r>
              <w:rPr>
                <w:sz w:val="20"/>
                <w:szCs w:val="20"/>
              </w:rPr>
              <w:t>Общепроизводственные расходы:</w:t>
            </w:r>
          </w:p>
        </w:tc>
        <w:tc>
          <w:tcPr>
            <w:tcW w:w="12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136" w:right="-184" w:hanging="0"/>
              <w:jc w:val="center"/>
              <w:rPr>
                <w:sz w:val="20"/>
                <w:szCs w:val="20"/>
              </w:rPr>
            </w:pPr>
            <w:r>
              <w:rPr>
                <w:bCs/>
                <w:sz w:val="20"/>
                <w:szCs w:val="20"/>
              </w:rPr>
              <w:t>тыс.руб.</w:t>
            </w:r>
          </w:p>
        </w:tc>
        <w:tc>
          <w:tcPr>
            <w:tcW w:w="77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sz w:val="20"/>
                <w:szCs w:val="20"/>
              </w:rPr>
            </w:pPr>
            <w:r>
              <w:rPr>
                <w:sz w:val="20"/>
                <w:szCs w:val="20"/>
              </w:rPr>
              <w:t>0,000</w:t>
            </w:r>
          </w:p>
        </w:tc>
        <w:tc>
          <w:tcPr>
            <w:tcW w:w="84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sz w:val="20"/>
                <w:szCs w:val="20"/>
              </w:rPr>
            </w:pPr>
            <w:r>
              <w:rPr>
                <w:sz w:val="20"/>
                <w:szCs w:val="20"/>
              </w:rPr>
              <w:t>0,000</w:t>
            </w:r>
          </w:p>
        </w:tc>
        <w:tc>
          <w:tcPr>
            <w:tcW w:w="87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sz w:val="20"/>
                <w:szCs w:val="20"/>
              </w:rPr>
            </w:pPr>
            <w:r>
              <w:rPr>
                <w:sz w:val="20"/>
                <w:szCs w:val="20"/>
              </w:rPr>
              <w:t>0,000</w:t>
            </w:r>
          </w:p>
        </w:tc>
        <w:tc>
          <w:tcPr>
            <w:tcW w:w="91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sz w:val="20"/>
                <w:szCs w:val="20"/>
              </w:rPr>
            </w:pPr>
            <w:r>
              <w:rPr>
                <w:sz w:val="20"/>
                <w:szCs w:val="20"/>
              </w:rPr>
              <w:t>0,000</w:t>
            </w:r>
          </w:p>
        </w:tc>
        <w:tc>
          <w:tcPr>
            <w:tcW w:w="104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sz w:val="20"/>
                <w:szCs w:val="20"/>
              </w:rPr>
            </w:pPr>
            <w:r>
              <w:rPr>
                <w:sz w:val="20"/>
                <w:szCs w:val="20"/>
              </w:rPr>
              <w:t>0,000</w:t>
            </w:r>
          </w:p>
        </w:tc>
        <w:tc>
          <w:tcPr>
            <w:tcW w:w="77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sz w:val="20"/>
                <w:szCs w:val="20"/>
              </w:rPr>
            </w:pPr>
            <w:r>
              <w:rPr>
                <w:sz w:val="20"/>
                <w:szCs w:val="20"/>
              </w:rPr>
              <w:t>0,000</w:t>
            </w:r>
          </w:p>
        </w:tc>
        <w:tc>
          <w:tcPr>
            <w:tcW w:w="103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sz w:val="20"/>
                <w:szCs w:val="20"/>
              </w:rPr>
            </w:pPr>
            <w:r>
              <w:rPr>
                <w:sz w:val="20"/>
                <w:szCs w:val="20"/>
              </w:rPr>
              <w:t>0,000</w:t>
            </w:r>
          </w:p>
        </w:tc>
        <w:tc>
          <w:tcPr>
            <w:tcW w:w="10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sz w:val="20"/>
                <w:szCs w:val="20"/>
              </w:rPr>
            </w:pPr>
            <w:r>
              <w:rPr>
                <w:sz w:val="20"/>
                <w:szCs w:val="20"/>
              </w:rPr>
              <w:t>0,000</w:t>
            </w:r>
          </w:p>
        </w:tc>
      </w:tr>
      <w:tr>
        <w:trPr>
          <w:cantSplit w:val="true"/>
        </w:trPr>
        <w:tc>
          <w:tcPr>
            <w:tcW w:w="62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5.7.</w:t>
            </w:r>
          </w:p>
        </w:tc>
        <w:tc>
          <w:tcPr>
            <w:tcW w:w="54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rPr>
                <w:sz w:val="20"/>
                <w:szCs w:val="20"/>
              </w:rPr>
            </w:pPr>
            <w:r>
              <w:rPr>
                <w:sz w:val="20"/>
                <w:szCs w:val="20"/>
              </w:rPr>
              <w:t>Общехозяйственные расходы:</w:t>
            </w:r>
          </w:p>
        </w:tc>
        <w:tc>
          <w:tcPr>
            <w:tcW w:w="12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136" w:right="-184" w:hanging="0"/>
              <w:jc w:val="center"/>
              <w:rPr>
                <w:sz w:val="20"/>
                <w:szCs w:val="20"/>
              </w:rPr>
            </w:pPr>
            <w:r>
              <w:rPr>
                <w:bCs/>
                <w:sz w:val="20"/>
                <w:szCs w:val="20"/>
              </w:rPr>
              <w:t>тыс.руб.</w:t>
            </w:r>
          </w:p>
        </w:tc>
        <w:tc>
          <w:tcPr>
            <w:tcW w:w="77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sz w:val="20"/>
                <w:szCs w:val="20"/>
              </w:rPr>
            </w:pPr>
            <w:r>
              <w:rPr>
                <w:sz w:val="20"/>
                <w:szCs w:val="20"/>
              </w:rPr>
              <w:t>1313,412</w:t>
            </w:r>
          </w:p>
        </w:tc>
        <w:tc>
          <w:tcPr>
            <w:tcW w:w="84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sz w:val="20"/>
                <w:szCs w:val="20"/>
              </w:rPr>
            </w:pPr>
            <w:r>
              <w:rPr>
                <w:sz w:val="20"/>
                <w:szCs w:val="20"/>
              </w:rPr>
              <w:t>1388,277</w:t>
            </w:r>
          </w:p>
        </w:tc>
        <w:tc>
          <w:tcPr>
            <w:tcW w:w="87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sz w:val="20"/>
                <w:szCs w:val="20"/>
              </w:rPr>
            </w:pPr>
            <w:r>
              <w:rPr>
                <w:sz w:val="20"/>
                <w:szCs w:val="20"/>
              </w:rPr>
              <w:t>1454,914</w:t>
            </w:r>
          </w:p>
        </w:tc>
        <w:tc>
          <w:tcPr>
            <w:tcW w:w="91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sz w:val="20"/>
                <w:szCs w:val="20"/>
              </w:rPr>
            </w:pPr>
            <w:r>
              <w:rPr>
                <w:sz w:val="20"/>
                <w:szCs w:val="20"/>
              </w:rPr>
              <w:t>1517,475</w:t>
            </w:r>
          </w:p>
        </w:tc>
        <w:tc>
          <w:tcPr>
            <w:tcW w:w="104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sz w:val="20"/>
                <w:szCs w:val="20"/>
              </w:rPr>
            </w:pPr>
            <w:r>
              <w:rPr>
                <w:sz w:val="20"/>
                <w:szCs w:val="20"/>
              </w:rPr>
              <w:t>1547,825</w:t>
            </w:r>
          </w:p>
        </w:tc>
        <w:tc>
          <w:tcPr>
            <w:tcW w:w="77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sz w:val="20"/>
                <w:szCs w:val="20"/>
              </w:rPr>
            </w:pPr>
            <w:r>
              <w:rPr>
                <w:sz w:val="20"/>
                <w:szCs w:val="20"/>
              </w:rPr>
              <w:t>1578,781</w:t>
            </w:r>
          </w:p>
        </w:tc>
        <w:tc>
          <w:tcPr>
            <w:tcW w:w="103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sz w:val="20"/>
                <w:szCs w:val="20"/>
              </w:rPr>
            </w:pPr>
            <w:r>
              <w:rPr>
                <w:sz w:val="20"/>
                <w:szCs w:val="20"/>
              </w:rPr>
              <w:t>1708,924</w:t>
            </w:r>
          </w:p>
        </w:tc>
        <w:tc>
          <w:tcPr>
            <w:tcW w:w="10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sz w:val="20"/>
                <w:szCs w:val="20"/>
              </w:rPr>
            </w:pPr>
            <w:r>
              <w:rPr>
                <w:sz w:val="20"/>
                <w:szCs w:val="20"/>
              </w:rPr>
              <w:t>1813,524</w:t>
            </w:r>
          </w:p>
        </w:tc>
      </w:tr>
      <w:tr>
        <w:trPr>
          <w:cantSplit w:val="true"/>
        </w:trPr>
        <w:tc>
          <w:tcPr>
            <w:tcW w:w="62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5.8.</w:t>
            </w:r>
          </w:p>
        </w:tc>
        <w:tc>
          <w:tcPr>
            <w:tcW w:w="54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rPr>
                <w:sz w:val="20"/>
                <w:szCs w:val="20"/>
              </w:rPr>
            </w:pPr>
            <w:r>
              <w:rPr>
                <w:sz w:val="20"/>
                <w:szCs w:val="20"/>
              </w:rPr>
              <w:t>Расходы на капитальный и текущий ремонт основных производственных средств</w:t>
            </w:r>
          </w:p>
        </w:tc>
        <w:tc>
          <w:tcPr>
            <w:tcW w:w="12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136" w:right="-184" w:hanging="0"/>
              <w:jc w:val="center"/>
              <w:rPr>
                <w:sz w:val="20"/>
                <w:szCs w:val="20"/>
              </w:rPr>
            </w:pPr>
            <w:r>
              <w:rPr>
                <w:bCs/>
                <w:sz w:val="20"/>
                <w:szCs w:val="20"/>
              </w:rPr>
              <w:t>тыс.руб.</w:t>
            </w:r>
          </w:p>
        </w:tc>
        <w:tc>
          <w:tcPr>
            <w:tcW w:w="77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sz w:val="20"/>
                <w:szCs w:val="20"/>
              </w:rPr>
            </w:pPr>
            <w:r>
              <w:rPr>
                <w:sz w:val="20"/>
                <w:szCs w:val="20"/>
              </w:rPr>
              <w:t>0,000</w:t>
            </w:r>
          </w:p>
        </w:tc>
        <w:tc>
          <w:tcPr>
            <w:tcW w:w="84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sz w:val="20"/>
                <w:szCs w:val="20"/>
              </w:rPr>
            </w:pPr>
            <w:r>
              <w:rPr>
                <w:sz w:val="20"/>
                <w:szCs w:val="20"/>
              </w:rPr>
              <w:t>0,000</w:t>
            </w:r>
          </w:p>
        </w:tc>
        <w:tc>
          <w:tcPr>
            <w:tcW w:w="87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sz w:val="20"/>
                <w:szCs w:val="20"/>
              </w:rPr>
            </w:pPr>
            <w:r>
              <w:rPr>
                <w:sz w:val="20"/>
                <w:szCs w:val="20"/>
              </w:rPr>
              <w:t>0,000</w:t>
            </w:r>
          </w:p>
        </w:tc>
        <w:tc>
          <w:tcPr>
            <w:tcW w:w="91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sz w:val="20"/>
                <w:szCs w:val="20"/>
              </w:rPr>
            </w:pPr>
            <w:r>
              <w:rPr>
                <w:sz w:val="20"/>
                <w:szCs w:val="20"/>
              </w:rPr>
              <w:t>0,000</w:t>
            </w:r>
          </w:p>
        </w:tc>
        <w:tc>
          <w:tcPr>
            <w:tcW w:w="104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sz w:val="20"/>
                <w:szCs w:val="20"/>
              </w:rPr>
            </w:pPr>
            <w:r>
              <w:rPr>
                <w:sz w:val="20"/>
                <w:szCs w:val="20"/>
              </w:rPr>
              <w:t>0,000</w:t>
            </w:r>
          </w:p>
        </w:tc>
        <w:tc>
          <w:tcPr>
            <w:tcW w:w="77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sz w:val="20"/>
                <w:szCs w:val="20"/>
              </w:rPr>
            </w:pPr>
            <w:r>
              <w:rPr>
                <w:sz w:val="20"/>
                <w:szCs w:val="20"/>
              </w:rPr>
              <w:t>0,000</w:t>
            </w:r>
          </w:p>
        </w:tc>
        <w:tc>
          <w:tcPr>
            <w:tcW w:w="103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sz w:val="20"/>
                <w:szCs w:val="20"/>
              </w:rPr>
            </w:pPr>
            <w:r>
              <w:rPr>
                <w:sz w:val="20"/>
                <w:szCs w:val="20"/>
              </w:rPr>
              <w:t>0,000</w:t>
            </w:r>
          </w:p>
        </w:tc>
        <w:tc>
          <w:tcPr>
            <w:tcW w:w="10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sz w:val="20"/>
                <w:szCs w:val="20"/>
              </w:rPr>
            </w:pPr>
            <w:r>
              <w:rPr>
                <w:sz w:val="20"/>
                <w:szCs w:val="20"/>
              </w:rPr>
              <w:t>0,000</w:t>
            </w:r>
          </w:p>
        </w:tc>
      </w:tr>
      <w:tr>
        <w:trPr>
          <w:cantSplit w:val="true"/>
        </w:trPr>
        <w:tc>
          <w:tcPr>
            <w:tcW w:w="62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6</w:t>
            </w:r>
          </w:p>
        </w:tc>
        <w:tc>
          <w:tcPr>
            <w:tcW w:w="54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rPr>
                <w:sz w:val="20"/>
                <w:szCs w:val="20"/>
              </w:rPr>
            </w:pPr>
            <w:r>
              <w:rPr>
                <w:sz w:val="20"/>
                <w:szCs w:val="20"/>
              </w:rPr>
              <w:t>прочие расходы</w:t>
            </w:r>
          </w:p>
        </w:tc>
        <w:tc>
          <w:tcPr>
            <w:tcW w:w="12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136" w:right="-184" w:hanging="0"/>
              <w:jc w:val="center"/>
              <w:rPr>
                <w:sz w:val="20"/>
                <w:szCs w:val="20"/>
              </w:rPr>
            </w:pPr>
            <w:r>
              <w:rPr>
                <w:bCs/>
                <w:sz w:val="20"/>
                <w:szCs w:val="20"/>
              </w:rPr>
              <w:t>тыс.руб.</w:t>
            </w:r>
          </w:p>
        </w:tc>
        <w:tc>
          <w:tcPr>
            <w:tcW w:w="77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sz w:val="20"/>
                <w:szCs w:val="20"/>
              </w:rPr>
            </w:pPr>
            <w:r>
              <w:rPr>
                <w:sz w:val="20"/>
                <w:szCs w:val="20"/>
              </w:rPr>
              <w:t>0,000</w:t>
            </w:r>
          </w:p>
        </w:tc>
        <w:tc>
          <w:tcPr>
            <w:tcW w:w="84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sz w:val="20"/>
                <w:szCs w:val="20"/>
              </w:rPr>
            </w:pPr>
            <w:r>
              <w:rPr>
                <w:sz w:val="20"/>
                <w:szCs w:val="20"/>
              </w:rPr>
              <w:t>0,000</w:t>
            </w:r>
          </w:p>
        </w:tc>
        <w:tc>
          <w:tcPr>
            <w:tcW w:w="87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sz w:val="20"/>
                <w:szCs w:val="20"/>
              </w:rPr>
            </w:pPr>
            <w:r>
              <w:rPr>
                <w:sz w:val="20"/>
                <w:szCs w:val="20"/>
              </w:rPr>
              <w:t>0,000</w:t>
            </w:r>
          </w:p>
        </w:tc>
        <w:tc>
          <w:tcPr>
            <w:tcW w:w="91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sz w:val="20"/>
                <w:szCs w:val="20"/>
              </w:rPr>
            </w:pPr>
            <w:r>
              <w:rPr>
                <w:sz w:val="20"/>
                <w:szCs w:val="20"/>
              </w:rPr>
              <w:t>0,000</w:t>
            </w:r>
          </w:p>
        </w:tc>
        <w:tc>
          <w:tcPr>
            <w:tcW w:w="104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sz w:val="20"/>
                <w:szCs w:val="20"/>
              </w:rPr>
            </w:pPr>
            <w:r>
              <w:rPr>
                <w:sz w:val="20"/>
                <w:szCs w:val="20"/>
              </w:rPr>
              <w:t>0,000</w:t>
            </w:r>
          </w:p>
        </w:tc>
        <w:tc>
          <w:tcPr>
            <w:tcW w:w="77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sz w:val="20"/>
                <w:szCs w:val="20"/>
              </w:rPr>
            </w:pPr>
            <w:r>
              <w:rPr>
                <w:sz w:val="20"/>
                <w:szCs w:val="20"/>
              </w:rPr>
              <w:t>0,000</w:t>
            </w:r>
          </w:p>
        </w:tc>
        <w:tc>
          <w:tcPr>
            <w:tcW w:w="103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sz w:val="20"/>
                <w:szCs w:val="20"/>
              </w:rPr>
            </w:pPr>
            <w:r>
              <w:rPr>
                <w:sz w:val="20"/>
                <w:szCs w:val="20"/>
              </w:rPr>
              <w:t>0,000</w:t>
            </w:r>
          </w:p>
        </w:tc>
        <w:tc>
          <w:tcPr>
            <w:tcW w:w="10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sz w:val="20"/>
                <w:szCs w:val="20"/>
              </w:rPr>
            </w:pPr>
            <w:r>
              <w:rPr>
                <w:sz w:val="20"/>
                <w:szCs w:val="20"/>
              </w:rPr>
              <w:t>0,000</w:t>
            </w:r>
          </w:p>
        </w:tc>
      </w:tr>
      <w:tr>
        <w:trPr>
          <w:cantSplit w:val="true"/>
        </w:trPr>
        <w:tc>
          <w:tcPr>
            <w:tcW w:w="62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7</w:t>
            </w:r>
          </w:p>
        </w:tc>
        <w:tc>
          <w:tcPr>
            <w:tcW w:w="542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Прибыль</w:t>
            </w:r>
          </w:p>
        </w:tc>
        <w:tc>
          <w:tcPr>
            <w:tcW w:w="12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136" w:right="-184" w:hanging="0"/>
              <w:jc w:val="center"/>
              <w:rPr>
                <w:sz w:val="20"/>
                <w:szCs w:val="20"/>
              </w:rPr>
            </w:pPr>
            <w:r>
              <w:rPr>
                <w:bCs/>
                <w:sz w:val="20"/>
                <w:szCs w:val="20"/>
              </w:rPr>
              <w:t>тыс.руб.</w:t>
            </w:r>
          </w:p>
        </w:tc>
        <w:tc>
          <w:tcPr>
            <w:tcW w:w="77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sz w:val="20"/>
                <w:szCs w:val="20"/>
              </w:rPr>
            </w:pPr>
            <w:r>
              <w:rPr>
                <w:sz w:val="20"/>
                <w:szCs w:val="20"/>
              </w:rPr>
              <w:t>2433,11</w:t>
            </w:r>
          </w:p>
        </w:tc>
        <w:tc>
          <w:tcPr>
            <w:tcW w:w="84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sz w:val="20"/>
                <w:szCs w:val="20"/>
              </w:rPr>
            </w:pPr>
            <w:r>
              <w:rPr>
                <w:sz w:val="20"/>
                <w:szCs w:val="20"/>
              </w:rPr>
              <w:t>2568,99</w:t>
            </w:r>
          </w:p>
        </w:tc>
        <w:tc>
          <w:tcPr>
            <w:tcW w:w="87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sz w:val="20"/>
                <w:szCs w:val="20"/>
              </w:rPr>
            </w:pPr>
            <w:r>
              <w:rPr>
                <w:sz w:val="20"/>
                <w:szCs w:val="20"/>
              </w:rPr>
              <w:t>2695,11</w:t>
            </w:r>
          </w:p>
        </w:tc>
        <w:tc>
          <w:tcPr>
            <w:tcW w:w="91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sz w:val="20"/>
                <w:szCs w:val="20"/>
              </w:rPr>
            </w:pPr>
            <w:r>
              <w:rPr>
                <w:sz w:val="20"/>
                <w:szCs w:val="20"/>
              </w:rPr>
              <w:t>2795,75</w:t>
            </w:r>
          </w:p>
        </w:tc>
        <w:tc>
          <w:tcPr>
            <w:tcW w:w="104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sz w:val="20"/>
                <w:szCs w:val="20"/>
              </w:rPr>
            </w:pPr>
            <w:r>
              <w:rPr>
                <w:sz w:val="20"/>
                <w:szCs w:val="20"/>
              </w:rPr>
              <w:t>2565,71</w:t>
            </w:r>
          </w:p>
        </w:tc>
        <w:tc>
          <w:tcPr>
            <w:tcW w:w="77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sz w:val="20"/>
                <w:szCs w:val="20"/>
              </w:rPr>
            </w:pPr>
            <w:r>
              <w:rPr>
                <w:sz w:val="20"/>
                <w:szCs w:val="20"/>
              </w:rPr>
              <w:t>2597,89</w:t>
            </w:r>
          </w:p>
        </w:tc>
        <w:tc>
          <w:tcPr>
            <w:tcW w:w="103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sz w:val="20"/>
                <w:szCs w:val="20"/>
              </w:rPr>
            </w:pPr>
            <w:r>
              <w:rPr>
                <w:sz w:val="20"/>
                <w:szCs w:val="20"/>
              </w:rPr>
              <w:t>2733,42</w:t>
            </w:r>
          </w:p>
        </w:tc>
        <w:tc>
          <w:tcPr>
            <w:tcW w:w="10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sz w:val="20"/>
                <w:szCs w:val="20"/>
              </w:rPr>
            </w:pPr>
            <w:r>
              <w:rPr>
                <w:sz w:val="20"/>
                <w:szCs w:val="20"/>
              </w:rPr>
              <w:t>2842,63</w:t>
            </w:r>
          </w:p>
        </w:tc>
      </w:tr>
      <w:tr>
        <w:trPr>
          <w:cantSplit w:val="true"/>
        </w:trPr>
        <w:tc>
          <w:tcPr>
            <w:tcW w:w="62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Cs/>
                <w:sz w:val="20"/>
                <w:szCs w:val="20"/>
              </w:rPr>
            </w:pPr>
            <w:r>
              <w:rPr>
                <w:bCs/>
                <w:sz w:val="20"/>
                <w:szCs w:val="20"/>
              </w:rPr>
              <w:t>8</w:t>
            </w:r>
          </w:p>
        </w:tc>
        <w:tc>
          <w:tcPr>
            <w:tcW w:w="542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Необходимая валовая выручка от вида деятельности</w:t>
            </w:r>
          </w:p>
        </w:tc>
        <w:tc>
          <w:tcPr>
            <w:tcW w:w="12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136" w:right="-184" w:hanging="0"/>
              <w:jc w:val="center"/>
              <w:rPr>
                <w:sz w:val="20"/>
                <w:szCs w:val="20"/>
              </w:rPr>
            </w:pPr>
            <w:r>
              <w:rPr>
                <w:bCs/>
                <w:sz w:val="20"/>
                <w:szCs w:val="20"/>
              </w:rPr>
              <w:t>тыс.руб.</w:t>
            </w:r>
          </w:p>
        </w:tc>
        <w:tc>
          <w:tcPr>
            <w:tcW w:w="77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sz w:val="20"/>
                <w:szCs w:val="20"/>
              </w:rPr>
            </w:pPr>
            <w:r>
              <w:rPr>
                <w:sz w:val="20"/>
                <w:szCs w:val="20"/>
              </w:rPr>
              <w:t>94943,18</w:t>
            </w:r>
          </w:p>
        </w:tc>
        <w:tc>
          <w:tcPr>
            <w:tcW w:w="84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sz w:val="20"/>
                <w:szCs w:val="20"/>
              </w:rPr>
            </w:pPr>
            <w:r>
              <w:rPr>
                <w:sz w:val="20"/>
                <w:szCs w:val="20"/>
              </w:rPr>
              <w:t>104768,46</w:t>
            </w:r>
          </w:p>
        </w:tc>
        <w:tc>
          <w:tcPr>
            <w:tcW w:w="87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sz w:val="20"/>
                <w:szCs w:val="20"/>
              </w:rPr>
            </w:pPr>
            <w:r>
              <w:rPr>
                <w:sz w:val="20"/>
                <w:szCs w:val="20"/>
              </w:rPr>
              <w:t>107366,09</w:t>
            </w:r>
          </w:p>
        </w:tc>
        <w:tc>
          <w:tcPr>
            <w:tcW w:w="91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sz w:val="20"/>
                <w:szCs w:val="20"/>
              </w:rPr>
            </w:pPr>
            <w:r>
              <w:rPr>
                <w:sz w:val="20"/>
                <w:szCs w:val="20"/>
              </w:rPr>
              <w:t>109834,78</w:t>
            </w:r>
          </w:p>
        </w:tc>
        <w:tc>
          <w:tcPr>
            <w:tcW w:w="104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sz w:val="20"/>
                <w:szCs w:val="20"/>
              </w:rPr>
            </w:pPr>
            <w:r>
              <w:rPr>
                <w:sz w:val="20"/>
                <w:szCs w:val="20"/>
              </w:rPr>
              <w:t>95663,33</w:t>
            </w:r>
          </w:p>
        </w:tc>
        <w:tc>
          <w:tcPr>
            <w:tcW w:w="77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sz w:val="20"/>
                <w:szCs w:val="20"/>
              </w:rPr>
            </w:pPr>
            <w:r>
              <w:rPr>
                <w:sz w:val="20"/>
                <w:szCs w:val="20"/>
              </w:rPr>
              <w:t>97174,75</w:t>
            </w:r>
          </w:p>
        </w:tc>
        <w:tc>
          <w:tcPr>
            <w:tcW w:w="103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sz w:val="20"/>
                <w:szCs w:val="20"/>
              </w:rPr>
            </w:pPr>
            <w:r>
              <w:rPr>
                <w:sz w:val="20"/>
                <w:szCs w:val="20"/>
              </w:rPr>
              <w:t>103534,09</w:t>
            </w:r>
          </w:p>
        </w:tc>
        <w:tc>
          <w:tcPr>
            <w:tcW w:w="10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sz w:val="20"/>
                <w:szCs w:val="20"/>
              </w:rPr>
            </w:pPr>
            <w:r>
              <w:rPr>
                <w:sz w:val="20"/>
                <w:szCs w:val="20"/>
              </w:rPr>
              <w:t>108651,26</w:t>
            </w:r>
          </w:p>
        </w:tc>
      </w:tr>
      <w:tr>
        <w:trPr>
          <w:cantSplit w:val="true"/>
        </w:trPr>
        <w:tc>
          <w:tcPr>
            <w:tcW w:w="62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Cs/>
                <w:sz w:val="20"/>
                <w:szCs w:val="20"/>
              </w:rPr>
            </w:pPr>
            <w:r>
              <w:rPr>
                <w:bCs/>
                <w:sz w:val="20"/>
                <w:szCs w:val="20"/>
              </w:rPr>
              <w:t>9</w:t>
            </w:r>
          </w:p>
        </w:tc>
        <w:tc>
          <w:tcPr>
            <w:tcW w:w="542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rPr>
                <w:sz w:val="20"/>
                <w:szCs w:val="20"/>
              </w:rPr>
            </w:pPr>
            <w:r>
              <w:rPr>
                <w:sz w:val="20"/>
                <w:szCs w:val="20"/>
              </w:rPr>
              <w:t>Оценочная стоимость производства тепла</w:t>
            </w:r>
          </w:p>
        </w:tc>
        <w:tc>
          <w:tcPr>
            <w:tcW w:w="12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136" w:right="-184" w:hanging="0"/>
              <w:jc w:val="center"/>
              <w:rPr>
                <w:bCs/>
                <w:sz w:val="20"/>
                <w:szCs w:val="20"/>
              </w:rPr>
            </w:pPr>
            <w:r>
              <w:rPr>
                <w:bCs/>
                <w:sz w:val="20"/>
                <w:szCs w:val="20"/>
              </w:rPr>
              <w:t>руб./Гкал</w:t>
            </w:r>
          </w:p>
        </w:tc>
        <w:tc>
          <w:tcPr>
            <w:tcW w:w="77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sz w:val="20"/>
                <w:szCs w:val="20"/>
              </w:rPr>
            </w:pPr>
            <w:r>
              <w:rPr>
                <w:sz w:val="20"/>
                <w:szCs w:val="20"/>
              </w:rPr>
              <w:t>4021,50</w:t>
            </w:r>
          </w:p>
        </w:tc>
        <w:tc>
          <w:tcPr>
            <w:tcW w:w="84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sz w:val="20"/>
                <w:szCs w:val="20"/>
              </w:rPr>
            </w:pPr>
            <w:r>
              <w:rPr>
                <w:sz w:val="20"/>
                <w:szCs w:val="20"/>
              </w:rPr>
              <w:t>4437,67</w:t>
            </w:r>
          </w:p>
        </w:tc>
        <w:tc>
          <w:tcPr>
            <w:tcW w:w="87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sz w:val="20"/>
                <w:szCs w:val="20"/>
              </w:rPr>
            </w:pPr>
            <w:r>
              <w:rPr>
                <w:sz w:val="20"/>
                <w:szCs w:val="20"/>
              </w:rPr>
              <w:t>4547,70</w:t>
            </w:r>
          </w:p>
        </w:tc>
        <w:tc>
          <w:tcPr>
            <w:tcW w:w="91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sz w:val="20"/>
                <w:szCs w:val="20"/>
              </w:rPr>
            </w:pPr>
            <w:r>
              <w:rPr>
                <w:sz w:val="20"/>
                <w:szCs w:val="20"/>
              </w:rPr>
              <w:t>4652,26</w:t>
            </w:r>
          </w:p>
        </w:tc>
        <w:tc>
          <w:tcPr>
            <w:tcW w:w="104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sz w:val="20"/>
                <w:szCs w:val="20"/>
              </w:rPr>
            </w:pPr>
            <w:r>
              <w:rPr>
                <w:sz w:val="20"/>
                <w:szCs w:val="20"/>
              </w:rPr>
              <w:t>4826,39</w:t>
            </w:r>
          </w:p>
        </w:tc>
        <w:tc>
          <w:tcPr>
            <w:tcW w:w="77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sz w:val="20"/>
                <w:szCs w:val="20"/>
              </w:rPr>
            </w:pPr>
            <w:r>
              <w:rPr>
                <w:sz w:val="20"/>
                <w:szCs w:val="20"/>
              </w:rPr>
              <w:t>4902,64</w:t>
            </w:r>
          </w:p>
        </w:tc>
        <w:tc>
          <w:tcPr>
            <w:tcW w:w="103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sz w:val="20"/>
                <w:szCs w:val="20"/>
              </w:rPr>
            </w:pPr>
            <w:r>
              <w:rPr>
                <w:sz w:val="20"/>
                <w:szCs w:val="20"/>
              </w:rPr>
              <w:t>5223,48</w:t>
            </w:r>
          </w:p>
        </w:tc>
        <w:tc>
          <w:tcPr>
            <w:tcW w:w="10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136" w:right="-184" w:hanging="0"/>
              <w:jc w:val="center"/>
              <w:rPr>
                <w:sz w:val="20"/>
                <w:szCs w:val="20"/>
              </w:rPr>
            </w:pPr>
            <w:r>
              <w:rPr>
                <w:sz w:val="20"/>
                <w:szCs w:val="20"/>
              </w:rPr>
              <w:t>5481,65</w:t>
            </w:r>
          </w:p>
        </w:tc>
      </w:tr>
    </w:tbl>
    <w:p>
      <w:pPr>
        <w:pStyle w:val="Normal"/>
        <w:rPr>
          <w:rFonts w:eastAsia="Calibri" w:cs="Calibri"/>
          <w:iCs/>
          <w:lang w:eastAsia="en-US"/>
        </w:rPr>
      </w:pPr>
      <w:r>
        <w:rPr>
          <w:rFonts w:eastAsia="Calibri" w:cs="Calibri"/>
          <w:iCs/>
          <w:lang w:eastAsia="en-US"/>
        </w:rPr>
        <w:t xml:space="preserve"> </w:t>
      </w:r>
    </w:p>
    <w:p>
      <w:pPr>
        <w:pStyle w:val="Normal"/>
        <w:spacing w:before="0" w:after="0"/>
        <w:contextualSpacing/>
        <w:jc w:val="both"/>
        <w:rPr>
          <w:sz w:val="22"/>
          <w:lang w:eastAsia="ru-RU"/>
        </w:rPr>
      </w:pPr>
      <w:r>
        <w:rPr>
          <w:sz w:val="22"/>
          <w:lang w:eastAsia="ru-RU"/>
        </w:rPr>
        <w:t>*- Прогнозирование финансово-хозяйственной деятельности теплоснабжающей организации проводится на основе фактических показателей финансово-хозяйственной деятельности за базовый период регулирования и утверждённый период регулирования на момент разработки схемы теплоснабжения.                   В качестве исходных данных принимаются с данные портала по раскрытию информации, подлежащих свободному доступу (</w:t>
      </w:r>
      <w:hyperlink r:id="rId71">
        <w:r>
          <w:rPr>
            <w:sz w:val="22"/>
            <w:lang w:eastAsia="ru-RU"/>
          </w:rPr>
          <w:t>http://ri.eias.ru</w:t>
        </w:r>
      </w:hyperlink>
      <w:r>
        <w:rPr>
          <w:sz w:val="22"/>
          <w:lang w:eastAsia="ru-RU"/>
        </w:rPr>
        <w:t xml:space="preserve">) и данные                   от ТСО. </w:t>
      </w:r>
    </w:p>
    <w:p>
      <w:pPr>
        <w:pStyle w:val="Normal"/>
        <w:jc w:val="right"/>
        <w:rPr>
          <w:rFonts w:eastAsia="Calibri" w:cs="Calibri"/>
          <w:iCs/>
          <w:szCs w:val="18"/>
          <w:lang w:eastAsia="en-US"/>
        </w:rPr>
      </w:pPr>
      <w:r>
        <w:rPr>
          <w:rFonts w:eastAsia="Calibri" w:cs="Calibri"/>
          <w:iCs/>
          <w:szCs w:val="18"/>
          <w:lang w:eastAsia="en-US"/>
        </w:rPr>
        <w:t xml:space="preserve">Таблица 37 – Оценка ценовых (тарифных) последствий реализации проектов схемы теплоснабжения </w:t>
      </w:r>
    </w:p>
    <w:tbl>
      <w:tblPr>
        <w:tblW w:w="4950" w:type="pct"/>
        <w:jc w:val="center"/>
        <w:tblInd w:w="0" w:type="dxa"/>
        <w:tblCellMar>
          <w:top w:w="0" w:type="dxa"/>
          <w:left w:w="108" w:type="dxa"/>
          <w:bottom w:w="0" w:type="dxa"/>
          <w:right w:w="108" w:type="dxa"/>
        </w:tblCellMar>
        <w:tblLook w:val="04a0" w:noVBand="1" w:noHBand="0" w:lastColumn="0" w:firstColumn="1" w:lastRow="0" w:firstRow="1"/>
      </w:tblPr>
      <w:tblGrid>
        <w:gridCol w:w="601"/>
        <w:gridCol w:w="6293"/>
        <w:gridCol w:w="1190"/>
        <w:gridCol w:w="930"/>
        <w:gridCol w:w="730"/>
        <w:gridCol w:w="734"/>
        <w:gridCol w:w="838"/>
        <w:gridCol w:w="730"/>
        <w:gridCol w:w="1195"/>
        <w:gridCol w:w="1181"/>
      </w:tblGrid>
      <w:tr>
        <w:trPr>
          <w:cantSplit w:val="true"/>
        </w:trPr>
        <w:tc>
          <w:tcPr>
            <w:tcW w:w="6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Cs/>
                <w:sz w:val="20"/>
                <w:szCs w:val="20"/>
              </w:rPr>
            </w:pPr>
            <w:r>
              <w:rPr>
                <w:bCs/>
                <w:sz w:val="20"/>
                <w:szCs w:val="20"/>
              </w:rPr>
              <w:t xml:space="preserve">№ </w:t>
            </w:r>
            <w:r>
              <w:rPr>
                <w:bCs/>
                <w:sz w:val="20"/>
                <w:szCs w:val="20"/>
              </w:rPr>
              <w:t>п/п</w:t>
            </w:r>
          </w:p>
        </w:tc>
        <w:tc>
          <w:tcPr>
            <w:tcW w:w="629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bCs/>
                <w:sz w:val="20"/>
                <w:szCs w:val="20"/>
              </w:rPr>
            </w:pPr>
            <w:r>
              <w:rPr>
                <w:bCs/>
                <w:sz w:val="20"/>
                <w:szCs w:val="20"/>
              </w:rPr>
              <w:t>Наименование</w:t>
            </w:r>
          </w:p>
        </w:tc>
        <w:tc>
          <w:tcPr>
            <w:tcW w:w="119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38" w:right="-141" w:hanging="0"/>
              <w:jc w:val="center"/>
              <w:rPr>
                <w:bCs/>
                <w:sz w:val="20"/>
                <w:szCs w:val="20"/>
              </w:rPr>
            </w:pPr>
            <w:r>
              <w:rPr>
                <w:bCs/>
                <w:sz w:val="20"/>
                <w:szCs w:val="20"/>
              </w:rPr>
              <w:t>Ед. измерения</w:t>
            </w:r>
          </w:p>
        </w:tc>
        <w:tc>
          <w:tcPr>
            <w:tcW w:w="9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38" w:right="-141" w:hanging="0"/>
              <w:jc w:val="center"/>
              <w:rPr>
                <w:bCs/>
                <w:sz w:val="20"/>
                <w:szCs w:val="20"/>
              </w:rPr>
            </w:pPr>
            <w:r>
              <w:rPr>
                <w:iCs/>
                <w:sz w:val="22"/>
              </w:rPr>
              <w:t>2024 год</w:t>
            </w:r>
          </w:p>
        </w:tc>
        <w:tc>
          <w:tcPr>
            <w:tcW w:w="7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38" w:right="-141" w:hanging="0"/>
              <w:jc w:val="center"/>
              <w:rPr>
                <w:bCs/>
                <w:sz w:val="20"/>
                <w:szCs w:val="20"/>
              </w:rPr>
            </w:pPr>
            <w:r>
              <w:rPr>
                <w:iCs/>
                <w:sz w:val="22"/>
              </w:rPr>
              <w:t>2025 год</w:t>
            </w:r>
          </w:p>
        </w:tc>
        <w:tc>
          <w:tcPr>
            <w:tcW w:w="7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38" w:right="-141" w:hanging="0"/>
              <w:jc w:val="center"/>
              <w:rPr>
                <w:bCs/>
                <w:sz w:val="20"/>
                <w:szCs w:val="20"/>
              </w:rPr>
            </w:pPr>
            <w:r>
              <w:rPr>
                <w:iCs/>
                <w:sz w:val="22"/>
              </w:rPr>
              <w:t>2026 год</w:t>
            </w:r>
          </w:p>
        </w:tc>
        <w:tc>
          <w:tcPr>
            <w:tcW w:w="83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38" w:right="-141" w:hanging="0"/>
              <w:jc w:val="center"/>
              <w:rPr>
                <w:bCs/>
                <w:sz w:val="20"/>
                <w:szCs w:val="20"/>
              </w:rPr>
            </w:pPr>
            <w:r>
              <w:rPr>
                <w:iCs/>
                <w:sz w:val="22"/>
              </w:rPr>
              <w:t>2027 год</w:t>
            </w:r>
          </w:p>
        </w:tc>
        <w:tc>
          <w:tcPr>
            <w:tcW w:w="7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38" w:right="-141" w:hanging="0"/>
              <w:jc w:val="center"/>
              <w:rPr>
                <w:bCs/>
                <w:sz w:val="20"/>
                <w:szCs w:val="20"/>
              </w:rPr>
            </w:pPr>
            <w:r>
              <w:rPr>
                <w:iCs/>
                <w:sz w:val="22"/>
              </w:rPr>
              <w:t>2028 год</w:t>
            </w:r>
          </w:p>
        </w:tc>
        <w:tc>
          <w:tcPr>
            <w:tcW w:w="11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38" w:right="-141" w:hanging="0"/>
              <w:jc w:val="center"/>
              <w:rPr>
                <w:bCs/>
                <w:sz w:val="20"/>
                <w:szCs w:val="20"/>
              </w:rPr>
            </w:pPr>
            <w:r>
              <w:rPr>
                <w:sz w:val="22"/>
              </w:rPr>
              <w:t>2029-2034 год</w:t>
            </w:r>
          </w:p>
        </w:tc>
        <w:tc>
          <w:tcPr>
            <w:tcW w:w="1181" w:type="dxa"/>
            <w:tcBorders>
              <w:top w:val="single" w:sz="4" w:space="0" w:color="000000"/>
              <w:left w:val="single" w:sz="4" w:space="0" w:color="000000"/>
              <w:bottom w:val="single" w:sz="4" w:space="0" w:color="000000"/>
              <w:right w:val="single" w:sz="4" w:space="0" w:color="000000"/>
            </w:tcBorders>
            <w:vAlign w:val="center"/>
          </w:tcPr>
          <w:p>
            <w:pPr>
              <w:pStyle w:val="Normal"/>
              <w:ind w:left="-38" w:right="-141" w:hanging="0"/>
              <w:jc w:val="center"/>
              <w:rPr>
                <w:bCs/>
                <w:sz w:val="20"/>
                <w:szCs w:val="20"/>
              </w:rPr>
            </w:pPr>
            <w:r>
              <w:rPr>
                <w:sz w:val="22"/>
              </w:rPr>
              <w:t xml:space="preserve">2035 – 2040 </w:t>
            </w:r>
            <w:r>
              <w:rPr>
                <w:iCs/>
                <w:sz w:val="22"/>
              </w:rPr>
              <w:t>годы</w:t>
            </w:r>
          </w:p>
        </w:tc>
      </w:tr>
      <w:tr>
        <w:trPr>
          <w:cantSplit w:val="true"/>
        </w:trPr>
        <w:tc>
          <w:tcPr>
            <w:tcW w:w="6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Cs/>
                <w:sz w:val="20"/>
                <w:szCs w:val="20"/>
              </w:rPr>
            </w:pPr>
            <w:r>
              <w:rPr>
                <w:bCs/>
                <w:sz w:val="20"/>
                <w:szCs w:val="20"/>
              </w:rPr>
              <w:t>1</w:t>
            </w:r>
          </w:p>
        </w:tc>
        <w:tc>
          <w:tcPr>
            <w:tcW w:w="629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bCs/>
                <w:sz w:val="20"/>
                <w:szCs w:val="20"/>
              </w:rPr>
            </w:pPr>
            <w:r>
              <w:rPr>
                <w:bCs/>
                <w:sz w:val="20"/>
                <w:szCs w:val="20"/>
              </w:rPr>
              <w:t>Капитальные затраты на реализацию мероприятий</w:t>
            </w:r>
          </w:p>
        </w:tc>
        <w:tc>
          <w:tcPr>
            <w:tcW w:w="119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38" w:right="-141" w:hanging="0"/>
              <w:jc w:val="center"/>
              <w:rPr>
                <w:bCs/>
                <w:sz w:val="20"/>
                <w:szCs w:val="20"/>
              </w:rPr>
            </w:pPr>
            <w:r>
              <w:rPr>
                <w:bCs/>
                <w:sz w:val="20"/>
                <w:szCs w:val="20"/>
              </w:rPr>
              <w:t>тыс.руб.</w:t>
            </w:r>
          </w:p>
        </w:tc>
        <w:tc>
          <w:tcPr>
            <w:tcW w:w="9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38" w:right="-141" w:hanging="0"/>
              <w:jc w:val="center"/>
              <w:rPr>
                <w:sz w:val="20"/>
                <w:szCs w:val="20"/>
              </w:rPr>
            </w:pPr>
            <w:r>
              <w:rPr>
                <w:sz w:val="20"/>
                <w:szCs w:val="20"/>
              </w:rPr>
              <w:t>198089,2</w:t>
            </w:r>
          </w:p>
        </w:tc>
        <w:tc>
          <w:tcPr>
            <w:tcW w:w="7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38" w:right="-141" w:hanging="0"/>
              <w:jc w:val="center"/>
              <w:rPr>
                <w:sz w:val="20"/>
                <w:szCs w:val="20"/>
              </w:rPr>
            </w:pPr>
            <w:r>
              <w:rPr>
                <w:sz w:val="20"/>
                <w:szCs w:val="20"/>
              </w:rPr>
              <w:t>15799,6</w:t>
            </w:r>
          </w:p>
        </w:tc>
        <w:tc>
          <w:tcPr>
            <w:tcW w:w="7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38" w:right="-141" w:hanging="0"/>
              <w:jc w:val="center"/>
              <w:rPr>
                <w:sz w:val="20"/>
                <w:szCs w:val="20"/>
              </w:rPr>
            </w:pPr>
            <w:r>
              <w:rPr>
                <w:sz w:val="20"/>
                <w:szCs w:val="20"/>
              </w:rPr>
              <w:t>550</w:t>
            </w:r>
          </w:p>
        </w:tc>
        <w:tc>
          <w:tcPr>
            <w:tcW w:w="83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38" w:right="-141" w:hanging="0"/>
              <w:jc w:val="center"/>
              <w:rPr>
                <w:sz w:val="20"/>
                <w:szCs w:val="20"/>
              </w:rPr>
            </w:pPr>
            <w:r>
              <w:rPr>
                <w:sz w:val="20"/>
                <w:szCs w:val="20"/>
              </w:rPr>
              <w:t>110418,6</w:t>
            </w:r>
          </w:p>
        </w:tc>
        <w:tc>
          <w:tcPr>
            <w:tcW w:w="7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38" w:right="-141" w:hanging="0"/>
              <w:jc w:val="center"/>
              <w:rPr>
                <w:sz w:val="20"/>
                <w:szCs w:val="20"/>
              </w:rPr>
            </w:pPr>
            <w:r>
              <w:rPr>
                <w:sz w:val="20"/>
                <w:szCs w:val="20"/>
              </w:rPr>
              <w:t>18110,2</w:t>
            </w:r>
          </w:p>
        </w:tc>
        <w:tc>
          <w:tcPr>
            <w:tcW w:w="11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38" w:right="-141" w:hanging="0"/>
              <w:jc w:val="center"/>
              <w:rPr>
                <w:sz w:val="20"/>
                <w:szCs w:val="20"/>
              </w:rPr>
            </w:pPr>
            <w:r>
              <w:rPr>
                <w:sz w:val="20"/>
                <w:szCs w:val="20"/>
              </w:rPr>
              <w:t>2200</w:t>
            </w:r>
          </w:p>
        </w:tc>
        <w:tc>
          <w:tcPr>
            <w:tcW w:w="11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38" w:right="-141" w:hanging="0"/>
              <w:jc w:val="center"/>
              <w:rPr>
                <w:sz w:val="22"/>
              </w:rPr>
            </w:pPr>
            <w:r>
              <w:rPr>
                <w:sz w:val="20"/>
                <w:szCs w:val="20"/>
              </w:rPr>
              <w:t>1650</w:t>
            </w:r>
          </w:p>
        </w:tc>
      </w:tr>
      <w:tr>
        <w:trPr>
          <w:cantSplit w:val="true"/>
        </w:trPr>
        <w:tc>
          <w:tcPr>
            <w:tcW w:w="6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Cs/>
                <w:sz w:val="20"/>
                <w:szCs w:val="20"/>
              </w:rPr>
            </w:pPr>
            <w:r>
              <w:rPr>
                <w:bCs/>
                <w:sz w:val="20"/>
                <w:szCs w:val="20"/>
              </w:rPr>
              <w:t>2</w:t>
            </w:r>
          </w:p>
        </w:tc>
        <w:tc>
          <w:tcPr>
            <w:tcW w:w="629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bCs/>
                <w:sz w:val="20"/>
                <w:szCs w:val="20"/>
              </w:rPr>
            </w:pPr>
            <w:r>
              <w:rPr>
                <w:bCs/>
                <w:sz w:val="20"/>
                <w:szCs w:val="20"/>
              </w:rPr>
              <w:t xml:space="preserve">Средневзвешенная оценочная стоимость производства тепла </w:t>
            </w:r>
          </w:p>
        </w:tc>
        <w:tc>
          <w:tcPr>
            <w:tcW w:w="119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38" w:right="-141" w:hanging="0"/>
              <w:jc w:val="center"/>
              <w:rPr>
                <w:bCs/>
                <w:sz w:val="20"/>
                <w:szCs w:val="20"/>
              </w:rPr>
            </w:pPr>
            <w:r>
              <w:rPr>
                <w:bCs/>
                <w:sz w:val="20"/>
                <w:szCs w:val="20"/>
              </w:rPr>
              <w:t>руб./Гкал</w:t>
            </w:r>
          </w:p>
        </w:tc>
        <w:tc>
          <w:tcPr>
            <w:tcW w:w="93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38" w:right="-141" w:hanging="0"/>
              <w:jc w:val="center"/>
              <w:rPr>
                <w:sz w:val="20"/>
                <w:szCs w:val="20"/>
              </w:rPr>
            </w:pPr>
            <w:r>
              <w:rPr>
                <w:sz w:val="20"/>
                <w:szCs w:val="20"/>
              </w:rPr>
              <w:t>4437,67</w:t>
            </w:r>
          </w:p>
        </w:tc>
        <w:tc>
          <w:tcPr>
            <w:tcW w:w="73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38" w:right="-141" w:hanging="0"/>
              <w:jc w:val="center"/>
              <w:rPr>
                <w:sz w:val="20"/>
                <w:szCs w:val="20"/>
              </w:rPr>
            </w:pPr>
            <w:r>
              <w:rPr>
                <w:sz w:val="20"/>
                <w:szCs w:val="20"/>
              </w:rPr>
              <w:t>4547,70</w:t>
            </w:r>
          </w:p>
        </w:tc>
        <w:tc>
          <w:tcPr>
            <w:tcW w:w="73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38" w:right="-141" w:hanging="0"/>
              <w:jc w:val="center"/>
              <w:rPr>
                <w:sz w:val="20"/>
                <w:szCs w:val="20"/>
              </w:rPr>
            </w:pPr>
            <w:r>
              <w:rPr>
                <w:sz w:val="20"/>
                <w:szCs w:val="20"/>
              </w:rPr>
              <w:t>4652,26</w:t>
            </w:r>
          </w:p>
        </w:tc>
        <w:tc>
          <w:tcPr>
            <w:tcW w:w="83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38" w:right="-141" w:hanging="0"/>
              <w:jc w:val="center"/>
              <w:rPr>
                <w:sz w:val="20"/>
                <w:szCs w:val="20"/>
              </w:rPr>
            </w:pPr>
            <w:r>
              <w:rPr>
                <w:sz w:val="20"/>
                <w:szCs w:val="20"/>
              </w:rPr>
              <w:t>4826,39</w:t>
            </w:r>
          </w:p>
        </w:tc>
        <w:tc>
          <w:tcPr>
            <w:tcW w:w="73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38" w:right="-141" w:hanging="0"/>
              <w:jc w:val="center"/>
              <w:rPr>
                <w:sz w:val="20"/>
                <w:szCs w:val="20"/>
              </w:rPr>
            </w:pPr>
            <w:r>
              <w:rPr>
                <w:sz w:val="20"/>
                <w:szCs w:val="20"/>
              </w:rPr>
              <w:t>4902,64</w:t>
            </w:r>
          </w:p>
        </w:tc>
        <w:tc>
          <w:tcPr>
            <w:tcW w:w="119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38" w:right="-141" w:hanging="0"/>
              <w:jc w:val="center"/>
              <w:rPr>
                <w:sz w:val="20"/>
                <w:szCs w:val="20"/>
              </w:rPr>
            </w:pPr>
            <w:r>
              <w:rPr>
                <w:sz w:val="20"/>
                <w:szCs w:val="20"/>
              </w:rPr>
              <w:t>5223,48</w:t>
            </w:r>
          </w:p>
        </w:tc>
        <w:tc>
          <w:tcPr>
            <w:tcW w:w="118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38" w:right="-141" w:hanging="0"/>
              <w:jc w:val="center"/>
              <w:rPr>
                <w:sz w:val="20"/>
                <w:szCs w:val="20"/>
              </w:rPr>
            </w:pPr>
            <w:r>
              <w:rPr>
                <w:sz w:val="20"/>
                <w:szCs w:val="20"/>
              </w:rPr>
              <w:t>5481,65</w:t>
            </w:r>
          </w:p>
        </w:tc>
      </w:tr>
      <w:tr>
        <w:trPr>
          <w:cantSplit w:val="true"/>
        </w:trPr>
        <w:tc>
          <w:tcPr>
            <w:tcW w:w="6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Cs/>
                <w:sz w:val="20"/>
                <w:szCs w:val="20"/>
              </w:rPr>
            </w:pPr>
            <w:r>
              <w:rPr>
                <w:bCs/>
                <w:sz w:val="20"/>
                <w:szCs w:val="20"/>
              </w:rPr>
              <w:t>3</w:t>
            </w:r>
          </w:p>
        </w:tc>
        <w:tc>
          <w:tcPr>
            <w:tcW w:w="629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bCs/>
                <w:sz w:val="20"/>
                <w:szCs w:val="20"/>
              </w:rPr>
            </w:pPr>
            <w:r>
              <w:rPr>
                <w:bCs/>
                <w:sz w:val="20"/>
                <w:szCs w:val="20"/>
              </w:rPr>
              <w:t xml:space="preserve">Средневзвешенная оценочная стоимость производства тепла с учетом инвестиционной составляющей </w:t>
            </w:r>
          </w:p>
        </w:tc>
        <w:tc>
          <w:tcPr>
            <w:tcW w:w="119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38" w:right="-141" w:hanging="0"/>
              <w:jc w:val="center"/>
              <w:rPr>
                <w:bCs/>
                <w:sz w:val="20"/>
                <w:szCs w:val="20"/>
              </w:rPr>
            </w:pPr>
            <w:r>
              <w:rPr>
                <w:bCs/>
                <w:sz w:val="20"/>
                <w:szCs w:val="20"/>
              </w:rPr>
              <w:t>руб./Гкал</w:t>
            </w:r>
          </w:p>
        </w:tc>
        <w:tc>
          <w:tcPr>
            <w:tcW w:w="93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38" w:right="-141" w:hanging="0"/>
              <w:jc w:val="center"/>
              <w:rPr>
                <w:sz w:val="20"/>
                <w:szCs w:val="20"/>
              </w:rPr>
            </w:pPr>
            <w:r>
              <w:rPr>
                <w:sz w:val="20"/>
                <w:szCs w:val="20"/>
              </w:rPr>
              <w:t>5862,21</w:t>
            </w:r>
          </w:p>
        </w:tc>
        <w:tc>
          <w:tcPr>
            <w:tcW w:w="73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38" w:right="-141" w:hanging="0"/>
              <w:jc w:val="center"/>
              <w:rPr>
                <w:sz w:val="20"/>
                <w:szCs w:val="20"/>
              </w:rPr>
            </w:pPr>
            <w:r>
              <w:rPr>
                <w:sz w:val="20"/>
                <w:szCs w:val="20"/>
              </w:rPr>
              <w:t>5972,23</w:t>
            </w:r>
          </w:p>
        </w:tc>
        <w:tc>
          <w:tcPr>
            <w:tcW w:w="73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38" w:right="-141" w:hanging="0"/>
              <w:jc w:val="center"/>
              <w:rPr>
                <w:sz w:val="20"/>
                <w:szCs w:val="20"/>
              </w:rPr>
            </w:pPr>
            <w:r>
              <w:rPr>
                <w:sz w:val="20"/>
                <w:szCs w:val="20"/>
              </w:rPr>
              <w:t>6076,80</w:t>
            </w:r>
          </w:p>
        </w:tc>
        <w:tc>
          <w:tcPr>
            <w:tcW w:w="83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38" w:right="-141" w:hanging="0"/>
              <w:jc w:val="center"/>
              <w:rPr>
                <w:sz w:val="20"/>
                <w:szCs w:val="20"/>
              </w:rPr>
            </w:pPr>
            <w:r>
              <w:rPr>
                <w:sz w:val="20"/>
                <w:szCs w:val="20"/>
              </w:rPr>
              <w:t>6523,17</w:t>
            </w:r>
          </w:p>
        </w:tc>
        <w:tc>
          <w:tcPr>
            <w:tcW w:w="73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38" w:right="-141" w:hanging="0"/>
              <w:jc w:val="center"/>
              <w:rPr>
                <w:sz w:val="20"/>
                <w:szCs w:val="20"/>
              </w:rPr>
            </w:pPr>
            <w:r>
              <w:rPr>
                <w:sz w:val="20"/>
                <w:szCs w:val="20"/>
              </w:rPr>
              <w:t>6599,43</w:t>
            </w:r>
          </w:p>
        </w:tc>
        <w:tc>
          <w:tcPr>
            <w:tcW w:w="119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38" w:right="-141" w:hanging="0"/>
              <w:jc w:val="center"/>
              <w:rPr>
                <w:sz w:val="20"/>
                <w:szCs w:val="20"/>
              </w:rPr>
            </w:pPr>
            <w:r>
              <w:rPr>
                <w:sz w:val="20"/>
                <w:szCs w:val="20"/>
              </w:rPr>
              <w:t>6920,27</w:t>
            </w:r>
          </w:p>
        </w:tc>
        <w:tc>
          <w:tcPr>
            <w:tcW w:w="118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38" w:right="-141" w:hanging="0"/>
              <w:jc w:val="center"/>
              <w:rPr>
                <w:sz w:val="20"/>
                <w:szCs w:val="20"/>
              </w:rPr>
            </w:pPr>
            <w:r>
              <w:rPr>
                <w:sz w:val="20"/>
                <w:szCs w:val="20"/>
              </w:rPr>
              <w:t>7178,44</w:t>
            </w:r>
          </w:p>
        </w:tc>
      </w:tr>
      <w:tr>
        <w:trPr>
          <w:cantSplit w:val="true"/>
        </w:trPr>
        <w:tc>
          <w:tcPr>
            <w:tcW w:w="6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Cs/>
                <w:sz w:val="20"/>
                <w:szCs w:val="20"/>
              </w:rPr>
            </w:pPr>
            <w:r>
              <w:rPr>
                <w:bCs/>
                <w:sz w:val="20"/>
                <w:szCs w:val="20"/>
              </w:rPr>
              <w:t>4</w:t>
            </w:r>
          </w:p>
        </w:tc>
        <w:tc>
          <w:tcPr>
            <w:tcW w:w="629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bCs/>
                <w:sz w:val="20"/>
                <w:szCs w:val="20"/>
              </w:rPr>
            </w:pPr>
            <w:r>
              <w:rPr>
                <w:bCs/>
                <w:sz w:val="20"/>
                <w:szCs w:val="20"/>
              </w:rPr>
              <w:t>Оценочная стоимость производства тепла (с использованием индекса роста цен на тепловую энергию)</w:t>
            </w:r>
          </w:p>
        </w:tc>
        <w:tc>
          <w:tcPr>
            <w:tcW w:w="119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38" w:right="-141" w:hanging="0"/>
              <w:jc w:val="center"/>
              <w:rPr>
                <w:bCs/>
                <w:sz w:val="20"/>
                <w:szCs w:val="20"/>
              </w:rPr>
            </w:pPr>
            <w:r>
              <w:rPr>
                <w:bCs/>
                <w:sz w:val="20"/>
                <w:szCs w:val="20"/>
              </w:rPr>
              <w:t>руб./Гкал</w:t>
            </w:r>
          </w:p>
        </w:tc>
        <w:tc>
          <w:tcPr>
            <w:tcW w:w="93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38" w:right="-141" w:hanging="0"/>
              <w:jc w:val="center"/>
              <w:rPr>
                <w:sz w:val="20"/>
                <w:szCs w:val="20"/>
              </w:rPr>
            </w:pPr>
            <w:r>
              <w:rPr>
                <w:sz w:val="20"/>
                <w:szCs w:val="20"/>
              </w:rPr>
              <w:t>4278,88</w:t>
            </w:r>
          </w:p>
        </w:tc>
        <w:tc>
          <w:tcPr>
            <w:tcW w:w="73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38" w:right="-141" w:hanging="0"/>
              <w:jc w:val="center"/>
              <w:rPr>
                <w:sz w:val="20"/>
                <w:szCs w:val="20"/>
              </w:rPr>
            </w:pPr>
            <w:r>
              <w:rPr>
                <w:sz w:val="20"/>
                <w:szCs w:val="20"/>
              </w:rPr>
              <w:t>4467,15</w:t>
            </w:r>
          </w:p>
        </w:tc>
        <w:tc>
          <w:tcPr>
            <w:tcW w:w="73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38" w:right="-141" w:hanging="0"/>
              <w:jc w:val="center"/>
              <w:rPr>
                <w:sz w:val="20"/>
                <w:szCs w:val="20"/>
              </w:rPr>
            </w:pPr>
            <w:r>
              <w:rPr>
                <w:sz w:val="20"/>
                <w:szCs w:val="20"/>
              </w:rPr>
              <w:t>4641,36</w:t>
            </w:r>
          </w:p>
        </w:tc>
        <w:tc>
          <w:tcPr>
            <w:tcW w:w="83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38" w:right="-141" w:hanging="0"/>
              <w:jc w:val="center"/>
              <w:rPr>
                <w:sz w:val="20"/>
                <w:szCs w:val="20"/>
              </w:rPr>
            </w:pPr>
            <w:r>
              <w:rPr>
                <w:sz w:val="20"/>
                <w:szCs w:val="20"/>
              </w:rPr>
              <w:t>4748,12</w:t>
            </w:r>
          </w:p>
        </w:tc>
        <w:tc>
          <w:tcPr>
            <w:tcW w:w="73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38" w:right="-141" w:hanging="0"/>
              <w:jc w:val="center"/>
              <w:rPr>
                <w:sz w:val="20"/>
                <w:szCs w:val="20"/>
              </w:rPr>
            </w:pPr>
            <w:r>
              <w:rPr>
                <w:sz w:val="20"/>
                <w:szCs w:val="20"/>
              </w:rPr>
              <w:t>4857,32</w:t>
            </w:r>
          </w:p>
        </w:tc>
        <w:tc>
          <w:tcPr>
            <w:tcW w:w="119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38" w:right="-141" w:hanging="0"/>
              <w:jc w:val="center"/>
              <w:rPr>
                <w:sz w:val="20"/>
                <w:szCs w:val="20"/>
              </w:rPr>
            </w:pPr>
            <w:r>
              <w:rPr>
                <w:sz w:val="20"/>
                <w:szCs w:val="20"/>
              </w:rPr>
              <w:t>5487,56</w:t>
            </w:r>
          </w:p>
        </w:tc>
        <w:tc>
          <w:tcPr>
            <w:tcW w:w="118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ind w:left="-38" w:right="-141" w:hanging="0"/>
              <w:jc w:val="center"/>
              <w:rPr>
                <w:sz w:val="20"/>
                <w:szCs w:val="20"/>
              </w:rPr>
            </w:pPr>
            <w:r>
              <w:rPr>
                <w:sz w:val="20"/>
                <w:szCs w:val="20"/>
              </w:rPr>
              <w:t>6154,97</w:t>
            </w:r>
            <w:bookmarkStart w:id="1302" w:name="_Hlk1538670431"/>
            <w:bookmarkEnd w:id="1302"/>
          </w:p>
        </w:tc>
      </w:tr>
    </w:tbl>
    <w:p>
      <w:pPr>
        <w:pStyle w:val="Normal"/>
        <w:jc w:val="right"/>
        <w:rPr>
          <w:rFonts w:eastAsia="Calibri" w:cs="Calibri"/>
          <w:iCs/>
          <w:szCs w:val="18"/>
          <w:lang w:eastAsia="en-US"/>
        </w:rPr>
      </w:pPr>
      <w:r>
        <w:rPr>
          <w:rFonts w:eastAsia="Calibri" w:cs="Calibri"/>
          <w:iCs/>
          <w:szCs w:val="18"/>
          <w:lang w:eastAsia="en-US"/>
        </w:rPr>
      </w:r>
    </w:p>
    <w:p>
      <w:pPr>
        <w:pStyle w:val="Normal"/>
        <w:jc w:val="right"/>
        <w:rPr>
          <w:rFonts w:eastAsia="Calibri" w:cs="Calibri"/>
          <w:iCs/>
          <w:lang w:eastAsia="en-US"/>
        </w:rPr>
      </w:pPr>
      <w:r>
        <w:rPr>
          <w:rFonts w:eastAsia="Calibri" w:cs="Calibri"/>
          <w:iCs/>
          <w:lang w:eastAsia="en-US"/>
        </w:rPr>
      </w:r>
    </w:p>
    <w:p>
      <w:pPr>
        <w:pStyle w:val="Normal"/>
        <w:spacing w:before="0" w:after="0"/>
        <w:contextualSpacing/>
        <w:jc w:val="both"/>
        <w:rPr>
          <w:sz w:val="22"/>
          <w:szCs w:val="28"/>
          <w:lang w:eastAsia="ru-RU"/>
        </w:rPr>
      </w:pPr>
      <w:r>
        <w:rPr>
          <w:sz w:val="22"/>
          <w:szCs w:val="28"/>
          <w:lang w:eastAsia="ru-RU"/>
        </w:rPr>
        <w:t>*- Прогнозирование</w:t>
      </w:r>
      <w:r>
        <w:rPr>
          <w:spacing w:val="1"/>
          <w:sz w:val="22"/>
          <w:szCs w:val="28"/>
          <w:lang w:eastAsia="ru-RU"/>
        </w:rPr>
        <w:t xml:space="preserve"> </w:t>
      </w:r>
      <w:r>
        <w:rPr>
          <w:sz w:val="22"/>
          <w:szCs w:val="28"/>
          <w:lang w:eastAsia="ru-RU"/>
        </w:rPr>
        <w:t>финансово-хозяйственной</w:t>
      </w:r>
      <w:r>
        <w:rPr>
          <w:spacing w:val="1"/>
          <w:sz w:val="22"/>
          <w:szCs w:val="28"/>
          <w:lang w:eastAsia="ru-RU"/>
        </w:rPr>
        <w:t xml:space="preserve"> </w:t>
      </w:r>
      <w:r>
        <w:rPr>
          <w:sz w:val="22"/>
          <w:szCs w:val="28"/>
          <w:lang w:eastAsia="ru-RU"/>
        </w:rPr>
        <w:t>деятельности</w:t>
      </w:r>
      <w:r>
        <w:rPr>
          <w:spacing w:val="1"/>
          <w:sz w:val="22"/>
          <w:szCs w:val="28"/>
          <w:lang w:eastAsia="ru-RU"/>
        </w:rPr>
        <w:t xml:space="preserve"> </w:t>
      </w:r>
      <w:r>
        <w:rPr>
          <w:sz w:val="22"/>
          <w:szCs w:val="28"/>
          <w:lang w:eastAsia="ru-RU"/>
        </w:rPr>
        <w:t>теплоснабжающей</w:t>
      </w:r>
      <w:r>
        <w:rPr>
          <w:spacing w:val="1"/>
          <w:sz w:val="22"/>
          <w:szCs w:val="28"/>
          <w:lang w:eastAsia="ru-RU"/>
        </w:rPr>
        <w:t xml:space="preserve"> </w:t>
      </w:r>
      <w:r>
        <w:rPr>
          <w:sz w:val="22"/>
          <w:szCs w:val="28"/>
          <w:lang w:eastAsia="ru-RU"/>
        </w:rPr>
        <w:t>организации</w:t>
      </w:r>
      <w:r>
        <w:rPr>
          <w:spacing w:val="1"/>
          <w:sz w:val="22"/>
          <w:szCs w:val="28"/>
          <w:lang w:eastAsia="ru-RU"/>
        </w:rPr>
        <w:t xml:space="preserve"> </w:t>
      </w:r>
      <w:r>
        <w:rPr>
          <w:sz w:val="22"/>
          <w:szCs w:val="28"/>
          <w:lang w:eastAsia="ru-RU"/>
        </w:rPr>
        <w:t>проводится на основе фактических</w:t>
      </w:r>
      <w:r>
        <w:rPr>
          <w:spacing w:val="1"/>
          <w:sz w:val="22"/>
          <w:szCs w:val="28"/>
          <w:lang w:eastAsia="ru-RU"/>
        </w:rPr>
        <w:t xml:space="preserve"> </w:t>
      </w:r>
      <w:r>
        <w:rPr>
          <w:sz w:val="22"/>
          <w:szCs w:val="28"/>
          <w:lang w:eastAsia="ru-RU"/>
        </w:rPr>
        <w:t>показателей</w:t>
      </w:r>
      <w:r>
        <w:rPr>
          <w:spacing w:val="1"/>
          <w:sz w:val="22"/>
          <w:szCs w:val="28"/>
          <w:lang w:eastAsia="ru-RU"/>
        </w:rPr>
        <w:t xml:space="preserve"> </w:t>
      </w:r>
      <w:r>
        <w:rPr>
          <w:sz w:val="22"/>
          <w:szCs w:val="28"/>
          <w:lang w:eastAsia="ru-RU"/>
        </w:rPr>
        <w:t>финансово-хозяйственной</w:t>
      </w:r>
      <w:r>
        <w:rPr>
          <w:spacing w:val="1"/>
          <w:sz w:val="22"/>
          <w:szCs w:val="28"/>
          <w:lang w:eastAsia="ru-RU"/>
        </w:rPr>
        <w:t xml:space="preserve"> </w:t>
      </w:r>
      <w:r>
        <w:rPr>
          <w:sz w:val="22"/>
          <w:szCs w:val="28"/>
          <w:lang w:eastAsia="ru-RU"/>
        </w:rPr>
        <w:t xml:space="preserve">деятельности за базовый период регулирования и утверждённый период регулирования на </w:t>
      </w:r>
      <w:r>
        <w:rPr>
          <w:spacing w:val="-57"/>
          <w:sz w:val="22"/>
          <w:szCs w:val="28"/>
          <w:lang w:eastAsia="ru-RU"/>
        </w:rPr>
        <w:t xml:space="preserve">  </w:t>
      </w:r>
      <w:r>
        <w:rPr>
          <w:sz w:val="22"/>
          <w:szCs w:val="28"/>
          <w:lang w:eastAsia="ru-RU"/>
        </w:rPr>
        <w:t>момент разработки схемы теплоснабжения.                   В качестве исходных данных принимаются с данные портала по</w:t>
      </w:r>
      <w:r>
        <w:rPr>
          <w:spacing w:val="1"/>
          <w:sz w:val="22"/>
          <w:szCs w:val="28"/>
          <w:lang w:eastAsia="ru-RU"/>
        </w:rPr>
        <w:t xml:space="preserve"> </w:t>
      </w:r>
      <w:r>
        <w:rPr>
          <w:sz w:val="22"/>
          <w:szCs w:val="28"/>
          <w:lang w:eastAsia="ru-RU"/>
        </w:rPr>
        <w:t>раскрытию информации, подлежащих свободному доступу (</w:t>
      </w:r>
      <w:hyperlink r:id="rId72">
        <w:r>
          <w:rPr>
            <w:sz w:val="22"/>
            <w:szCs w:val="28"/>
            <w:u w:val="single"/>
            <w:lang w:eastAsia="ru-RU"/>
          </w:rPr>
          <w:t>http://ri.eias.ru</w:t>
        </w:r>
      </w:hyperlink>
      <w:r>
        <w:rPr>
          <w:sz w:val="22"/>
          <w:szCs w:val="28"/>
          <w:lang w:eastAsia="ru-RU"/>
        </w:rPr>
        <w:t>) и данные                  от</w:t>
      </w:r>
      <w:r>
        <w:rPr>
          <w:spacing w:val="1"/>
          <w:sz w:val="22"/>
          <w:szCs w:val="28"/>
          <w:lang w:eastAsia="ru-RU"/>
        </w:rPr>
        <w:t xml:space="preserve"> </w:t>
      </w:r>
      <w:r>
        <w:rPr>
          <w:sz w:val="22"/>
          <w:szCs w:val="28"/>
          <w:lang w:eastAsia="ru-RU"/>
        </w:rPr>
        <w:t>ТСО.</w:t>
      </w:r>
      <w:r>
        <w:rPr>
          <w:spacing w:val="1"/>
          <w:sz w:val="22"/>
          <w:szCs w:val="28"/>
          <w:lang w:eastAsia="ru-RU"/>
        </w:rPr>
        <w:t xml:space="preserve"> </w:t>
      </w:r>
    </w:p>
    <w:p>
      <w:pPr>
        <w:pStyle w:val="Normal"/>
        <w:spacing w:before="0" w:after="0"/>
        <w:ind w:firstLine="567"/>
        <w:contextualSpacing/>
        <w:jc w:val="both"/>
        <w:rPr>
          <w:szCs w:val="28"/>
          <w:lang w:eastAsia="ru-RU"/>
        </w:rPr>
      </w:pPr>
      <w:r>
        <w:rPr>
          <w:szCs w:val="28"/>
          <w:lang w:eastAsia="ru-RU"/>
        </w:rPr>
      </w:r>
    </w:p>
    <w:p>
      <w:pPr>
        <w:pStyle w:val="Normal"/>
        <w:ind w:firstLine="709"/>
        <w:jc w:val="both"/>
        <w:rPr>
          <w:rFonts w:eastAsia="Calibri" w:cs="Calibri"/>
          <w:szCs w:val="22"/>
          <w:lang w:eastAsia="en-US"/>
        </w:rPr>
      </w:pPr>
      <w:r>
        <w:rPr>
          <w:rFonts w:eastAsia="Calibri" w:cs="Calibri"/>
          <w:szCs w:val="22"/>
          <w:lang w:eastAsia="en-US"/>
        </w:rPr>
        <w:t>По данным таблицы видно, что реализация мероприятий по реконструкции объектов системы теплоснабжения позволит снизить оценочную стоимость производства тепла к 2035 году на 12,2%, по сравнению с оценочной стоимостью производства тепла, рассчитанной с использованием индекса роста цен на тепловую энергию.</w:t>
      </w:r>
      <w:bookmarkStart w:id="1303" w:name="_Hlk160710794"/>
      <w:bookmarkStart w:id="1304" w:name="_Hlk161212387"/>
      <w:bookmarkStart w:id="1305" w:name="_Hlk160649000"/>
      <w:bookmarkEnd w:id="1303"/>
      <w:bookmarkEnd w:id="1304"/>
      <w:bookmarkEnd w:id="1305"/>
    </w:p>
    <w:p>
      <w:pPr>
        <w:sectPr>
          <w:headerReference w:type="default" r:id="rId73"/>
          <w:footerReference w:type="default" r:id="rId74"/>
          <w:type w:val="nextPage"/>
          <w:pgSz w:orient="landscape" w:w="16838" w:h="11906"/>
          <w:pgMar w:left="1701" w:right="567" w:header="708" w:top="933" w:footer="708" w:bottom="850" w:gutter="0"/>
          <w:pgNumType w:fmt="decimal"/>
          <w:formProt w:val="false"/>
          <w:textDirection w:val="lrTb"/>
          <w:docGrid w:type="default" w:linePitch="360" w:charSpace="0"/>
        </w:sectPr>
        <w:pStyle w:val="Normal"/>
        <w:ind w:firstLine="709"/>
        <w:jc w:val="both"/>
        <w:rPr>
          <w:rFonts w:eastAsia="Calibri"/>
          <w:szCs w:val="22"/>
          <w:lang w:eastAsia="en-US"/>
        </w:rPr>
      </w:pPr>
      <w:r>
        <w:rPr>
          <w:rFonts w:eastAsia="Calibri" w:cs="Calibri"/>
          <w:szCs w:val="22"/>
          <w:lang w:eastAsia="en-US"/>
        </w:rPr>
        <w:t xml:space="preserve"> </w:t>
      </w:r>
    </w:p>
    <w:p>
      <w:pPr>
        <w:pStyle w:val="Normal"/>
        <w:keepNext w:val="true"/>
        <w:keepLines/>
        <w:numPr>
          <w:ilvl w:val="0"/>
          <w:numId w:val="0"/>
        </w:numPr>
        <w:ind w:left="0" w:firstLine="709"/>
        <w:jc w:val="both"/>
        <w:outlineLvl w:val="1"/>
        <w:rPr>
          <w:rFonts w:eastAsia="Calibri Light" w:cs="Calibri Light"/>
          <w:b/>
          <w:b/>
          <w:szCs w:val="26"/>
          <w:lang w:eastAsia="en-US"/>
        </w:rPr>
      </w:pPr>
      <w:bookmarkStart w:id="1306" w:name="_Toc160530075"/>
      <w:bookmarkStart w:id="1307" w:name="_Toc181340540"/>
      <w:bookmarkStart w:id="1308" w:name="_Toc160455194"/>
      <w:bookmarkStart w:id="1309" w:name="_Toc535409639"/>
      <w:bookmarkStart w:id="1310" w:name="sub_1812"/>
      <w:bookmarkEnd w:id="1309"/>
      <w:bookmarkEnd w:id="1310"/>
      <w:r>
        <w:rPr>
          <w:rFonts w:eastAsia="Calibri Light" w:cs="Calibri Light"/>
          <w:b/>
          <w:szCs w:val="26"/>
          <w:lang w:eastAsia="en-US"/>
        </w:rPr>
        <w:t>14.2. Тарифно-балансовые расчетные модели теплоснабжения потребителей по каждой единой теплоснабжающей организации</w:t>
      </w:r>
      <w:bookmarkEnd w:id="1306"/>
      <w:bookmarkEnd w:id="1307"/>
      <w:bookmarkEnd w:id="1308"/>
    </w:p>
    <w:p>
      <w:pPr>
        <w:pStyle w:val="Normal"/>
        <w:keepNext w:val="true"/>
        <w:keepLines/>
        <w:numPr>
          <w:ilvl w:val="0"/>
          <w:numId w:val="0"/>
        </w:numPr>
        <w:ind w:left="0" w:firstLine="709"/>
        <w:jc w:val="both"/>
        <w:outlineLvl w:val="1"/>
        <w:rPr>
          <w:rFonts w:eastAsia="Calibri"/>
          <w:b/>
          <w:b/>
          <w:bCs/>
          <w:szCs w:val="22"/>
          <w:lang w:eastAsia="en-US"/>
        </w:rPr>
      </w:pPr>
      <w:r>
        <w:rPr/>
        <w:t>В соответствии с действующим в сфере государственного ценового регулирования законодательством тариф на тепловую энергию, отпускаемую организацией, должен обеспечивать покрытие как экономически обоснованных расходов организации, так и обеспечивать достаточные средства для финансирования мероприятий по надежному функционированию и развитию систем теплоснабжения.</w:t>
      </w:r>
    </w:p>
    <w:p>
      <w:pPr>
        <w:pStyle w:val="Normal"/>
        <w:keepNext w:val="true"/>
        <w:keepLines/>
        <w:numPr>
          <w:ilvl w:val="0"/>
          <w:numId w:val="0"/>
        </w:numPr>
        <w:ind w:left="0" w:firstLine="709"/>
        <w:jc w:val="both"/>
        <w:outlineLvl w:val="1"/>
        <w:rPr>
          <w:rFonts w:eastAsia="Calibri"/>
          <w:b/>
          <w:b/>
          <w:bCs/>
          <w:szCs w:val="22"/>
          <w:lang w:eastAsia="en-US"/>
        </w:rPr>
      </w:pPr>
      <w:r>
        <w:rPr/>
        <w:t>Тариф ежегодно пересматривается и устанавливается исполнительным органом субъекта Российской Федерации в области государственного регулирования тарифов с учетом изменения экономически обоснованных расходов организации и возможных изменений условий реализации инвестиционной программы.</w:t>
      </w:r>
    </w:p>
    <w:p>
      <w:pPr>
        <w:pStyle w:val="Normal"/>
        <w:keepNext w:val="true"/>
        <w:keepLines/>
        <w:numPr>
          <w:ilvl w:val="0"/>
          <w:numId w:val="0"/>
        </w:numPr>
        <w:ind w:left="0" w:firstLine="709"/>
        <w:jc w:val="both"/>
        <w:outlineLvl w:val="1"/>
        <w:rPr>
          <w:rFonts w:eastAsia="Calibri"/>
          <w:b/>
          <w:b/>
          <w:bCs/>
          <w:szCs w:val="22"/>
          <w:lang w:eastAsia="en-US"/>
        </w:rPr>
      </w:pPr>
      <w:r>
        <w:rPr/>
        <w:t>Законодательством определен механизм ограничения предельной величины тарифов путем установления ежегодных предельных индексов роста, а также механизм ограничения предельной величины платы за ЖКУ для граждан путем установления ежегодных предельных индексов роста.</w:t>
      </w:r>
    </w:p>
    <w:p>
      <w:pPr>
        <w:pStyle w:val="Normal"/>
        <w:keepNext w:val="true"/>
        <w:keepLines/>
        <w:numPr>
          <w:ilvl w:val="0"/>
          <w:numId w:val="0"/>
        </w:numPr>
        <w:ind w:left="0" w:firstLine="709"/>
        <w:jc w:val="both"/>
        <w:outlineLvl w:val="1"/>
        <w:rPr>
          <w:rFonts w:eastAsia="Calibri"/>
          <w:b/>
          <w:b/>
          <w:bCs/>
          <w:szCs w:val="22"/>
          <w:lang w:eastAsia="en-US"/>
        </w:rPr>
      </w:pPr>
      <w:r>
        <w:rPr/>
        <w:t>При этом возмещение затрат на реализацию рекомендуемых мероприятий организации, осуществляющей регулируемые виды деятельности в сфере теплоснабжения, может потребовать установления для организации тарифов на уровне выше установленного федеральным органом предельного максимального уровня.</w:t>
      </w:r>
    </w:p>
    <w:p>
      <w:pPr>
        <w:pStyle w:val="Normal"/>
        <w:keepNext w:val="true"/>
        <w:keepLines/>
        <w:numPr>
          <w:ilvl w:val="0"/>
          <w:numId w:val="0"/>
        </w:numPr>
        <w:ind w:left="0" w:firstLine="709"/>
        <w:jc w:val="both"/>
        <w:outlineLvl w:val="1"/>
        <w:rPr>
          <w:rFonts w:eastAsia="Calibri Light" w:cs="Calibri Light"/>
          <w:b/>
          <w:b/>
          <w:szCs w:val="26"/>
          <w:lang w:eastAsia="en-US"/>
        </w:rPr>
      </w:pPr>
      <w:r>
        <w:rPr/>
        <w:t>Решение об установлении для организации тарифов на уровне выше предельного максимального принимается исполнительным органом субъекта Российской Федерации в области государственного регулирования тарифов самостоятельно и не требует согласования с федеральным органом исполнительной власти в области государственного регулирования тарифов в сфере теплоснабжения.</w:t>
      </w:r>
      <w:bookmarkStart w:id="1311" w:name="_Toc535409640"/>
      <w:bookmarkStart w:id="1312" w:name="_Toc181340541"/>
      <w:bookmarkStart w:id="1313" w:name="_Toc160530076"/>
    </w:p>
    <w:p>
      <w:pPr>
        <w:pStyle w:val="Normal"/>
        <w:keepNext w:val="true"/>
        <w:keepLines/>
        <w:numPr>
          <w:ilvl w:val="0"/>
          <w:numId w:val="0"/>
        </w:numPr>
        <w:ind w:left="0" w:firstLine="709"/>
        <w:jc w:val="both"/>
        <w:outlineLvl w:val="1"/>
        <w:rPr>
          <w:rFonts w:eastAsia="Calibri Light" w:cs="Calibri Light"/>
          <w:b/>
          <w:b/>
          <w:szCs w:val="26"/>
          <w:lang w:eastAsia="en-US"/>
        </w:rPr>
      </w:pPr>
      <w:r>
        <w:rPr>
          <w:rFonts w:eastAsia="Calibri Light" w:cs="Calibri Light"/>
          <w:b/>
          <w:szCs w:val="26"/>
          <w:lang w:eastAsia="en-US"/>
        </w:rPr>
        <w:t>14.3. Результаты оценки ценовых (тарифных) последствий реализации проектов схемы теплоснабжения на основании разработанных тарифно-балансовых моделей</w:t>
      </w:r>
      <w:bookmarkEnd w:id="1311"/>
      <w:bookmarkEnd w:id="1312"/>
      <w:bookmarkEnd w:id="1313"/>
    </w:p>
    <w:p>
      <w:pPr>
        <w:pStyle w:val="Normal"/>
        <w:keepNext w:val="true"/>
        <w:keepLines/>
        <w:numPr>
          <w:ilvl w:val="0"/>
          <w:numId w:val="0"/>
        </w:numPr>
        <w:ind w:left="0" w:firstLine="709"/>
        <w:jc w:val="both"/>
        <w:outlineLvl w:val="1"/>
        <w:rPr>
          <w:rFonts w:eastAsia="Calibri Light" w:cs="Calibri Light"/>
          <w:b/>
          <w:b/>
          <w:szCs w:val="26"/>
          <w:lang w:eastAsia="en-US"/>
        </w:rPr>
      </w:pPr>
      <w:r>
        <w:rPr>
          <w:szCs w:val="28"/>
          <w:lang w:eastAsia="ar-SA"/>
        </w:rPr>
        <w:t>Результаты оценки ценовых (тарифных) последствий реализации проектов схемы теплоснабжения на основании разработанных тарифно-балансовых моделей приведены                    в таблице 37.</w:t>
      </w:r>
      <w:bookmarkStart w:id="1314" w:name="_Toc181340542"/>
      <w:bookmarkStart w:id="1315" w:name="_Toc160530077"/>
      <w:bookmarkStart w:id="1316" w:name="_Toc160455196"/>
    </w:p>
    <w:p>
      <w:pPr>
        <w:pStyle w:val="Normal"/>
        <w:keepNext w:val="true"/>
        <w:keepLines/>
        <w:numPr>
          <w:ilvl w:val="0"/>
          <w:numId w:val="0"/>
        </w:numPr>
        <w:ind w:left="0" w:firstLine="709"/>
        <w:jc w:val="both"/>
        <w:outlineLvl w:val="1"/>
        <w:rPr>
          <w:rFonts w:eastAsia="Calibri Light" w:cs="Calibri Light"/>
          <w:b/>
          <w:b/>
          <w:szCs w:val="26"/>
          <w:lang w:eastAsia="en-US"/>
        </w:rPr>
      </w:pPr>
      <w:r>
        <w:rPr>
          <w:rFonts w:eastAsia="Calibri Light"/>
          <w:b/>
          <w:szCs w:val="26"/>
          <w:lang w:eastAsia="en-US"/>
        </w:rPr>
        <w:t>14.4. Описание изменений (фактических данных) в оценке ценовых (тарифных) последствий реализации проектов схемы теплоснабжения</w:t>
      </w:r>
      <w:bookmarkStart w:id="1317" w:name="_Hlk160649035"/>
      <w:bookmarkEnd w:id="1314"/>
      <w:bookmarkEnd w:id="1315"/>
      <w:bookmarkEnd w:id="1316"/>
    </w:p>
    <w:p>
      <w:pPr>
        <w:pStyle w:val="Normal"/>
        <w:keepNext w:val="true"/>
        <w:keepLines/>
        <w:numPr>
          <w:ilvl w:val="0"/>
          <w:numId w:val="0"/>
        </w:numPr>
        <w:ind w:left="0" w:firstLine="709"/>
        <w:jc w:val="both"/>
        <w:outlineLvl w:val="1"/>
        <w:rPr>
          <w:rFonts w:eastAsia="Calibri"/>
          <w:b/>
          <w:b/>
          <w:bCs/>
          <w:szCs w:val="22"/>
          <w:lang w:eastAsia="en-US"/>
        </w:rPr>
      </w:pPr>
      <w:r>
        <w:rPr/>
        <w:t>Глава переработана в соответствии с действующей редакцией постановления Правительства Российской Федерации от 22.02.2012 № 154 «О требованиях к схемам теплоснабжения, порядку их разработки и утверждения», приказом Минэнерго России                       от 05.07.2019 № 212 «Об утверждении Методических указаний по разработке схем теплоснабжения».</w:t>
      </w:r>
      <w:bookmarkStart w:id="1318" w:name="_Hlk160710810"/>
      <w:bookmarkEnd w:id="1317"/>
      <w:bookmarkEnd w:id="1318"/>
      <w:r>
        <w:rPr/>
        <w:t xml:space="preserve"> </w:t>
      </w:r>
    </w:p>
    <w:p>
      <w:pPr>
        <w:pStyle w:val="Normal"/>
        <w:keepNext w:val="true"/>
        <w:keepLines/>
        <w:numPr>
          <w:ilvl w:val="0"/>
          <w:numId w:val="0"/>
        </w:numPr>
        <w:ind w:left="0" w:firstLine="709"/>
        <w:jc w:val="both"/>
        <w:outlineLvl w:val="1"/>
        <w:rPr>
          <w:rFonts w:eastAsia="Calibri Light" w:cs="Calibri Light"/>
          <w:b/>
          <w:b/>
          <w:sz w:val="28"/>
          <w:szCs w:val="32"/>
          <w:lang w:eastAsia="en-US"/>
        </w:rPr>
      </w:pPr>
      <w:r>
        <w:rPr>
          <w:rFonts w:eastAsia="Calibri Light" w:cs="Calibri Light"/>
          <w:b/>
          <w:sz w:val="28"/>
          <w:szCs w:val="32"/>
          <w:lang w:eastAsia="en-US"/>
        </w:rPr>
      </w:r>
    </w:p>
    <w:p>
      <w:pPr>
        <w:pStyle w:val="Normal"/>
        <w:keepNext w:val="true"/>
        <w:keepLines/>
        <w:numPr>
          <w:ilvl w:val="0"/>
          <w:numId w:val="0"/>
        </w:numPr>
        <w:spacing w:before="0" w:after="120"/>
        <w:ind w:left="0" w:hanging="0"/>
        <w:jc w:val="center"/>
        <w:outlineLvl w:val="0"/>
        <w:rPr>
          <w:rFonts w:eastAsia="Calibri Light" w:cs="Calibri Light"/>
          <w:b/>
          <w:b/>
          <w:color w:val="000000"/>
          <w:lang w:eastAsia="en-US"/>
        </w:rPr>
      </w:pPr>
      <w:bookmarkStart w:id="1319" w:name="_Toc160530078"/>
      <w:bookmarkStart w:id="1320" w:name="_Toc181340543"/>
      <w:r>
        <w:rPr>
          <w:rFonts w:eastAsia="Calibri Light" w:cs="Calibri Light"/>
          <w:b/>
          <w:lang w:eastAsia="en-US"/>
        </w:rPr>
        <w:t>Глава 15 «Реестр единых теплоснабжающих организаций»</w:t>
      </w:r>
      <w:bookmarkEnd w:id="1319"/>
      <w:bookmarkEnd w:id="1320"/>
    </w:p>
    <w:p>
      <w:pPr>
        <w:pStyle w:val="Normal"/>
        <w:keepNext w:val="true"/>
        <w:keepLines/>
        <w:numPr>
          <w:ilvl w:val="0"/>
          <w:numId w:val="0"/>
        </w:numPr>
        <w:ind w:left="0" w:firstLine="709"/>
        <w:jc w:val="both"/>
        <w:outlineLvl w:val="1"/>
        <w:rPr>
          <w:rFonts w:eastAsia="Calibri Light" w:cs="Calibri Light"/>
          <w:b/>
          <w:b/>
          <w:szCs w:val="26"/>
          <w:lang w:eastAsia="en-US"/>
        </w:rPr>
      </w:pPr>
      <w:bookmarkStart w:id="1321" w:name="_Toc535409642"/>
      <w:bookmarkStart w:id="1322" w:name="_Toc160530079"/>
      <w:bookmarkStart w:id="1323" w:name="_Toc181340544"/>
      <w:r>
        <w:rPr>
          <w:rFonts w:eastAsia="Calibri Light" w:cs="Calibri Light"/>
          <w:b/>
          <w:szCs w:val="26"/>
          <w:lang w:eastAsia="en-US"/>
        </w:rPr>
        <w:t>15.1. Реестр систем теплоснабжения, содержащий перечень теплоснабжающих организаций, действующих в каждой системе теплоснабжения, расположенных                         в границах поселения</w:t>
      </w:r>
      <w:bookmarkStart w:id="1324" w:name="_Hlk160649119"/>
      <w:bookmarkStart w:id="1325" w:name="sub_1831"/>
      <w:bookmarkEnd w:id="1321"/>
      <w:bookmarkEnd w:id="1322"/>
      <w:bookmarkEnd w:id="1323"/>
      <w:bookmarkEnd w:id="1324"/>
      <w:bookmarkEnd w:id="1325"/>
    </w:p>
    <w:p>
      <w:pPr>
        <w:pStyle w:val="Normal"/>
        <w:keepNext w:val="true"/>
        <w:keepLines/>
        <w:numPr>
          <w:ilvl w:val="0"/>
          <w:numId w:val="0"/>
        </w:numPr>
        <w:ind w:left="0" w:firstLine="709"/>
        <w:jc w:val="both"/>
        <w:outlineLvl w:val="1"/>
        <w:rPr>
          <w:rFonts w:eastAsia="Calibri Light" w:cs="Calibri Light"/>
          <w:b/>
          <w:b/>
          <w:szCs w:val="26"/>
          <w:lang w:eastAsia="en-US"/>
        </w:rPr>
      </w:pPr>
      <w:r>
        <w:rPr/>
        <w:t>Функциональная структура теплоснабжения городского поселения Октябрьское представляет собой централизованную и индивидуальную системы теплоснабжения для передачи по тепловым сетям тепловой энергии до потребителя.</w:t>
      </w:r>
      <w:r>
        <w:rPr>
          <w:rFonts w:eastAsia="Calibri Light" w:cs="Calibri Light"/>
          <w:b/>
          <w:szCs w:val="26"/>
          <w:lang w:eastAsia="en-US"/>
        </w:rPr>
        <w:t xml:space="preserve"> </w:t>
      </w:r>
      <w:r>
        <w:rPr/>
        <w:t>Тепловые сети от котельных в городском поселении состоят из 4-х трубной и 3-х трубной  системы для передачи теплоты (теплоносителя) для целей отопления и горячего водоснабжения потребителей.</w:t>
      </w:r>
    </w:p>
    <w:p>
      <w:pPr>
        <w:pStyle w:val="Normal"/>
        <w:ind w:firstLine="709"/>
        <w:jc w:val="both"/>
        <w:rPr>
          <w:rFonts w:eastAsia="Calibri"/>
          <w:b/>
          <w:b/>
          <w:bCs/>
          <w:szCs w:val="22"/>
          <w:lang w:eastAsia="en-US"/>
        </w:rPr>
      </w:pPr>
      <w:r>
        <w:rPr/>
        <w:t>На территории поселения теплоснабжение потребителей осуществляется 7 котельными. Данная система теплоснабжения, обеспечивает централизованное теплоснабжение населения, а также объектов социальной сферы и административных зданий. Схема присоединения потребителей тепловой энергии осуществлена по закрытой схеме теплоснабжения.</w:t>
      </w:r>
    </w:p>
    <w:p>
      <w:pPr>
        <w:pStyle w:val="Normal"/>
        <w:ind w:firstLine="709"/>
        <w:jc w:val="both"/>
        <w:rPr>
          <w:rFonts w:eastAsia="Calibri"/>
          <w:b/>
          <w:b/>
          <w:bCs/>
          <w:szCs w:val="22"/>
          <w:lang w:eastAsia="en-US"/>
        </w:rPr>
      </w:pPr>
      <w:r>
        <w:rPr>
          <w:rFonts w:eastAsia="Calibri" w:cs="Calibri"/>
          <w:szCs w:val="22"/>
          <w:lang w:eastAsia="en-US"/>
        </w:rPr>
        <w:t xml:space="preserve">Услуги теплоснабжения на территории поселения представляет МП МО Октябрьский район «ОКС». </w:t>
      </w:r>
      <w:bookmarkStart w:id="1326" w:name="_Toc535409643"/>
      <w:bookmarkStart w:id="1327" w:name="_Toc181340545"/>
      <w:bookmarkStart w:id="1328" w:name="_Hlk160699867"/>
      <w:bookmarkEnd w:id="1328"/>
    </w:p>
    <w:p>
      <w:pPr>
        <w:pStyle w:val="Normal"/>
        <w:ind w:firstLine="709"/>
        <w:jc w:val="both"/>
        <w:rPr>
          <w:rFonts w:eastAsia="Calibri"/>
          <w:b/>
          <w:b/>
          <w:bCs/>
          <w:szCs w:val="22"/>
          <w:lang w:eastAsia="en-US"/>
        </w:rPr>
      </w:pPr>
      <w:r>
        <w:rPr>
          <w:rFonts w:eastAsia="Calibri Light"/>
          <w:b/>
          <w:szCs w:val="26"/>
          <w:lang w:eastAsia="en-US"/>
        </w:rPr>
        <w:t>15.2. Реестр единых теплоснабжающих организаций, содержащий перечень систем теплоснабжения, входящих в состав единой теплоснабжающей организаци</w:t>
      </w:r>
      <w:bookmarkEnd w:id="1326"/>
      <w:bookmarkEnd w:id="1327"/>
      <w:r>
        <w:rPr>
          <w:rFonts w:eastAsia="Calibri Light"/>
          <w:b/>
          <w:szCs w:val="26"/>
          <w:lang w:eastAsia="en-US"/>
        </w:rPr>
        <w:t>и</w:t>
      </w:r>
    </w:p>
    <w:p>
      <w:pPr>
        <w:pStyle w:val="Normal"/>
        <w:keepNext w:val="true"/>
        <w:keepLines/>
        <w:numPr>
          <w:ilvl w:val="0"/>
          <w:numId w:val="0"/>
        </w:numPr>
        <w:ind w:left="0" w:firstLine="709"/>
        <w:jc w:val="both"/>
        <w:outlineLvl w:val="1"/>
        <w:rPr>
          <w:rStyle w:val="Ed"/>
          <w:rFonts w:eastAsia="Calibri Light"/>
          <w:szCs w:val="26"/>
          <w:lang w:eastAsia="en-US"/>
        </w:rPr>
      </w:pPr>
      <w:r>
        <w:rPr>
          <w:rStyle w:val="Ed"/>
        </w:rPr>
        <w:t xml:space="preserve">Реестр единых теплоснабжающих организаций, содержащий перечень систем теплоснабжения, входящих </w:t>
      </w:r>
      <w:r>
        <w:rPr/>
        <w:t>в состав единой теплоснабжающей организации</w:t>
      </w:r>
      <w:r>
        <w:rPr>
          <w:rStyle w:val="Ed"/>
        </w:rPr>
        <w:t xml:space="preserve"> приведен в таблице 38.</w:t>
      </w:r>
    </w:p>
    <w:p>
      <w:pPr>
        <w:pStyle w:val="Normal"/>
        <w:jc w:val="right"/>
        <w:rPr>
          <w:rFonts w:eastAsia="Calibri" w:cs="Calibri"/>
          <w:iCs/>
          <w:szCs w:val="18"/>
          <w:lang w:eastAsia="en-US"/>
        </w:rPr>
      </w:pPr>
      <w:r>
        <w:rPr>
          <w:rFonts w:eastAsia="Calibri" w:cs="Calibri"/>
          <w:iCs/>
          <w:szCs w:val="18"/>
          <w:lang w:eastAsia="en-US"/>
        </w:rPr>
        <w:t>Таблица 38 – Реестр ЕТО, содержащий перечень систем теплоснабжения</w:t>
      </w:r>
    </w:p>
    <w:tbl>
      <w:tblPr>
        <w:tblW w:w="5000" w:type="pct"/>
        <w:jc w:val="left"/>
        <w:tblInd w:w="0" w:type="dxa"/>
        <w:tblCellMar>
          <w:top w:w="0" w:type="dxa"/>
          <w:left w:w="5" w:type="dxa"/>
          <w:bottom w:w="0" w:type="dxa"/>
          <w:right w:w="5" w:type="dxa"/>
        </w:tblCellMar>
        <w:tblLook w:val="0000" w:noVBand="0" w:noHBand="0" w:lastColumn="0" w:firstColumn="0" w:lastRow="0" w:firstRow="0"/>
      </w:tblPr>
      <w:tblGrid>
        <w:gridCol w:w="509"/>
        <w:gridCol w:w="3207"/>
        <w:gridCol w:w="3817"/>
        <w:gridCol w:w="2104"/>
      </w:tblGrid>
      <w:tr>
        <w:trPr>
          <w:tblHeader w:val="true"/>
          <w:cantSplit w:val="true"/>
        </w:trPr>
        <w:tc>
          <w:tcPr>
            <w:tcW w:w="50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 xml:space="preserve">№ </w:t>
            </w:r>
            <w:r>
              <w:rPr>
                <w:sz w:val="20"/>
                <w:szCs w:val="20"/>
              </w:rPr>
              <w:t>п/п</w:t>
            </w:r>
          </w:p>
        </w:tc>
        <w:tc>
          <w:tcPr>
            <w:tcW w:w="320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 xml:space="preserve">Наименование Единой теплоснабжающей организации </w:t>
            </w:r>
          </w:p>
        </w:tc>
        <w:tc>
          <w:tcPr>
            <w:tcW w:w="381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Наименование источника системы централизованного теплоснабжения</w:t>
            </w:r>
          </w:p>
        </w:tc>
        <w:tc>
          <w:tcPr>
            <w:tcW w:w="210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Зона деятельности</w:t>
            </w:r>
          </w:p>
        </w:tc>
      </w:tr>
      <w:tr>
        <w:trPr>
          <w:cantSplit w:val="true"/>
        </w:trPr>
        <w:tc>
          <w:tcPr>
            <w:tcW w:w="50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1</w:t>
            </w:r>
          </w:p>
        </w:tc>
        <w:tc>
          <w:tcPr>
            <w:tcW w:w="320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МП МО Октябрьский район «ОКС»</w:t>
            </w:r>
          </w:p>
        </w:tc>
        <w:tc>
          <w:tcPr>
            <w:tcW w:w="381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lang w:eastAsia="ru-RU"/>
              </w:rPr>
              <w:t>котельная № 1, пгт.Октябрьское, ул.Сенькина, 46б</w:t>
            </w:r>
          </w:p>
        </w:tc>
        <w:tc>
          <w:tcPr>
            <w:tcW w:w="210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Котельная,</w:t>
            </w:r>
          </w:p>
          <w:p>
            <w:pPr>
              <w:pStyle w:val="Normal"/>
              <w:jc w:val="center"/>
              <w:rPr>
                <w:sz w:val="20"/>
                <w:szCs w:val="20"/>
              </w:rPr>
            </w:pPr>
            <w:r>
              <w:rPr>
                <w:sz w:val="20"/>
                <w:szCs w:val="20"/>
              </w:rPr>
              <w:t>тепловые сети</w:t>
            </w:r>
          </w:p>
        </w:tc>
      </w:tr>
      <w:tr>
        <w:trPr>
          <w:cantSplit w:val="true"/>
        </w:trPr>
        <w:tc>
          <w:tcPr>
            <w:tcW w:w="50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lang w:val="en-US"/>
              </w:rPr>
            </w:pPr>
            <w:r>
              <w:rPr>
                <w:sz w:val="20"/>
                <w:szCs w:val="20"/>
                <w:lang w:val="en-US"/>
              </w:rPr>
              <w:t>2</w:t>
            </w:r>
          </w:p>
        </w:tc>
        <w:tc>
          <w:tcPr>
            <w:tcW w:w="320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МП МО Октябрьский район «ОКС»</w:t>
            </w:r>
          </w:p>
        </w:tc>
        <w:tc>
          <w:tcPr>
            <w:tcW w:w="381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t>котельная № 2, пгт.Октябрьское, ул.Пионерская, 17б</w:t>
            </w:r>
          </w:p>
        </w:tc>
        <w:tc>
          <w:tcPr>
            <w:tcW w:w="210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Котельная,</w:t>
            </w:r>
          </w:p>
          <w:p>
            <w:pPr>
              <w:pStyle w:val="Normal"/>
              <w:jc w:val="center"/>
              <w:rPr>
                <w:sz w:val="20"/>
                <w:szCs w:val="20"/>
              </w:rPr>
            </w:pPr>
            <w:r>
              <w:rPr>
                <w:sz w:val="20"/>
                <w:szCs w:val="20"/>
              </w:rPr>
              <w:t>тепловые сети</w:t>
            </w:r>
          </w:p>
        </w:tc>
      </w:tr>
      <w:tr>
        <w:trPr>
          <w:cantSplit w:val="true"/>
        </w:trPr>
        <w:tc>
          <w:tcPr>
            <w:tcW w:w="50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lang w:val="en-US"/>
              </w:rPr>
            </w:pPr>
            <w:r>
              <w:rPr>
                <w:sz w:val="20"/>
                <w:szCs w:val="20"/>
                <w:lang w:val="en-US"/>
              </w:rPr>
              <w:t>3</w:t>
            </w:r>
          </w:p>
        </w:tc>
        <w:tc>
          <w:tcPr>
            <w:tcW w:w="320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МП МО Октябрьский район «ОКС»</w:t>
            </w:r>
          </w:p>
        </w:tc>
        <w:tc>
          <w:tcPr>
            <w:tcW w:w="381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t>котельная № 3, пгт.Октябрьское, ул.Чапаева, 6б</w:t>
            </w:r>
          </w:p>
        </w:tc>
        <w:tc>
          <w:tcPr>
            <w:tcW w:w="210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Котельная,</w:t>
            </w:r>
          </w:p>
          <w:p>
            <w:pPr>
              <w:pStyle w:val="Normal"/>
              <w:jc w:val="center"/>
              <w:rPr>
                <w:sz w:val="20"/>
                <w:szCs w:val="20"/>
              </w:rPr>
            </w:pPr>
            <w:r>
              <w:rPr>
                <w:sz w:val="20"/>
                <w:szCs w:val="20"/>
              </w:rPr>
              <w:t>тепловые сети</w:t>
            </w:r>
          </w:p>
        </w:tc>
      </w:tr>
      <w:tr>
        <w:trPr>
          <w:cantSplit w:val="true"/>
        </w:trPr>
        <w:tc>
          <w:tcPr>
            <w:tcW w:w="50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lang w:val="en-US"/>
              </w:rPr>
            </w:pPr>
            <w:r>
              <w:rPr>
                <w:sz w:val="20"/>
                <w:szCs w:val="20"/>
                <w:lang w:val="en-US"/>
              </w:rPr>
              <w:t>4</w:t>
            </w:r>
          </w:p>
        </w:tc>
        <w:tc>
          <w:tcPr>
            <w:tcW w:w="320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МП МО Октябрьский район «ОКС»</w:t>
            </w:r>
          </w:p>
        </w:tc>
        <w:tc>
          <w:tcPr>
            <w:tcW w:w="381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t>котельная № 6, пгт.Октябрьское, ул.Дзержинского, 2б</w:t>
            </w:r>
          </w:p>
        </w:tc>
        <w:tc>
          <w:tcPr>
            <w:tcW w:w="210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Котельная,</w:t>
            </w:r>
          </w:p>
          <w:p>
            <w:pPr>
              <w:pStyle w:val="Normal"/>
              <w:jc w:val="center"/>
              <w:rPr>
                <w:sz w:val="20"/>
                <w:szCs w:val="20"/>
              </w:rPr>
            </w:pPr>
            <w:r>
              <w:rPr>
                <w:sz w:val="20"/>
                <w:szCs w:val="20"/>
              </w:rPr>
              <w:t>тепловые сети</w:t>
            </w:r>
          </w:p>
        </w:tc>
      </w:tr>
      <w:tr>
        <w:trPr>
          <w:cantSplit w:val="true"/>
        </w:trPr>
        <w:tc>
          <w:tcPr>
            <w:tcW w:w="50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lang w:val="en-US"/>
              </w:rPr>
            </w:pPr>
            <w:r>
              <w:rPr>
                <w:sz w:val="20"/>
                <w:szCs w:val="20"/>
                <w:lang w:val="en-US"/>
              </w:rPr>
              <w:t>5</w:t>
            </w:r>
          </w:p>
        </w:tc>
        <w:tc>
          <w:tcPr>
            <w:tcW w:w="320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МП МО Октябрьский район «ОКС»</w:t>
            </w:r>
          </w:p>
        </w:tc>
        <w:tc>
          <w:tcPr>
            <w:tcW w:w="381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t>котельная № 7,пгт.Октябрьское, ул.Медицинская, 3Б</w:t>
            </w:r>
          </w:p>
        </w:tc>
        <w:tc>
          <w:tcPr>
            <w:tcW w:w="210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Котельная,</w:t>
            </w:r>
          </w:p>
          <w:p>
            <w:pPr>
              <w:pStyle w:val="Normal"/>
              <w:jc w:val="center"/>
              <w:rPr>
                <w:sz w:val="20"/>
                <w:szCs w:val="20"/>
              </w:rPr>
            </w:pPr>
            <w:r>
              <w:rPr>
                <w:sz w:val="20"/>
                <w:szCs w:val="20"/>
              </w:rPr>
              <w:t>тепловые сети</w:t>
            </w:r>
          </w:p>
        </w:tc>
      </w:tr>
      <w:tr>
        <w:trPr>
          <w:cantSplit w:val="true"/>
        </w:trPr>
        <w:tc>
          <w:tcPr>
            <w:tcW w:w="50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lang w:val="en-US"/>
              </w:rPr>
            </w:pPr>
            <w:r>
              <w:rPr>
                <w:sz w:val="20"/>
                <w:szCs w:val="20"/>
                <w:lang w:val="en-US"/>
              </w:rPr>
              <w:t>6</w:t>
            </w:r>
          </w:p>
        </w:tc>
        <w:tc>
          <w:tcPr>
            <w:tcW w:w="320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МП МО Октябрьский район «ОКС»</w:t>
            </w:r>
          </w:p>
        </w:tc>
        <w:tc>
          <w:tcPr>
            <w:tcW w:w="381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t>котельная № 12, пгт.Октябрьское, ул.Медицинская, 3к</w:t>
            </w:r>
          </w:p>
        </w:tc>
        <w:tc>
          <w:tcPr>
            <w:tcW w:w="210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Котельная,</w:t>
            </w:r>
          </w:p>
          <w:p>
            <w:pPr>
              <w:pStyle w:val="Normal"/>
              <w:jc w:val="center"/>
              <w:rPr>
                <w:sz w:val="20"/>
                <w:szCs w:val="20"/>
              </w:rPr>
            </w:pPr>
            <w:r>
              <w:rPr>
                <w:sz w:val="20"/>
                <w:szCs w:val="20"/>
              </w:rPr>
              <w:t>тепловые сети</w:t>
            </w:r>
          </w:p>
        </w:tc>
      </w:tr>
      <w:tr>
        <w:trPr>
          <w:cantSplit w:val="true"/>
        </w:trPr>
        <w:tc>
          <w:tcPr>
            <w:tcW w:w="50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lang w:val="en-US"/>
              </w:rPr>
            </w:pPr>
            <w:r>
              <w:rPr>
                <w:sz w:val="20"/>
                <w:szCs w:val="20"/>
                <w:lang w:val="en-US"/>
              </w:rPr>
              <w:t>7</w:t>
            </w:r>
          </w:p>
        </w:tc>
        <w:tc>
          <w:tcPr>
            <w:tcW w:w="320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МП МО Октябрьский район «ОКС»</w:t>
            </w:r>
          </w:p>
        </w:tc>
        <w:tc>
          <w:tcPr>
            <w:tcW w:w="381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t xml:space="preserve">котельная № 8, пгт.Октябрьское, </w:t>
            </w:r>
          </w:p>
          <w:p>
            <w:pPr>
              <w:pStyle w:val="Normal"/>
              <w:jc w:val="center"/>
              <w:rPr>
                <w:sz w:val="20"/>
                <w:szCs w:val="20"/>
                <w:lang w:eastAsia="ru-RU"/>
              </w:rPr>
            </w:pPr>
            <w:r>
              <w:rPr>
                <w:sz w:val="20"/>
                <w:szCs w:val="20"/>
                <w:lang w:eastAsia="ru-RU"/>
              </w:rPr>
              <w:t>ул.50 лет, 38А</w:t>
            </w:r>
          </w:p>
        </w:tc>
        <w:tc>
          <w:tcPr>
            <w:tcW w:w="210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Котельная,</w:t>
            </w:r>
          </w:p>
          <w:p>
            <w:pPr>
              <w:pStyle w:val="Normal"/>
              <w:jc w:val="center"/>
              <w:rPr>
                <w:sz w:val="20"/>
                <w:szCs w:val="20"/>
              </w:rPr>
            </w:pPr>
            <w:r>
              <w:rPr>
                <w:sz w:val="20"/>
                <w:szCs w:val="20"/>
              </w:rPr>
              <w:t>тепловые сети</w:t>
            </w:r>
          </w:p>
        </w:tc>
      </w:tr>
    </w:tbl>
    <w:p>
      <w:pPr>
        <w:pStyle w:val="Normal"/>
        <w:spacing w:before="0" w:after="0"/>
        <w:contextualSpacing/>
        <w:jc w:val="both"/>
        <w:rPr>
          <w:szCs w:val="28"/>
          <w:lang w:eastAsia="ru-RU"/>
        </w:rPr>
      </w:pPr>
      <w:r>
        <w:rPr>
          <w:szCs w:val="28"/>
          <w:lang w:eastAsia="ru-RU"/>
        </w:rPr>
      </w:r>
    </w:p>
    <w:p>
      <w:pPr>
        <w:pStyle w:val="Normal"/>
        <w:spacing w:before="0" w:after="0"/>
        <w:ind w:firstLine="709"/>
        <w:contextualSpacing/>
        <w:jc w:val="both"/>
        <w:rPr>
          <w:szCs w:val="28"/>
          <w:lang w:eastAsia="ru-RU"/>
        </w:rPr>
      </w:pPr>
      <w:r>
        <w:rPr/>
        <w:t>В соответствии с постановлением администрации Октябрьского района                             от 04.09.2025 № 1264 «О присвоении статуса единой теплоснабжающей организации» единой теплоснабжающей организацией, действующей на территории поселения, является МП МО Октябрьский район «ОКС».</w:t>
      </w:r>
      <w:bookmarkStart w:id="1329" w:name="_Toc181340546"/>
      <w:bookmarkStart w:id="1330" w:name="_Toc160530081"/>
      <w:bookmarkStart w:id="1331" w:name="_Toc535409644"/>
      <w:bookmarkStart w:id="1332" w:name="sub_1832"/>
      <w:bookmarkEnd w:id="1332"/>
    </w:p>
    <w:p>
      <w:pPr>
        <w:pStyle w:val="Normal"/>
        <w:spacing w:before="0" w:after="0"/>
        <w:ind w:firstLine="709"/>
        <w:contextualSpacing/>
        <w:jc w:val="both"/>
        <w:rPr>
          <w:szCs w:val="28"/>
          <w:lang w:eastAsia="ru-RU"/>
        </w:rPr>
      </w:pPr>
      <w:r>
        <w:rPr>
          <w:rFonts w:eastAsia="Calibri Light" w:cs="Calibri Light"/>
          <w:b/>
          <w:szCs w:val="26"/>
          <w:lang w:eastAsia="en-US"/>
        </w:rPr>
        <w:t xml:space="preserve">15.3. </w:t>
      </w:r>
      <w:bookmarkEnd w:id="1330"/>
      <w:bookmarkEnd w:id="1331"/>
      <w:r>
        <w:rPr>
          <w:rFonts w:eastAsia="Calibri Light" w:cs="Calibri Light"/>
          <w:b/>
          <w:szCs w:val="26"/>
          <w:lang w:eastAsia="en-US"/>
        </w:rPr>
        <w:t>Основания, в том числе критерии, в соответствии с которыми теплоснабжающей организации присвоен статус единой теплоснабжающей организации</w:t>
      </w:r>
      <w:bookmarkEnd w:id="1329"/>
    </w:p>
    <w:p>
      <w:pPr>
        <w:pStyle w:val="Normal"/>
        <w:spacing w:before="0" w:after="0"/>
        <w:ind w:firstLine="709"/>
        <w:contextualSpacing/>
        <w:jc w:val="both"/>
        <w:rPr>
          <w:rFonts w:eastAsia="Calibri"/>
          <w:b/>
          <w:b/>
          <w:bCs/>
          <w:szCs w:val="22"/>
          <w:lang w:eastAsia="en-US"/>
        </w:rPr>
      </w:pPr>
      <w:r>
        <w:rPr/>
        <w:t xml:space="preserve">Предложения по установлению единой теплоснабжающей организации осуществляются на основании критериев определения единой теплоснабжающей организации в соответствии Правилами организации теплоснабжения в Российской Федерации, утвержденные </w:t>
      </w:r>
      <w:hyperlink r:id="rId75">
        <w:r>
          <w:rPr/>
          <w:t>постановлением</w:t>
        </w:r>
      </w:hyperlink>
      <w:r>
        <w:rPr/>
        <w:t xml:space="preserve"> Правительства Российской Федерации                            от 08.08.2012 № 808.</w:t>
      </w:r>
    </w:p>
    <w:p>
      <w:pPr>
        <w:pStyle w:val="Normal"/>
        <w:spacing w:before="0" w:after="0"/>
        <w:ind w:firstLine="709"/>
        <w:contextualSpacing/>
        <w:jc w:val="both"/>
        <w:rPr>
          <w:szCs w:val="28"/>
          <w:lang w:eastAsia="ru-RU"/>
        </w:rPr>
      </w:pPr>
      <w:r>
        <w:rPr/>
        <w:t>В настоящее время МП МО Октябрьский район «ОКС» отвечает всем требованиям критериев по определению единой теплоснабжающей организации.</w:t>
      </w:r>
      <w:bookmarkStart w:id="1333" w:name="_Toc181340547"/>
      <w:bookmarkStart w:id="1334" w:name="_Toc160530082"/>
      <w:bookmarkStart w:id="1335" w:name="_Toc535409645"/>
      <w:bookmarkStart w:id="1336" w:name="sub_1833"/>
      <w:bookmarkEnd w:id="1336"/>
    </w:p>
    <w:p>
      <w:pPr>
        <w:pStyle w:val="Normal"/>
        <w:spacing w:before="0" w:after="0"/>
        <w:ind w:firstLine="709"/>
        <w:contextualSpacing/>
        <w:jc w:val="both"/>
        <w:rPr>
          <w:szCs w:val="28"/>
          <w:lang w:eastAsia="ru-RU"/>
        </w:rPr>
      </w:pPr>
      <w:r>
        <w:rPr>
          <w:rFonts w:eastAsia="Calibri Light" w:cs="Calibri Light"/>
          <w:b/>
          <w:szCs w:val="26"/>
          <w:lang w:eastAsia="en-US"/>
        </w:rPr>
        <w:t>15.4. Заявки теплоснабжающих организаций, поданные в рамках разработки проекта схемы теплоснабжения (при их наличии), на присвоение статуса единой теплоснабжающей организации</w:t>
      </w:r>
      <w:bookmarkEnd w:id="1333"/>
      <w:bookmarkEnd w:id="1334"/>
      <w:bookmarkEnd w:id="1335"/>
    </w:p>
    <w:p>
      <w:pPr>
        <w:pStyle w:val="Normal"/>
        <w:spacing w:before="0" w:after="0"/>
        <w:ind w:firstLine="709"/>
        <w:contextualSpacing/>
        <w:jc w:val="both"/>
        <w:rPr>
          <w:szCs w:val="28"/>
          <w:lang w:eastAsia="ru-RU"/>
        </w:rPr>
      </w:pPr>
      <w:r>
        <w:rPr/>
        <w:t xml:space="preserve">В рамках разработки проекта актуализированной Схемы теплоснабжения заявки на присвоение статуса единой теплоснабжающей организации отсутствовали. </w:t>
      </w:r>
      <w:bookmarkStart w:id="1337" w:name="_Toc160530083"/>
      <w:bookmarkStart w:id="1338" w:name="_Toc160455202"/>
      <w:bookmarkStart w:id="1339" w:name="_Toc181340548"/>
      <w:bookmarkStart w:id="1340" w:name="_Toc535409646"/>
      <w:bookmarkStart w:id="1341" w:name="sub_1834"/>
      <w:bookmarkEnd w:id="1341"/>
    </w:p>
    <w:p>
      <w:pPr>
        <w:pStyle w:val="Normal"/>
        <w:spacing w:before="0" w:after="0"/>
        <w:ind w:firstLine="709"/>
        <w:contextualSpacing/>
        <w:jc w:val="both"/>
        <w:rPr>
          <w:szCs w:val="28"/>
          <w:lang w:eastAsia="ru-RU"/>
        </w:rPr>
      </w:pPr>
      <w:r>
        <w:rPr>
          <w:rFonts w:eastAsia="Calibri Light"/>
          <w:b/>
          <w:szCs w:val="26"/>
          <w:lang w:eastAsia="en-US"/>
        </w:rPr>
        <w:t>15.5. Описание границ зон деятельности единой теплоснабжающей организации (организаций)</w:t>
      </w:r>
      <w:bookmarkStart w:id="1342" w:name="_Hlk160710906"/>
      <w:bookmarkEnd w:id="1337"/>
      <w:bookmarkEnd w:id="1338"/>
      <w:bookmarkEnd w:id="1339"/>
      <w:bookmarkEnd w:id="1340"/>
      <w:bookmarkEnd w:id="1342"/>
    </w:p>
    <w:p>
      <w:pPr>
        <w:pStyle w:val="Normal"/>
        <w:spacing w:before="0" w:after="0"/>
        <w:ind w:firstLine="709"/>
        <w:contextualSpacing/>
        <w:jc w:val="both"/>
        <w:rPr>
          <w:szCs w:val="28"/>
          <w:lang w:eastAsia="ru-RU"/>
        </w:rPr>
      </w:pPr>
      <w:r>
        <w:rPr>
          <w:rFonts w:eastAsia="Calibri" w:cs="Calibri"/>
          <w:szCs w:val="22"/>
          <w:lang w:eastAsia="en-US"/>
        </w:rPr>
        <w:t>После присвоения статуса ЕТО границы зон деятельности ЕТО будут совпадать с зонами действия соответствующих систем централизованного теплоснабжения.</w:t>
      </w:r>
      <w:bookmarkStart w:id="1343" w:name="_Toc181340549"/>
      <w:bookmarkStart w:id="1344" w:name="_Toc160530084"/>
      <w:bookmarkStart w:id="1345" w:name="_Toc160455203"/>
      <w:bookmarkStart w:id="1346" w:name="_Hlk160710913"/>
      <w:bookmarkEnd w:id="1346"/>
    </w:p>
    <w:p>
      <w:pPr>
        <w:pStyle w:val="Normal"/>
        <w:spacing w:before="0" w:after="0"/>
        <w:ind w:firstLine="709"/>
        <w:contextualSpacing/>
        <w:jc w:val="both"/>
        <w:rPr>
          <w:szCs w:val="28"/>
          <w:lang w:eastAsia="ru-RU"/>
        </w:rPr>
      </w:pPr>
      <w:r>
        <w:rPr>
          <w:rFonts w:eastAsia="Calibri Light"/>
          <w:b/>
          <w:szCs w:val="26"/>
          <w:lang w:eastAsia="en-US"/>
        </w:rPr>
        <w:t>15.6. Описание изменений в зонах деятельности единых теплоснабжающих организаций, произошедших за период, предшествующий актуализации схемы теплоснабжения, и актуализированные сведения в реестре систем теплоснабжения и реестре единых теплоснабжающих организаций (в случае необходимости) с описанием оснований для внесения изменений</w:t>
      </w:r>
      <w:bookmarkEnd w:id="1343"/>
      <w:bookmarkEnd w:id="1344"/>
      <w:bookmarkEnd w:id="1345"/>
    </w:p>
    <w:p>
      <w:pPr>
        <w:sectPr>
          <w:headerReference w:type="default" r:id="rId76"/>
          <w:footerReference w:type="default" r:id="rId77"/>
          <w:type w:val="nextPage"/>
          <w:pgSz w:w="11906" w:h="16838"/>
          <w:pgMar w:left="1701" w:right="567" w:header="708" w:top="1134" w:footer="708" w:bottom="1134" w:gutter="0"/>
          <w:pgNumType w:fmt="decimal"/>
          <w:formProt w:val="false"/>
          <w:textDirection w:val="lrTb"/>
          <w:docGrid w:type="default" w:linePitch="360" w:charSpace="0"/>
        </w:sectPr>
        <w:pStyle w:val="Normal"/>
        <w:spacing w:before="0" w:after="0"/>
        <w:ind w:firstLine="709"/>
        <w:contextualSpacing/>
        <w:jc w:val="both"/>
        <w:rPr>
          <w:szCs w:val="28"/>
          <w:lang w:eastAsia="ru-RU"/>
        </w:rPr>
      </w:pPr>
      <w:r>
        <w:rPr>
          <w:lang w:eastAsia="ru-RU"/>
        </w:rPr>
        <w:t>За период с момента утверждения ранее актуализированной схемы теплоснабжения в зонах деятельности единых теплоснабжающих организаций изменений не выя</w:t>
      </w:r>
      <w:bookmarkStart w:id="1347" w:name="_Hlk160649171"/>
      <w:bookmarkEnd w:id="1347"/>
      <w:r>
        <w:rPr>
          <w:lang w:eastAsia="ru-RU"/>
        </w:rPr>
        <w:t>влено.</w:t>
      </w:r>
    </w:p>
    <w:p>
      <w:pPr>
        <w:pStyle w:val="Normal"/>
        <w:keepNext w:val="true"/>
        <w:keepLines/>
        <w:numPr>
          <w:ilvl w:val="0"/>
          <w:numId w:val="0"/>
        </w:numPr>
        <w:spacing w:before="0" w:after="120"/>
        <w:ind w:left="0" w:hanging="0"/>
        <w:jc w:val="center"/>
        <w:outlineLvl w:val="0"/>
        <w:rPr>
          <w:rFonts w:eastAsia="Calibri Light" w:cs="Calibri Light"/>
          <w:b/>
          <w:b/>
          <w:color w:val="000000"/>
          <w:lang w:eastAsia="en-US"/>
        </w:rPr>
      </w:pPr>
      <w:bookmarkStart w:id="1348" w:name="_Toc160455204"/>
      <w:bookmarkStart w:id="1349" w:name="_Toc160530085"/>
      <w:bookmarkStart w:id="1350" w:name="_Toc181340550"/>
      <w:r>
        <w:rPr>
          <w:rFonts w:eastAsia="Calibri Light"/>
          <w:b/>
          <w:lang w:eastAsia="en-US"/>
        </w:rPr>
        <w:t>Глава 16 «Реестр мероприятий схемы теплоснабжения»</w:t>
      </w:r>
      <w:bookmarkEnd w:id="1348"/>
      <w:bookmarkEnd w:id="1349"/>
      <w:bookmarkEnd w:id="1350"/>
    </w:p>
    <w:p>
      <w:pPr>
        <w:pStyle w:val="Normal"/>
        <w:keepNext w:val="true"/>
        <w:keepLines/>
        <w:numPr>
          <w:ilvl w:val="0"/>
          <w:numId w:val="0"/>
        </w:numPr>
        <w:ind w:left="0" w:firstLine="709"/>
        <w:jc w:val="both"/>
        <w:outlineLvl w:val="1"/>
        <w:rPr>
          <w:rFonts w:eastAsia="Calibri Light"/>
          <w:b/>
          <w:b/>
          <w:szCs w:val="26"/>
          <w:lang w:eastAsia="en-US"/>
        </w:rPr>
      </w:pPr>
      <w:bookmarkStart w:id="1351" w:name="_Toc181340551"/>
      <w:bookmarkStart w:id="1352" w:name="_Toc160530086"/>
      <w:bookmarkStart w:id="1353" w:name="_Toc160455205"/>
      <w:bookmarkStart w:id="1354" w:name="_Toc535409648"/>
      <w:r>
        <w:rPr>
          <w:rFonts w:eastAsia="Calibri Light"/>
          <w:b/>
          <w:szCs w:val="26"/>
          <w:lang w:eastAsia="en-US"/>
        </w:rPr>
        <w:t xml:space="preserve">16.1. Перечень </w:t>
      </w:r>
      <w:bookmarkEnd w:id="1354"/>
      <w:r>
        <w:rPr>
          <w:rFonts w:eastAsia="Calibri Light"/>
          <w:b/>
          <w:szCs w:val="26"/>
          <w:lang w:eastAsia="en-US"/>
        </w:rPr>
        <w:t>мероприятий по строительству, реконструкции, техническому перевооружению и (или) модернизации источников тепловой энергии</w:t>
      </w:r>
      <w:bookmarkEnd w:id="1351"/>
      <w:bookmarkEnd w:id="1352"/>
      <w:bookmarkEnd w:id="1353"/>
    </w:p>
    <w:p>
      <w:pPr>
        <w:pStyle w:val="Normal"/>
        <w:ind w:firstLine="567"/>
        <w:jc w:val="both"/>
        <w:rPr>
          <w:rFonts w:eastAsia="Calibri"/>
          <w:szCs w:val="22"/>
          <w:lang w:eastAsia="ar-SA"/>
        </w:rPr>
      </w:pPr>
      <w:bookmarkStart w:id="1355" w:name="sub_1851"/>
      <w:bookmarkEnd w:id="1355"/>
      <w:r>
        <w:rPr>
          <w:rFonts w:eastAsia="Calibri"/>
          <w:szCs w:val="22"/>
          <w:lang w:eastAsia="ar-SA"/>
        </w:rPr>
        <w:t>Перечень мероприятий по строительству, реконструкции или техническому перевооружению источников тепловой энергии приведен в таблице 39.</w:t>
      </w:r>
    </w:p>
    <w:p>
      <w:pPr>
        <w:pStyle w:val="Caption"/>
        <w:spacing w:before="0" w:after="0"/>
        <w:jc w:val="right"/>
        <w:rPr>
          <w:rFonts w:ascii="Times New Roman" w:hAnsi="Times New Roman" w:cs="Times New Roman"/>
          <w:i w:val="false"/>
          <w:i w:val="false"/>
        </w:rPr>
      </w:pPr>
      <w:r>
        <w:rPr>
          <w:rFonts w:eastAsia="Calibri" w:cs="Times New Roman" w:ascii="Times New Roman" w:hAnsi="Times New Roman"/>
          <w:i w:val="false"/>
          <w:iCs w:val="false"/>
          <w:szCs w:val="18"/>
          <w:lang w:eastAsia="en-US"/>
        </w:rPr>
        <w:t xml:space="preserve">Таблица 39 – </w:t>
      </w:r>
      <w:r>
        <w:rPr>
          <w:rFonts w:cs="Times New Roman" w:ascii="Times New Roman" w:hAnsi="Times New Roman"/>
          <w:i w:val="false"/>
        </w:rPr>
        <w:t xml:space="preserve">Мероприятия по строительству, реконструкции, техническому перевооружению </w:t>
      </w:r>
    </w:p>
    <w:p>
      <w:pPr>
        <w:pStyle w:val="Caption"/>
        <w:spacing w:before="0" w:after="0"/>
        <w:jc w:val="right"/>
        <w:rPr>
          <w:rFonts w:ascii="Times New Roman" w:hAnsi="Times New Roman" w:cs="Times New Roman"/>
          <w:i w:val="false"/>
          <w:i w:val="false"/>
        </w:rPr>
      </w:pPr>
      <w:r>
        <w:rPr>
          <w:rFonts w:cs="Times New Roman" w:ascii="Times New Roman" w:hAnsi="Times New Roman"/>
          <w:i w:val="false"/>
        </w:rPr>
        <w:t>и (или) модернизации источников тепловой энергии, тыс. руб.</w:t>
      </w:r>
    </w:p>
    <w:tbl>
      <w:tblPr>
        <w:tblW w:w="5000" w:type="pct"/>
        <w:jc w:val="left"/>
        <w:tblInd w:w="0" w:type="dxa"/>
        <w:tblCellMar>
          <w:top w:w="0" w:type="dxa"/>
          <w:left w:w="108" w:type="dxa"/>
          <w:bottom w:w="0" w:type="dxa"/>
          <w:right w:w="108" w:type="dxa"/>
        </w:tblCellMar>
        <w:tblLook w:val="04a0" w:noVBand="1" w:noHBand="0" w:lastColumn="0" w:firstColumn="1" w:lastRow="0" w:firstRow="1"/>
      </w:tblPr>
      <w:tblGrid>
        <w:gridCol w:w="2042"/>
        <w:gridCol w:w="3667"/>
        <w:gridCol w:w="956"/>
        <w:gridCol w:w="956"/>
        <w:gridCol w:w="957"/>
        <w:gridCol w:w="956"/>
        <w:gridCol w:w="954"/>
        <w:gridCol w:w="961"/>
        <w:gridCol w:w="955"/>
        <w:gridCol w:w="956"/>
        <w:gridCol w:w="1208"/>
      </w:tblGrid>
      <w:tr>
        <w:trPr>
          <w:tblHeader w:val="true"/>
          <w:trHeight w:val="20" w:hRule="atLeast"/>
        </w:trPr>
        <w:tc>
          <w:tcPr>
            <w:tcW w:w="20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xml:space="preserve">№ </w:t>
            </w:r>
            <w:r>
              <w:rPr>
                <w:sz w:val="20"/>
                <w:szCs w:val="20"/>
                <w:lang w:eastAsia="ru-RU"/>
              </w:rPr>
              <w:t>проекта</w:t>
            </w:r>
          </w:p>
        </w:tc>
        <w:tc>
          <w:tcPr>
            <w:tcW w:w="36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Наименование</w:t>
            </w:r>
          </w:p>
        </w:tc>
        <w:tc>
          <w:tcPr>
            <w:tcW w:w="9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Итого</w:t>
            </w:r>
          </w:p>
        </w:tc>
        <w:tc>
          <w:tcPr>
            <w:tcW w:w="9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2024</w:t>
            </w:r>
          </w:p>
        </w:tc>
        <w:tc>
          <w:tcPr>
            <w:tcW w:w="9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2025</w:t>
            </w:r>
          </w:p>
        </w:tc>
        <w:tc>
          <w:tcPr>
            <w:tcW w:w="9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2026</w:t>
            </w:r>
          </w:p>
        </w:tc>
        <w:tc>
          <w:tcPr>
            <w:tcW w:w="9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2027</w:t>
            </w:r>
          </w:p>
        </w:tc>
        <w:tc>
          <w:tcPr>
            <w:tcW w:w="9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2028</w:t>
            </w:r>
          </w:p>
        </w:tc>
        <w:tc>
          <w:tcPr>
            <w:tcW w:w="95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2029 - 2032</w:t>
            </w:r>
          </w:p>
        </w:tc>
        <w:tc>
          <w:tcPr>
            <w:tcW w:w="95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t>2033 - 2035</w:t>
            </w:r>
          </w:p>
        </w:tc>
        <w:tc>
          <w:tcPr>
            <w:tcW w:w="120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t>Источники инвестиций</w:t>
            </w:r>
          </w:p>
        </w:tc>
      </w:tr>
      <w:tr>
        <w:trPr>
          <w:trHeight w:val="20" w:hRule="atLeast"/>
        </w:trPr>
        <w:tc>
          <w:tcPr>
            <w:tcW w:w="14568" w:type="dxa"/>
            <w:gridSpan w:val="11"/>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t>Группа проектов № 001 ЕТО № 1 - МП МО Октябрьский район «ОКС»</w:t>
            </w:r>
          </w:p>
        </w:tc>
      </w:tr>
      <w:tr>
        <w:trPr>
          <w:trHeight w:val="20" w:hRule="atLeast"/>
        </w:trPr>
        <w:tc>
          <w:tcPr>
            <w:tcW w:w="2042"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001.00.00.000.000.000</w:t>
            </w:r>
          </w:p>
        </w:tc>
        <w:tc>
          <w:tcPr>
            <w:tcW w:w="36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Всего стоимость проектов</w:t>
            </w:r>
          </w:p>
        </w:tc>
        <w:tc>
          <w:tcPr>
            <w:tcW w:w="9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336317,6</w:t>
            </w:r>
          </w:p>
        </w:tc>
        <w:tc>
          <w:tcPr>
            <w:tcW w:w="9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198089,2</w:t>
            </w:r>
          </w:p>
        </w:tc>
        <w:tc>
          <w:tcPr>
            <w:tcW w:w="9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15799,6</w:t>
            </w:r>
          </w:p>
        </w:tc>
        <w:tc>
          <w:tcPr>
            <w:tcW w:w="9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550</w:t>
            </w:r>
          </w:p>
        </w:tc>
        <w:tc>
          <w:tcPr>
            <w:tcW w:w="9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110418,6</w:t>
            </w:r>
          </w:p>
        </w:tc>
        <w:tc>
          <w:tcPr>
            <w:tcW w:w="9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18110,2</w:t>
            </w:r>
          </w:p>
        </w:tc>
        <w:tc>
          <w:tcPr>
            <w:tcW w:w="95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2200</w:t>
            </w:r>
          </w:p>
        </w:tc>
        <w:tc>
          <w:tcPr>
            <w:tcW w:w="95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t>1650</w:t>
            </w:r>
          </w:p>
        </w:tc>
        <w:tc>
          <w:tcPr>
            <w:tcW w:w="120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t>Бюджетные средства</w:t>
            </w:r>
          </w:p>
        </w:tc>
      </w:tr>
      <w:tr>
        <w:trPr>
          <w:trHeight w:val="20" w:hRule="atLeast"/>
        </w:trPr>
        <w:tc>
          <w:tcPr>
            <w:tcW w:w="204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r>
          </w:p>
        </w:tc>
        <w:tc>
          <w:tcPr>
            <w:tcW w:w="36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Всего стоимость проектов нарастающим итогом</w:t>
            </w:r>
          </w:p>
        </w:tc>
        <w:tc>
          <w:tcPr>
            <w:tcW w:w="9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336317,6</w:t>
            </w:r>
          </w:p>
        </w:tc>
        <w:tc>
          <w:tcPr>
            <w:tcW w:w="9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198089,2</w:t>
            </w:r>
          </w:p>
        </w:tc>
        <w:tc>
          <w:tcPr>
            <w:tcW w:w="9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213888,8</w:t>
            </w:r>
          </w:p>
        </w:tc>
        <w:tc>
          <w:tcPr>
            <w:tcW w:w="9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214438,8</w:t>
            </w:r>
          </w:p>
        </w:tc>
        <w:tc>
          <w:tcPr>
            <w:tcW w:w="9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324857,4</w:t>
            </w:r>
          </w:p>
        </w:tc>
        <w:tc>
          <w:tcPr>
            <w:tcW w:w="9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342967,6</w:t>
            </w:r>
          </w:p>
        </w:tc>
        <w:tc>
          <w:tcPr>
            <w:tcW w:w="95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345167,6</w:t>
            </w:r>
          </w:p>
        </w:tc>
        <w:tc>
          <w:tcPr>
            <w:tcW w:w="95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t>346817,6</w:t>
            </w:r>
          </w:p>
        </w:tc>
        <w:tc>
          <w:tcPr>
            <w:tcW w:w="120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t>Бюджетные средства</w:t>
            </w:r>
          </w:p>
        </w:tc>
      </w:tr>
      <w:tr>
        <w:trPr>
          <w:trHeight w:val="20" w:hRule="atLeast"/>
        </w:trPr>
        <w:tc>
          <w:tcPr>
            <w:tcW w:w="14568" w:type="dxa"/>
            <w:gridSpan w:val="11"/>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Группа проектов «Источники теплоснабжения»</w:t>
            </w:r>
          </w:p>
        </w:tc>
      </w:tr>
      <w:tr>
        <w:trPr>
          <w:trHeight w:val="20" w:hRule="atLeast"/>
        </w:trPr>
        <w:tc>
          <w:tcPr>
            <w:tcW w:w="2042"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xml:space="preserve"> </w:t>
            </w:r>
            <w:r>
              <w:rPr>
                <w:sz w:val="20"/>
                <w:szCs w:val="20"/>
                <w:lang w:eastAsia="ru-RU"/>
              </w:rPr>
              <w:t>001.01.00.000</w:t>
            </w:r>
          </w:p>
        </w:tc>
        <w:tc>
          <w:tcPr>
            <w:tcW w:w="36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Всего стоимость группы проектов</w:t>
            </w:r>
          </w:p>
        </w:tc>
        <w:tc>
          <w:tcPr>
            <w:tcW w:w="9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285215,6</w:t>
            </w:r>
          </w:p>
        </w:tc>
        <w:tc>
          <w:tcPr>
            <w:tcW w:w="9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197539,2</w:t>
            </w:r>
          </w:p>
        </w:tc>
        <w:tc>
          <w:tcPr>
            <w:tcW w:w="9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15249,6</w:t>
            </w:r>
          </w:p>
        </w:tc>
        <w:tc>
          <w:tcPr>
            <w:tcW w:w="9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w:t>
            </w:r>
          </w:p>
        </w:tc>
        <w:tc>
          <w:tcPr>
            <w:tcW w:w="9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82926,8</w:t>
            </w:r>
          </w:p>
        </w:tc>
        <w:tc>
          <w:tcPr>
            <w:tcW w:w="9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w:t>
            </w:r>
          </w:p>
        </w:tc>
        <w:tc>
          <w:tcPr>
            <w:tcW w:w="95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w:t>
            </w:r>
          </w:p>
        </w:tc>
        <w:tc>
          <w:tcPr>
            <w:tcW w:w="95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t>0</w:t>
            </w:r>
          </w:p>
        </w:tc>
        <w:tc>
          <w:tcPr>
            <w:tcW w:w="120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t>Бюджетные средства</w:t>
            </w:r>
          </w:p>
        </w:tc>
      </w:tr>
      <w:tr>
        <w:trPr>
          <w:trHeight w:val="20" w:hRule="atLeast"/>
        </w:trPr>
        <w:tc>
          <w:tcPr>
            <w:tcW w:w="204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r>
          </w:p>
        </w:tc>
        <w:tc>
          <w:tcPr>
            <w:tcW w:w="36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Всего стоимость группы проектов накопленным итогом</w:t>
            </w:r>
          </w:p>
        </w:tc>
        <w:tc>
          <w:tcPr>
            <w:tcW w:w="9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285215,6</w:t>
            </w:r>
          </w:p>
        </w:tc>
        <w:tc>
          <w:tcPr>
            <w:tcW w:w="9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197539,2</w:t>
            </w:r>
          </w:p>
        </w:tc>
        <w:tc>
          <w:tcPr>
            <w:tcW w:w="9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212788,8</w:t>
            </w:r>
          </w:p>
        </w:tc>
        <w:tc>
          <w:tcPr>
            <w:tcW w:w="9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212788,8</w:t>
            </w:r>
          </w:p>
        </w:tc>
        <w:tc>
          <w:tcPr>
            <w:tcW w:w="9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295715,6</w:t>
            </w:r>
          </w:p>
        </w:tc>
        <w:tc>
          <w:tcPr>
            <w:tcW w:w="9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295715,6</w:t>
            </w:r>
          </w:p>
        </w:tc>
        <w:tc>
          <w:tcPr>
            <w:tcW w:w="95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295715,6</w:t>
            </w:r>
          </w:p>
        </w:tc>
        <w:tc>
          <w:tcPr>
            <w:tcW w:w="95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t>295715,6</w:t>
            </w:r>
          </w:p>
        </w:tc>
        <w:tc>
          <w:tcPr>
            <w:tcW w:w="120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t>Бюджетные средства</w:t>
            </w:r>
          </w:p>
        </w:tc>
      </w:tr>
      <w:tr>
        <w:trPr>
          <w:trHeight w:val="20" w:hRule="atLeast"/>
        </w:trPr>
        <w:tc>
          <w:tcPr>
            <w:tcW w:w="14568" w:type="dxa"/>
            <w:gridSpan w:val="11"/>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Подгруппа проектов «Строительство источников тепловой энергии»</w:t>
            </w:r>
          </w:p>
        </w:tc>
      </w:tr>
      <w:tr>
        <w:trPr>
          <w:trHeight w:val="20" w:hRule="atLeast"/>
        </w:trPr>
        <w:tc>
          <w:tcPr>
            <w:tcW w:w="2042"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001.01.01.000</w:t>
            </w:r>
          </w:p>
        </w:tc>
        <w:tc>
          <w:tcPr>
            <w:tcW w:w="36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Всего стоимость группы проектов</w:t>
            </w:r>
          </w:p>
        </w:tc>
        <w:tc>
          <w:tcPr>
            <w:tcW w:w="9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138800,1</w:t>
            </w:r>
          </w:p>
        </w:tc>
        <w:tc>
          <w:tcPr>
            <w:tcW w:w="9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134050,5</w:t>
            </w:r>
          </w:p>
        </w:tc>
        <w:tc>
          <w:tcPr>
            <w:tcW w:w="9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15249,6</w:t>
            </w:r>
          </w:p>
        </w:tc>
        <w:tc>
          <w:tcPr>
            <w:tcW w:w="9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w:t>
            </w:r>
          </w:p>
        </w:tc>
        <w:tc>
          <w:tcPr>
            <w:tcW w:w="9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w:t>
            </w:r>
          </w:p>
        </w:tc>
        <w:tc>
          <w:tcPr>
            <w:tcW w:w="9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w:t>
            </w:r>
          </w:p>
        </w:tc>
        <w:tc>
          <w:tcPr>
            <w:tcW w:w="95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w:t>
            </w:r>
          </w:p>
        </w:tc>
        <w:tc>
          <w:tcPr>
            <w:tcW w:w="95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t>0</w:t>
            </w:r>
          </w:p>
        </w:tc>
        <w:tc>
          <w:tcPr>
            <w:tcW w:w="120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t>Бюджетные средства</w:t>
            </w:r>
          </w:p>
        </w:tc>
      </w:tr>
      <w:tr>
        <w:trPr>
          <w:trHeight w:val="20" w:hRule="atLeast"/>
        </w:trPr>
        <w:tc>
          <w:tcPr>
            <w:tcW w:w="204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r>
          </w:p>
        </w:tc>
        <w:tc>
          <w:tcPr>
            <w:tcW w:w="36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Всего стоимость группы проектов накопленным итогом</w:t>
            </w:r>
          </w:p>
        </w:tc>
        <w:tc>
          <w:tcPr>
            <w:tcW w:w="9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138800,1</w:t>
            </w:r>
          </w:p>
        </w:tc>
        <w:tc>
          <w:tcPr>
            <w:tcW w:w="9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134050,5</w:t>
            </w:r>
          </w:p>
        </w:tc>
        <w:tc>
          <w:tcPr>
            <w:tcW w:w="9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149300,1</w:t>
            </w:r>
          </w:p>
        </w:tc>
        <w:tc>
          <w:tcPr>
            <w:tcW w:w="9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149300,1</w:t>
            </w:r>
          </w:p>
        </w:tc>
        <w:tc>
          <w:tcPr>
            <w:tcW w:w="9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149300,1</w:t>
            </w:r>
          </w:p>
        </w:tc>
        <w:tc>
          <w:tcPr>
            <w:tcW w:w="9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149300,1</w:t>
            </w:r>
          </w:p>
        </w:tc>
        <w:tc>
          <w:tcPr>
            <w:tcW w:w="95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149300,1</w:t>
            </w:r>
          </w:p>
        </w:tc>
        <w:tc>
          <w:tcPr>
            <w:tcW w:w="95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t>149300,1</w:t>
            </w:r>
          </w:p>
        </w:tc>
        <w:tc>
          <w:tcPr>
            <w:tcW w:w="120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t>Бюджетные средства</w:t>
            </w:r>
          </w:p>
        </w:tc>
      </w:tr>
      <w:tr>
        <w:trPr>
          <w:trHeight w:val="20" w:hRule="atLeast"/>
        </w:trPr>
        <w:tc>
          <w:tcPr>
            <w:tcW w:w="20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001.01.01.001</w:t>
            </w:r>
          </w:p>
        </w:tc>
        <w:tc>
          <w:tcPr>
            <w:tcW w:w="36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sz w:val="20"/>
                <w:szCs w:val="20"/>
                <w:lang w:eastAsia="ru-RU"/>
              </w:rPr>
            </w:pPr>
            <w:r>
              <w:rPr>
                <w:sz w:val="20"/>
                <w:szCs w:val="20"/>
                <w:lang w:eastAsia="ru-RU"/>
              </w:rPr>
              <w:t>Строительство котельной по ул.Дзержинского, 14 в пгт.Октябрьское. Вывод из эксплуатации котельной № 2 по ул.Пионерская, 17Б и котельной № 6 по ул.Дзержинского, 2Б с переключением нагрузки на новую котельную по ул.Дзержинского, 14.</w:t>
            </w:r>
          </w:p>
        </w:tc>
        <w:tc>
          <w:tcPr>
            <w:tcW w:w="9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123550,5</w:t>
            </w:r>
          </w:p>
        </w:tc>
        <w:tc>
          <w:tcPr>
            <w:tcW w:w="9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123550,5</w:t>
            </w:r>
          </w:p>
        </w:tc>
        <w:tc>
          <w:tcPr>
            <w:tcW w:w="9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w:t>
            </w:r>
          </w:p>
        </w:tc>
        <w:tc>
          <w:tcPr>
            <w:tcW w:w="9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w:t>
            </w:r>
          </w:p>
        </w:tc>
        <w:tc>
          <w:tcPr>
            <w:tcW w:w="9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w:t>
            </w:r>
          </w:p>
        </w:tc>
        <w:tc>
          <w:tcPr>
            <w:tcW w:w="9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w:t>
            </w:r>
          </w:p>
        </w:tc>
        <w:tc>
          <w:tcPr>
            <w:tcW w:w="95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w:t>
            </w:r>
          </w:p>
        </w:tc>
        <w:tc>
          <w:tcPr>
            <w:tcW w:w="95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t> </w:t>
            </w:r>
          </w:p>
        </w:tc>
        <w:tc>
          <w:tcPr>
            <w:tcW w:w="120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t>Бюджетные средства</w:t>
            </w:r>
          </w:p>
        </w:tc>
      </w:tr>
      <w:tr>
        <w:trPr>
          <w:trHeight w:val="20" w:hRule="atLeast"/>
        </w:trPr>
        <w:tc>
          <w:tcPr>
            <w:tcW w:w="20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001.01.01.002</w:t>
            </w:r>
          </w:p>
        </w:tc>
        <w:tc>
          <w:tcPr>
            <w:tcW w:w="36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sz w:val="20"/>
                <w:szCs w:val="20"/>
                <w:lang w:eastAsia="ru-RU"/>
              </w:rPr>
            </w:pPr>
            <w:r>
              <w:rPr>
                <w:sz w:val="20"/>
                <w:szCs w:val="20"/>
                <w:lang w:eastAsia="ru-RU"/>
              </w:rPr>
              <w:t>Децентрализация системы теплоснабжения пгт.Октябрьское путем перехода на автономные источники теплоснабжения, отказ от эксплуатации тепловых сетей, вывод котельной № 8 пгт. Октябрьское, ул.50 лет Победы, 38а из эксплуатации</w:t>
            </w:r>
          </w:p>
        </w:tc>
        <w:tc>
          <w:tcPr>
            <w:tcW w:w="9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15249,6</w:t>
            </w:r>
          </w:p>
        </w:tc>
        <w:tc>
          <w:tcPr>
            <w:tcW w:w="9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w:t>
            </w:r>
          </w:p>
        </w:tc>
        <w:tc>
          <w:tcPr>
            <w:tcW w:w="9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15249,6</w:t>
            </w:r>
          </w:p>
        </w:tc>
        <w:tc>
          <w:tcPr>
            <w:tcW w:w="9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w:t>
            </w:r>
          </w:p>
        </w:tc>
        <w:tc>
          <w:tcPr>
            <w:tcW w:w="9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w:t>
            </w:r>
          </w:p>
        </w:tc>
        <w:tc>
          <w:tcPr>
            <w:tcW w:w="9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w:t>
            </w:r>
          </w:p>
        </w:tc>
        <w:tc>
          <w:tcPr>
            <w:tcW w:w="95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w:t>
            </w:r>
          </w:p>
        </w:tc>
        <w:tc>
          <w:tcPr>
            <w:tcW w:w="95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t> </w:t>
            </w:r>
          </w:p>
        </w:tc>
        <w:tc>
          <w:tcPr>
            <w:tcW w:w="120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t>Бюджетные средства</w:t>
            </w:r>
          </w:p>
        </w:tc>
      </w:tr>
      <w:tr>
        <w:trPr>
          <w:trHeight w:val="20" w:hRule="atLeast"/>
        </w:trPr>
        <w:tc>
          <w:tcPr>
            <w:tcW w:w="20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001.01.01.003</w:t>
            </w:r>
          </w:p>
        </w:tc>
        <w:tc>
          <w:tcPr>
            <w:tcW w:w="36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sz w:val="20"/>
                <w:szCs w:val="20"/>
                <w:lang w:eastAsia="ru-RU"/>
              </w:rPr>
            </w:pPr>
            <w:r>
              <w:rPr>
                <w:sz w:val="20"/>
                <w:szCs w:val="20"/>
                <w:lang w:eastAsia="ru-RU"/>
              </w:rPr>
              <w:t>Децентрализация теплоснабжения жилых домов № 1, 5, 6, 7, 9 (кв.2), 11, 12 , 18, 24, 30а по ул.Урманной</w:t>
            </w:r>
          </w:p>
        </w:tc>
        <w:tc>
          <w:tcPr>
            <w:tcW w:w="9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w:t>
            </w:r>
          </w:p>
        </w:tc>
        <w:tc>
          <w:tcPr>
            <w:tcW w:w="9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5500</w:t>
            </w:r>
          </w:p>
        </w:tc>
        <w:tc>
          <w:tcPr>
            <w:tcW w:w="9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w:t>
            </w:r>
          </w:p>
        </w:tc>
        <w:tc>
          <w:tcPr>
            <w:tcW w:w="9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w:t>
            </w:r>
          </w:p>
        </w:tc>
        <w:tc>
          <w:tcPr>
            <w:tcW w:w="9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w:t>
            </w:r>
          </w:p>
        </w:tc>
        <w:tc>
          <w:tcPr>
            <w:tcW w:w="9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w:t>
            </w:r>
          </w:p>
        </w:tc>
        <w:tc>
          <w:tcPr>
            <w:tcW w:w="95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w:t>
            </w:r>
          </w:p>
        </w:tc>
        <w:tc>
          <w:tcPr>
            <w:tcW w:w="95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t> </w:t>
            </w:r>
          </w:p>
        </w:tc>
        <w:tc>
          <w:tcPr>
            <w:tcW w:w="120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t>Бюджетные средства</w:t>
            </w:r>
          </w:p>
        </w:tc>
      </w:tr>
      <w:tr>
        <w:trPr>
          <w:trHeight w:val="20" w:hRule="atLeast"/>
        </w:trPr>
        <w:tc>
          <w:tcPr>
            <w:tcW w:w="20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001.01.01.004</w:t>
            </w:r>
          </w:p>
        </w:tc>
        <w:tc>
          <w:tcPr>
            <w:tcW w:w="36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sz w:val="20"/>
                <w:szCs w:val="20"/>
                <w:lang w:eastAsia="ru-RU"/>
              </w:rPr>
            </w:pPr>
            <w:r>
              <w:rPr>
                <w:sz w:val="20"/>
                <w:szCs w:val="20"/>
                <w:lang w:eastAsia="ru-RU"/>
              </w:rPr>
              <w:t>Децентрализация теплоснабжения жилых домов № 12, 14, 19, 77, 80 по ул.Чапаева</w:t>
            </w:r>
          </w:p>
        </w:tc>
        <w:tc>
          <w:tcPr>
            <w:tcW w:w="9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w:t>
            </w:r>
          </w:p>
        </w:tc>
        <w:tc>
          <w:tcPr>
            <w:tcW w:w="9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3500</w:t>
            </w:r>
          </w:p>
        </w:tc>
        <w:tc>
          <w:tcPr>
            <w:tcW w:w="9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w:t>
            </w:r>
          </w:p>
        </w:tc>
        <w:tc>
          <w:tcPr>
            <w:tcW w:w="9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w:t>
            </w:r>
          </w:p>
        </w:tc>
        <w:tc>
          <w:tcPr>
            <w:tcW w:w="9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w:t>
            </w:r>
          </w:p>
        </w:tc>
        <w:tc>
          <w:tcPr>
            <w:tcW w:w="9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w:t>
            </w:r>
          </w:p>
        </w:tc>
        <w:tc>
          <w:tcPr>
            <w:tcW w:w="95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w:t>
            </w:r>
          </w:p>
        </w:tc>
        <w:tc>
          <w:tcPr>
            <w:tcW w:w="95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t> </w:t>
            </w:r>
          </w:p>
        </w:tc>
        <w:tc>
          <w:tcPr>
            <w:tcW w:w="120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t>Бюджетные средства</w:t>
            </w:r>
          </w:p>
        </w:tc>
      </w:tr>
      <w:tr>
        <w:trPr>
          <w:trHeight w:val="20" w:hRule="atLeast"/>
        </w:trPr>
        <w:tc>
          <w:tcPr>
            <w:tcW w:w="20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001.01.01.005</w:t>
            </w:r>
          </w:p>
        </w:tc>
        <w:tc>
          <w:tcPr>
            <w:tcW w:w="36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sz w:val="20"/>
                <w:szCs w:val="20"/>
                <w:lang w:eastAsia="ru-RU"/>
              </w:rPr>
            </w:pPr>
            <w:r>
              <w:rPr>
                <w:sz w:val="20"/>
                <w:szCs w:val="20"/>
                <w:lang w:eastAsia="ru-RU"/>
              </w:rPr>
              <w:t>Децентрализация теплоснабжения жилых домов № 10 (кв. 3), 12 по ул.Победы. Вывод из ксплуатаци тепловой сети протяженностью 191 м, диаметр 76мм.</w:t>
            </w:r>
          </w:p>
        </w:tc>
        <w:tc>
          <w:tcPr>
            <w:tcW w:w="9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w:t>
            </w:r>
          </w:p>
        </w:tc>
        <w:tc>
          <w:tcPr>
            <w:tcW w:w="9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1500</w:t>
            </w:r>
          </w:p>
        </w:tc>
        <w:tc>
          <w:tcPr>
            <w:tcW w:w="9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w:t>
            </w:r>
          </w:p>
        </w:tc>
        <w:tc>
          <w:tcPr>
            <w:tcW w:w="9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w:t>
            </w:r>
          </w:p>
        </w:tc>
        <w:tc>
          <w:tcPr>
            <w:tcW w:w="9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w:t>
            </w:r>
          </w:p>
        </w:tc>
        <w:tc>
          <w:tcPr>
            <w:tcW w:w="9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w:t>
            </w:r>
          </w:p>
        </w:tc>
        <w:tc>
          <w:tcPr>
            <w:tcW w:w="95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w:t>
            </w:r>
          </w:p>
        </w:tc>
        <w:tc>
          <w:tcPr>
            <w:tcW w:w="95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t> </w:t>
            </w:r>
          </w:p>
        </w:tc>
        <w:tc>
          <w:tcPr>
            <w:tcW w:w="120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t>Бюджетные средства</w:t>
            </w:r>
          </w:p>
        </w:tc>
      </w:tr>
      <w:tr>
        <w:trPr>
          <w:trHeight w:val="20" w:hRule="atLeast"/>
        </w:trPr>
        <w:tc>
          <w:tcPr>
            <w:tcW w:w="14568" w:type="dxa"/>
            <w:gridSpan w:val="11"/>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Подгруппа проектов «Техническое перевооружение источников тепловой энергии»</w:t>
            </w:r>
          </w:p>
        </w:tc>
      </w:tr>
      <w:tr>
        <w:trPr>
          <w:trHeight w:val="20" w:hRule="atLeast"/>
        </w:trPr>
        <w:tc>
          <w:tcPr>
            <w:tcW w:w="2042"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001.01.02.000</w:t>
            </w:r>
          </w:p>
        </w:tc>
        <w:tc>
          <w:tcPr>
            <w:tcW w:w="36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Всего стоимость группы проектов</w:t>
            </w:r>
          </w:p>
        </w:tc>
        <w:tc>
          <w:tcPr>
            <w:tcW w:w="9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146415,5</w:t>
            </w:r>
          </w:p>
        </w:tc>
        <w:tc>
          <w:tcPr>
            <w:tcW w:w="9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63488,7</w:t>
            </w:r>
          </w:p>
        </w:tc>
        <w:tc>
          <w:tcPr>
            <w:tcW w:w="9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w:t>
            </w:r>
          </w:p>
        </w:tc>
        <w:tc>
          <w:tcPr>
            <w:tcW w:w="9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w:t>
            </w:r>
          </w:p>
        </w:tc>
        <w:tc>
          <w:tcPr>
            <w:tcW w:w="9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82926,8</w:t>
            </w:r>
          </w:p>
        </w:tc>
        <w:tc>
          <w:tcPr>
            <w:tcW w:w="9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w:t>
            </w:r>
          </w:p>
        </w:tc>
        <w:tc>
          <w:tcPr>
            <w:tcW w:w="95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w:t>
            </w:r>
          </w:p>
        </w:tc>
        <w:tc>
          <w:tcPr>
            <w:tcW w:w="95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t>0</w:t>
            </w:r>
          </w:p>
        </w:tc>
        <w:tc>
          <w:tcPr>
            <w:tcW w:w="120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t>Бюджетные средства</w:t>
            </w:r>
          </w:p>
        </w:tc>
      </w:tr>
      <w:tr>
        <w:trPr>
          <w:trHeight w:val="20" w:hRule="atLeast"/>
        </w:trPr>
        <w:tc>
          <w:tcPr>
            <w:tcW w:w="204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r>
          </w:p>
        </w:tc>
        <w:tc>
          <w:tcPr>
            <w:tcW w:w="36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Всего стоимость группы проектов накопленным итогом</w:t>
            </w:r>
          </w:p>
        </w:tc>
        <w:tc>
          <w:tcPr>
            <w:tcW w:w="9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146415,5</w:t>
            </w:r>
          </w:p>
        </w:tc>
        <w:tc>
          <w:tcPr>
            <w:tcW w:w="9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63488,7</w:t>
            </w:r>
          </w:p>
        </w:tc>
        <w:tc>
          <w:tcPr>
            <w:tcW w:w="9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63488,7</w:t>
            </w:r>
          </w:p>
        </w:tc>
        <w:tc>
          <w:tcPr>
            <w:tcW w:w="9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63488,7</w:t>
            </w:r>
          </w:p>
        </w:tc>
        <w:tc>
          <w:tcPr>
            <w:tcW w:w="9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146415,5</w:t>
            </w:r>
          </w:p>
        </w:tc>
        <w:tc>
          <w:tcPr>
            <w:tcW w:w="9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146415,5</w:t>
            </w:r>
          </w:p>
        </w:tc>
        <w:tc>
          <w:tcPr>
            <w:tcW w:w="95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146415,5</w:t>
            </w:r>
          </w:p>
        </w:tc>
        <w:tc>
          <w:tcPr>
            <w:tcW w:w="95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t>146415,5</w:t>
            </w:r>
          </w:p>
        </w:tc>
        <w:tc>
          <w:tcPr>
            <w:tcW w:w="120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t>Бюджетные средства</w:t>
            </w:r>
          </w:p>
        </w:tc>
      </w:tr>
      <w:tr>
        <w:trPr>
          <w:trHeight w:val="20" w:hRule="atLeast"/>
        </w:trPr>
        <w:tc>
          <w:tcPr>
            <w:tcW w:w="20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001.01.02.001</w:t>
            </w:r>
          </w:p>
        </w:tc>
        <w:tc>
          <w:tcPr>
            <w:tcW w:w="36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sz w:val="20"/>
                <w:szCs w:val="20"/>
                <w:lang w:eastAsia="ru-RU"/>
              </w:rPr>
            </w:pPr>
            <w:r>
              <w:rPr>
                <w:sz w:val="20"/>
                <w:szCs w:val="20"/>
                <w:lang w:eastAsia="ru-RU"/>
              </w:rPr>
              <w:t>Капитальный ремонт (техническое перевооружение) котельной № 12 по ул.Медицинская, 3К в пгт.Октябрьское в части замены двух котлов на новые с увеличением установленной мощности с автоматизацией технологического процесса с переключением нагрузки на котельную № 12 по ул.Медицинская, 3К котельной № 7 по ул.Медицинская, 3Б и выводом ее из эксплуатации.</w:t>
            </w:r>
          </w:p>
        </w:tc>
        <w:tc>
          <w:tcPr>
            <w:tcW w:w="9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63488,7</w:t>
            </w:r>
          </w:p>
        </w:tc>
        <w:tc>
          <w:tcPr>
            <w:tcW w:w="9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63488,7</w:t>
            </w:r>
          </w:p>
        </w:tc>
        <w:tc>
          <w:tcPr>
            <w:tcW w:w="9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w:t>
            </w:r>
          </w:p>
        </w:tc>
        <w:tc>
          <w:tcPr>
            <w:tcW w:w="9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w:t>
            </w:r>
          </w:p>
        </w:tc>
        <w:tc>
          <w:tcPr>
            <w:tcW w:w="9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w:t>
            </w:r>
          </w:p>
        </w:tc>
        <w:tc>
          <w:tcPr>
            <w:tcW w:w="9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w:t>
            </w:r>
          </w:p>
        </w:tc>
        <w:tc>
          <w:tcPr>
            <w:tcW w:w="95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w:t>
            </w:r>
          </w:p>
        </w:tc>
        <w:tc>
          <w:tcPr>
            <w:tcW w:w="95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t> </w:t>
            </w:r>
          </w:p>
        </w:tc>
        <w:tc>
          <w:tcPr>
            <w:tcW w:w="120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t>Бюджетные средства</w:t>
            </w:r>
          </w:p>
        </w:tc>
      </w:tr>
      <w:tr>
        <w:trPr>
          <w:trHeight w:val="20" w:hRule="atLeast"/>
        </w:trPr>
        <w:tc>
          <w:tcPr>
            <w:tcW w:w="20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001.01.02.002</w:t>
            </w:r>
          </w:p>
        </w:tc>
        <w:tc>
          <w:tcPr>
            <w:tcW w:w="36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sz w:val="20"/>
                <w:szCs w:val="20"/>
                <w:lang w:eastAsia="ru-RU"/>
              </w:rPr>
            </w:pPr>
            <w:r>
              <w:rPr>
                <w:sz w:val="20"/>
                <w:szCs w:val="20"/>
                <w:lang w:eastAsia="ru-RU"/>
              </w:rPr>
              <w:t>Капитальный ремонт (техническое перевооружение) котельной № 1 по ул.Сенькина, 46б в пгт.Октябрьское</w:t>
            </w:r>
          </w:p>
        </w:tc>
        <w:tc>
          <w:tcPr>
            <w:tcW w:w="9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82926,8</w:t>
            </w:r>
          </w:p>
        </w:tc>
        <w:tc>
          <w:tcPr>
            <w:tcW w:w="9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w:t>
            </w:r>
          </w:p>
        </w:tc>
        <w:tc>
          <w:tcPr>
            <w:tcW w:w="9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w:t>
            </w:r>
          </w:p>
        </w:tc>
        <w:tc>
          <w:tcPr>
            <w:tcW w:w="9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w:t>
            </w:r>
          </w:p>
        </w:tc>
        <w:tc>
          <w:tcPr>
            <w:tcW w:w="9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82926,8</w:t>
            </w:r>
          </w:p>
        </w:tc>
        <w:tc>
          <w:tcPr>
            <w:tcW w:w="9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w:t>
            </w:r>
          </w:p>
        </w:tc>
        <w:tc>
          <w:tcPr>
            <w:tcW w:w="95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w:t>
            </w:r>
          </w:p>
        </w:tc>
        <w:tc>
          <w:tcPr>
            <w:tcW w:w="95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t> </w:t>
            </w:r>
          </w:p>
        </w:tc>
        <w:tc>
          <w:tcPr>
            <w:tcW w:w="120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t>Бюджетные средства</w:t>
            </w:r>
          </w:p>
        </w:tc>
      </w:tr>
      <w:tr>
        <w:trPr>
          <w:trHeight w:val="20" w:hRule="atLeast"/>
        </w:trPr>
        <w:tc>
          <w:tcPr>
            <w:tcW w:w="14568" w:type="dxa"/>
            <w:gridSpan w:val="11"/>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Группа проектов «Тепловые сети и сооружения на них»</w:t>
            </w:r>
          </w:p>
        </w:tc>
      </w:tr>
      <w:tr>
        <w:trPr>
          <w:trHeight w:val="20" w:hRule="atLeast"/>
        </w:trPr>
        <w:tc>
          <w:tcPr>
            <w:tcW w:w="2042"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xml:space="preserve"> </w:t>
            </w:r>
            <w:r>
              <w:rPr>
                <w:sz w:val="20"/>
                <w:szCs w:val="20"/>
                <w:lang w:eastAsia="ru-RU"/>
              </w:rPr>
              <w:t>001.02.00.000</w:t>
            </w:r>
          </w:p>
        </w:tc>
        <w:tc>
          <w:tcPr>
            <w:tcW w:w="36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Всего стоимость группы проектов</w:t>
            </w:r>
          </w:p>
        </w:tc>
        <w:tc>
          <w:tcPr>
            <w:tcW w:w="9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51102</w:t>
            </w:r>
          </w:p>
        </w:tc>
        <w:tc>
          <w:tcPr>
            <w:tcW w:w="9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550</w:t>
            </w:r>
          </w:p>
        </w:tc>
        <w:tc>
          <w:tcPr>
            <w:tcW w:w="9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550</w:t>
            </w:r>
          </w:p>
        </w:tc>
        <w:tc>
          <w:tcPr>
            <w:tcW w:w="9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550</w:t>
            </w:r>
          </w:p>
        </w:tc>
        <w:tc>
          <w:tcPr>
            <w:tcW w:w="9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27491,8</w:t>
            </w:r>
          </w:p>
        </w:tc>
        <w:tc>
          <w:tcPr>
            <w:tcW w:w="9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18110,2</w:t>
            </w:r>
          </w:p>
        </w:tc>
        <w:tc>
          <w:tcPr>
            <w:tcW w:w="95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2200</w:t>
            </w:r>
          </w:p>
        </w:tc>
        <w:tc>
          <w:tcPr>
            <w:tcW w:w="95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t>1650</w:t>
            </w:r>
          </w:p>
        </w:tc>
        <w:tc>
          <w:tcPr>
            <w:tcW w:w="120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t>Бюджетные средства</w:t>
            </w:r>
          </w:p>
        </w:tc>
      </w:tr>
      <w:tr>
        <w:trPr>
          <w:trHeight w:val="20" w:hRule="atLeast"/>
        </w:trPr>
        <w:tc>
          <w:tcPr>
            <w:tcW w:w="204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r>
          </w:p>
        </w:tc>
        <w:tc>
          <w:tcPr>
            <w:tcW w:w="36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Всего стоимость группы проектов накопленным итогом</w:t>
            </w:r>
          </w:p>
        </w:tc>
        <w:tc>
          <w:tcPr>
            <w:tcW w:w="9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51102</w:t>
            </w:r>
          </w:p>
        </w:tc>
        <w:tc>
          <w:tcPr>
            <w:tcW w:w="9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550</w:t>
            </w:r>
          </w:p>
        </w:tc>
        <w:tc>
          <w:tcPr>
            <w:tcW w:w="9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1100</w:t>
            </w:r>
          </w:p>
        </w:tc>
        <w:tc>
          <w:tcPr>
            <w:tcW w:w="9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1650</w:t>
            </w:r>
          </w:p>
        </w:tc>
        <w:tc>
          <w:tcPr>
            <w:tcW w:w="9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29141,8</w:t>
            </w:r>
          </w:p>
        </w:tc>
        <w:tc>
          <w:tcPr>
            <w:tcW w:w="9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47252</w:t>
            </w:r>
          </w:p>
        </w:tc>
        <w:tc>
          <w:tcPr>
            <w:tcW w:w="95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49452</w:t>
            </w:r>
          </w:p>
        </w:tc>
        <w:tc>
          <w:tcPr>
            <w:tcW w:w="95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t>51102</w:t>
            </w:r>
          </w:p>
        </w:tc>
        <w:tc>
          <w:tcPr>
            <w:tcW w:w="120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t>Бюджетные средства</w:t>
            </w:r>
          </w:p>
        </w:tc>
      </w:tr>
      <w:tr>
        <w:trPr>
          <w:trHeight w:val="20" w:hRule="atLeast"/>
        </w:trPr>
        <w:tc>
          <w:tcPr>
            <w:tcW w:w="14568" w:type="dxa"/>
            <w:gridSpan w:val="11"/>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 xml:space="preserve">Подгруппа проектов «Реконструкция тепловых сетей для обеспечения надежности теплоснабжения потребителей, </w:t>
            </w:r>
          </w:p>
          <w:p>
            <w:pPr>
              <w:pStyle w:val="Normal"/>
              <w:jc w:val="center"/>
              <w:rPr>
                <w:sz w:val="20"/>
                <w:szCs w:val="20"/>
                <w:lang w:eastAsia="ru-RU"/>
              </w:rPr>
            </w:pPr>
            <w:r>
              <w:rPr>
                <w:sz w:val="20"/>
                <w:szCs w:val="20"/>
                <w:lang w:eastAsia="ru-RU"/>
              </w:rPr>
              <w:t>в том числе в связи с исчерпанием эксплуатационного ресурса»</w:t>
            </w:r>
          </w:p>
        </w:tc>
      </w:tr>
      <w:tr>
        <w:trPr>
          <w:trHeight w:val="20" w:hRule="atLeast"/>
        </w:trPr>
        <w:tc>
          <w:tcPr>
            <w:tcW w:w="2042"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001.02.02.000</w:t>
            </w:r>
          </w:p>
        </w:tc>
        <w:tc>
          <w:tcPr>
            <w:tcW w:w="36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Всего стоимость группы проектов</w:t>
            </w:r>
          </w:p>
        </w:tc>
        <w:tc>
          <w:tcPr>
            <w:tcW w:w="9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51102</w:t>
            </w:r>
          </w:p>
        </w:tc>
        <w:tc>
          <w:tcPr>
            <w:tcW w:w="9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550</w:t>
            </w:r>
          </w:p>
        </w:tc>
        <w:tc>
          <w:tcPr>
            <w:tcW w:w="9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550</w:t>
            </w:r>
          </w:p>
        </w:tc>
        <w:tc>
          <w:tcPr>
            <w:tcW w:w="9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550</w:t>
            </w:r>
          </w:p>
        </w:tc>
        <w:tc>
          <w:tcPr>
            <w:tcW w:w="9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27491,8</w:t>
            </w:r>
          </w:p>
        </w:tc>
        <w:tc>
          <w:tcPr>
            <w:tcW w:w="9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18110,2</w:t>
            </w:r>
          </w:p>
        </w:tc>
        <w:tc>
          <w:tcPr>
            <w:tcW w:w="95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2200</w:t>
            </w:r>
          </w:p>
        </w:tc>
        <w:tc>
          <w:tcPr>
            <w:tcW w:w="95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t>1650</w:t>
            </w:r>
          </w:p>
        </w:tc>
        <w:tc>
          <w:tcPr>
            <w:tcW w:w="120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t>Бюджетные средства</w:t>
            </w:r>
          </w:p>
        </w:tc>
      </w:tr>
      <w:tr>
        <w:trPr>
          <w:trHeight w:val="20" w:hRule="atLeast"/>
        </w:trPr>
        <w:tc>
          <w:tcPr>
            <w:tcW w:w="204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r>
          </w:p>
        </w:tc>
        <w:tc>
          <w:tcPr>
            <w:tcW w:w="36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Всего стоимость группы проектов накопленным итогом</w:t>
            </w:r>
          </w:p>
        </w:tc>
        <w:tc>
          <w:tcPr>
            <w:tcW w:w="9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51102</w:t>
            </w:r>
          </w:p>
        </w:tc>
        <w:tc>
          <w:tcPr>
            <w:tcW w:w="9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550</w:t>
            </w:r>
          </w:p>
        </w:tc>
        <w:tc>
          <w:tcPr>
            <w:tcW w:w="9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1100</w:t>
            </w:r>
          </w:p>
        </w:tc>
        <w:tc>
          <w:tcPr>
            <w:tcW w:w="9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1650</w:t>
            </w:r>
          </w:p>
        </w:tc>
        <w:tc>
          <w:tcPr>
            <w:tcW w:w="9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29141,8</w:t>
            </w:r>
          </w:p>
        </w:tc>
        <w:tc>
          <w:tcPr>
            <w:tcW w:w="9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47252</w:t>
            </w:r>
          </w:p>
        </w:tc>
        <w:tc>
          <w:tcPr>
            <w:tcW w:w="95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49452</w:t>
            </w:r>
          </w:p>
        </w:tc>
        <w:tc>
          <w:tcPr>
            <w:tcW w:w="95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t>51102</w:t>
            </w:r>
          </w:p>
        </w:tc>
        <w:tc>
          <w:tcPr>
            <w:tcW w:w="120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t>Бюджетные средства</w:t>
            </w:r>
          </w:p>
        </w:tc>
      </w:tr>
      <w:tr>
        <w:trPr>
          <w:trHeight w:val="20" w:hRule="atLeast"/>
        </w:trPr>
        <w:tc>
          <w:tcPr>
            <w:tcW w:w="20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001.02.02.001</w:t>
            </w:r>
          </w:p>
        </w:tc>
        <w:tc>
          <w:tcPr>
            <w:tcW w:w="36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sz w:val="20"/>
                <w:szCs w:val="20"/>
                <w:lang w:eastAsia="ru-RU"/>
              </w:rPr>
            </w:pPr>
            <w:r>
              <w:rPr>
                <w:sz w:val="20"/>
                <w:szCs w:val="20"/>
                <w:lang w:eastAsia="ru-RU"/>
              </w:rPr>
              <w:t>Реконструкция (капитальный ремонт) сетей тепло-, водоснабжения по ул.Калинина, ул.Ленина в пгт.Октябрьское</w:t>
            </w:r>
          </w:p>
        </w:tc>
        <w:tc>
          <w:tcPr>
            <w:tcW w:w="9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26941,8</w:t>
            </w:r>
          </w:p>
        </w:tc>
        <w:tc>
          <w:tcPr>
            <w:tcW w:w="9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w:t>
            </w:r>
          </w:p>
        </w:tc>
        <w:tc>
          <w:tcPr>
            <w:tcW w:w="9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w:t>
            </w:r>
          </w:p>
        </w:tc>
        <w:tc>
          <w:tcPr>
            <w:tcW w:w="9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w:t>
            </w:r>
          </w:p>
        </w:tc>
        <w:tc>
          <w:tcPr>
            <w:tcW w:w="9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26941,8</w:t>
            </w:r>
          </w:p>
        </w:tc>
        <w:tc>
          <w:tcPr>
            <w:tcW w:w="9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w:t>
            </w:r>
          </w:p>
        </w:tc>
        <w:tc>
          <w:tcPr>
            <w:tcW w:w="95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w:t>
            </w:r>
          </w:p>
        </w:tc>
        <w:tc>
          <w:tcPr>
            <w:tcW w:w="95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t> </w:t>
            </w:r>
          </w:p>
        </w:tc>
        <w:tc>
          <w:tcPr>
            <w:tcW w:w="120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t>Бюджетные средства</w:t>
            </w:r>
          </w:p>
        </w:tc>
      </w:tr>
      <w:tr>
        <w:trPr>
          <w:trHeight w:val="20" w:hRule="atLeast"/>
        </w:trPr>
        <w:tc>
          <w:tcPr>
            <w:tcW w:w="20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001.02.02.002</w:t>
            </w:r>
          </w:p>
        </w:tc>
        <w:tc>
          <w:tcPr>
            <w:tcW w:w="36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sz w:val="20"/>
                <w:szCs w:val="20"/>
                <w:lang w:eastAsia="ru-RU"/>
              </w:rPr>
            </w:pPr>
            <w:r>
              <w:rPr>
                <w:sz w:val="20"/>
                <w:szCs w:val="20"/>
                <w:lang w:eastAsia="ru-RU"/>
              </w:rPr>
              <w:t>Реконструкция (капитальный ремонт) сетей тепло-, водоснабжения по ул.Чапаева в пгт.Октябрьское</w:t>
            </w:r>
          </w:p>
        </w:tc>
        <w:tc>
          <w:tcPr>
            <w:tcW w:w="9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17560,2</w:t>
            </w:r>
          </w:p>
        </w:tc>
        <w:tc>
          <w:tcPr>
            <w:tcW w:w="9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w:t>
            </w:r>
          </w:p>
        </w:tc>
        <w:tc>
          <w:tcPr>
            <w:tcW w:w="9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w:t>
            </w:r>
          </w:p>
        </w:tc>
        <w:tc>
          <w:tcPr>
            <w:tcW w:w="9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w:t>
            </w:r>
          </w:p>
        </w:tc>
        <w:tc>
          <w:tcPr>
            <w:tcW w:w="9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w:t>
            </w:r>
          </w:p>
        </w:tc>
        <w:tc>
          <w:tcPr>
            <w:tcW w:w="9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17560,2</w:t>
            </w:r>
          </w:p>
        </w:tc>
        <w:tc>
          <w:tcPr>
            <w:tcW w:w="95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w:t>
            </w:r>
          </w:p>
        </w:tc>
        <w:tc>
          <w:tcPr>
            <w:tcW w:w="95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t> </w:t>
            </w:r>
          </w:p>
        </w:tc>
        <w:tc>
          <w:tcPr>
            <w:tcW w:w="120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t>Бюджетные средства</w:t>
            </w:r>
          </w:p>
        </w:tc>
      </w:tr>
      <w:tr>
        <w:trPr>
          <w:trHeight w:val="20" w:hRule="atLeast"/>
        </w:trPr>
        <w:tc>
          <w:tcPr>
            <w:tcW w:w="20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001.02.02.003</w:t>
            </w:r>
          </w:p>
        </w:tc>
        <w:tc>
          <w:tcPr>
            <w:tcW w:w="36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sz w:val="20"/>
                <w:szCs w:val="20"/>
                <w:lang w:eastAsia="ru-RU"/>
              </w:rPr>
            </w:pPr>
            <w:r>
              <w:rPr>
                <w:sz w:val="20"/>
                <w:szCs w:val="20"/>
                <w:lang w:eastAsia="ru-RU"/>
              </w:rPr>
              <w:t>Поэтапная замена изношенных сетей теплоснабжения, ремонт и замена запорной арматуры</w:t>
            </w:r>
          </w:p>
        </w:tc>
        <w:tc>
          <w:tcPr>
            <w:tcW w:w="9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6600</w:t>
            </w:r>
          </w:p>
        </w:tc>
        <w:tc>
          <w:tcPr>
            <w:tcW w:w="9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550</w:t>
            </w:r>
          </w:p>
        </w:tc>
        <w:tc>
          <w:tcPr>
            <w:tcW w:w="9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550</w:t>
            </w:r>
          </w:p>
        </w:tc>
        <w:tc>
          <w:tcPr>
            <w:tcW w:w="9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550</w:t>
            </w:r>
          </w:p>
        </w:tc>
        <w:tc>
          <w:tcPr>
            <w:tcW w:w="9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550</w:t>
            </w:r>
          </w:p>
        </w:tc>
        <w:tc>
          <w:tcPr>
            <w:tcW w:w="9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550</w:t>
            </w:r>
          </w:p>
        </w:tc>
        <w:tc>
          <w:tcPr>
            <w:tcW w:w="95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0"/>
                <w:szCs w:val="20"/>
                <w:lang w:eastAsia="ru-RU"/>
              </w:rPr>
            </w:pPr>
            <w:r>
              <w:rPr>
                <w:sz w:val="20"/>
                <w:szCs w:val="20"/>
                <w:lang w:eastAsia="ru-RU"/>
              </w:rPr>
              <w:t>2200</w:t>
            </w:r>
          </w:p>
        </w:tc>
        <w:tc>
          <w:tcPr>
            <w:tcW w:w="95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t>1650</w:t>
            </w:r>
          </w:p>
        </w:tc>
        <w:tc>
          <w:tcPr>
            <w:tcW w:w="120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lang w:eastAsia="ru-RU"/>
              </w:rPr>
            </w:pPr>
            <w:r>
              <w:rPr>
                <w:sz w:val="20"/>
                <w:szCs w:val="20"/>
                <w:lang w:eastAsia="ru-RU"/>
              </w:rPr>
              <w:t>Бюджетные средства</w:t>
            </w:r>
          </w:p>
        </w:tc>
      </w:tr>
    </w:tbl>
    <w:p>
      <w:pPr>
        <w:pStyle w:val="Caption"/>
        <w:spacing w:before="0" w:after="0"/>
        <w:rPr>
          <w:rFonts w:ascii="Times New Roman" w:hAnsi="Times New Roman" w:cs="Times New Roman"/>
          <w:i w:val="false"/>
          <w:i w:val="false"/>
        </w:rPr>
      </w:pPr>
      <w:r>
        <w:rPr>
          <w:rFonts w:cs="Times New Roman" w:ascii="Times New Roman" w:hAnsi="Times New Roman"/>
          <w:i w:val="false"/>
        </w:rPr>
      </w:r>
    </w:p>
    <w:p>
      <w:pPr>
        <w:pStyle w:val="Normal"/>
        <w:tabs>
          <w:tab w:val="clear" w:pos="408"/>
          <w:tab w:val="left" w:pos="0" w:leader="none"/>
        </w:tabs>
        <w:jc w:val="both"/>
        <w:rPr>
          <w:lang w:eastAsia="ru-RU"/>
        </w:rPr>
      </w:pPr>
      <w:r>
        <w:rPr>
          <w:rFonts w:eastAsia="Calibri" w:cs="Calibri"/>
          <w:szCs w:val="22"/>
          <w:lang w:eastAsia="en-US"/>
        </w:rPr>
        <w:t>*- Объемы инвестиций в развитие системы теплоснабжения определены по укрупненным показателям на основании объектов-аналогов и должны быть уточнены на последующих стадиях проектирования.</w:t>
      </w:r>
    </w:p>
    <w:p>
      <w:pPr>
        <w:pStyle w:val="Normal"/>
        <w:keepNext w:val="true"/>
        <w:keepLines/>
        <w:numPr>
          <w:ilvl w:val="0"/>
          <w:numId w:val="0"/>
        </w:numPr>
        <w:ind w:left="0" w:firstLine="709"/>
        <w:jc w:val="both"/>
        <w:outlineLvl w:val="1"/>
        <w:rPr>
          <w:rFonts w:eastAsia="Calibri Light"/>
          <w:b/>
          <w:b/>
          <w:szCs w:val="26"/>
          <w:lang w:eastAsia="en-US"/>
        </w:rPr>
      </w:pPr>
      <w:r>
        <w:rPr>
          <w:rFonts w:eastAsia="Calibri Light"/>
          <w:b/>
          <w:szCs w:val="26"/>
          <w:lang w:eastAsia="en-US"/>
        </w:rPr>
      </w:r>
      <w:bookmarkStart w:id="1356" w:name="_Toc181340552"/>
      <w:bookmarkStart w:id="1357" w:name="_Toc160530087"/>
      <w:bookmarkStart w:id="1358" w:name="_Toc160455206"/>
      <w:bookmarkStart w:id="1359" w:name="_Hlk161212232"/>
      <w:bookmarkStart w:id="1360" w:name="_Toc181340552"/>
      <w:bookmarkStart w:id="1361" w:name="_Toc160530087"/>
      <w:bookmarkStart w:id="1362" w:name="_Toc160455206"/>
      <w:bookmarkStart w:id="1363" w:name="_Hlk161212232"/>
      <w:bookmarkEnd w:id="1363"/>
    </w:p>
    <w:p>
      <w:pPr>
        <w:pStyle w:val="Normal"/>
        <w:keepNext w:val="true"/>
        <w:keepLines/>
        <w:numPr>
          <w:ilvl w:val="0"/>
          <w:numId w:val="0"/>
        </w:numPr>
        <w:ind w:left="0" w:firstLine="709"/>
        <w:jc w:val="both"/>
        <w:outlineLvl w:val="1"/>
        <w:rPr>
          <w:rFonts w:eastAsia="Calibri Light"/>
          <w:b/>
          <w:b/>
          <w:szCs w:val="26"/>
          <w:lang w:eastAsia="en-US"/>
        </w:rPr>
      </w:pPr>
      <w:bookmarkStart w:id="1364" w:name="_Toc535409649"/>
      <w:r>
        <w:rPr>
          <w:rFonts w:eastAsia="Calibri Light"/>
          <w:b/>
          <w:szCs w:val="26"/>
          <w:lang w:eastAsia="en-US"/>
        </w:rPr>
        <w:t xml:space="preserve">16.2. Перечень </w:t>
      </w:r>
      <w:bookmarkEnd w:id="1364"/>
      <w:r>
        <w:rPr>
          <w:rFonts w:eastAsia="Calibri Light"/>
          <w:b/>
          <w:szCs w:val="26"/>
          <w:lang w:eastAsia="en-US"/>
        </w:rPr>
        <w:t>мероприятий по строительству, реконструкции, техническому перевооружению и (или) модернизации тепловых сетей и сооружений на них</w:t>
      </w:r>
      <w:bookmarkEnd w:id="1360"/>
      <w:bookmarkEnd w:id="1361"/>
      <w:bookmarkEnd w:id="1362"/>
    </w:p>
    <w:p>
      <w:pPr>
        <w:pStyle w:val="Normal"/>
        <w:ind w:firstLine="709"/>
        <w:jc w:val="both"/>
        <w:rPr>
          <w:lang w:eastAsia="ru-RU"/>
        </w:rPr>
      </w:pPr>
      <w:r>
        <w:rPr>
          <w:lang w:eastAsia="ru-RU"/>
        </w:rPr>
        <w:t>Перечень мероприятий по строительству, реконструкции и техническому перевооружению тепловых сетей и сооружений на них приведен в таблице 39.</w:t>
      </w:r>
    </w:p>
    <w:p>
      <w:pPr>
        <w:pStyle w:val="Normal"/>
        <w:keepNext w:val="true"/>
        <w:keepLines/>
        <w:numPr>
          <w:ilvl w:val="0"/>
          <w:numId w:val="0"/>
        </w:numPr>
        <w:ind w:left="0" w:firstLine="709"/>
        <w:jc w:val="both"/>
        <w:outlineLvl w:val="1"/>
        <w:rPr>
          <w:rFonts w:eastAsia="Calibri Light"/>
          <w:b/>
          <w:b/>
          <w:szCs w:val="26"/>
          <w:lang w:eastAsia="en-US"/>
        </w:rPr>
      </w:pPr>
      <w:bookmarkStart w:id="1365" w:name="_Toc181340553"/>
      <w:bookmarkStart w:id="1366" w:name="_Toc160530088"/>
      <w:bookmarkStart w:id="1367" w:name="_Toc160455207"/>
      <w:r>
        <w:rPr>
          <w:rFonts w:eastAsia="Calibri Light"/>
          <w:b/>
          <w:szCs w:val="26"/>
          <w:lang w:eastAsia="en-US"/>
        </w:rPr>
        <w:t>16.3. Перечень мероприятий, обеспечивающих перевод открытых систем теплоснабжения (горячего водоснабжения), отдельных участков таких систем на закрытые системы горячего водоснабжения</w:t>
      </w:r>
      <w:bookmarkEnd w:id="1365"/>
      <w:bookmarkEnd w:id="1366"/>
      <w:bookmarkEnd w:id="1367"/>
    </w:p>
    <w:p>
      <w:pPr>
        <w:sectPr>
          <w:headerReference w:type="default" r:id="rId78"/>
          <w:footerReference w:type="default" r:id="rId79"/>
          <w:type w:val="nextPage"/>
          <w:pgSz w:orient="landscape" w:w="16838" w:h="11906"/>
          <w:pgMar w:left="1701" w:right="567" w:header="708" w:top="850" w:footer="708" w:bottom="1701" w:gutter="0"/>
          <w:pgNumType w:fmt="decimal"/>
          <w:formProt w:val="false"/>
          <w:textDirection w:val="lrTb"/>
          <w:docGrid w:type="default" w:linePitch="360" w:charSpace="0"/>
        </w:sectPr>
        <w:pStyle w:val="Normal"/>
        <w:ind w:firstLine="709"/>
        <w:jc w:val="both"/>
        <w:rPr>
          <w:rFonts w:eastAsia="Calibri" w:cs="Calibri"/>
          <w:szCs w:val="22"/>
          <w:lang w:eastAsia="en-US"/>
        </w:rPr>
      </w:pPr>
      <w:r>
        <w:rPr>
          <w:rFonts w:eastAsia="Calibri" w:cs="Calibri"/>
          <w:szCs w:val="22"/>
          <w:lang w:eastAsia="en-US"/>
        </w:rPr>
        <w:t>Мероприятия, обеспечивающие переход от открытых систем теплоснабжения (горячего водоснабжения) на закрытые системы горячего водоснабжения, отсутств</w:t>
      </w:r>
      <w:bookmarkStart w:id="1368" w:name="_Hlk160649191"/>
      <w:bookmarkEnd w:id="1368"/>
      <w:r>
        <w:rPr>
          <w:rFonts w:eastAsia="Calibri" w:cs="Calibri"/>
          <w:szCs w:val="22"/>
          <w:lang w:eastAsia="en-US"/>
        </w:rPr>
        <w:t>уют.</w:t>
      </w:r>
    </w:p>
    <w:p>
      <w:pPr>
        <w:pStyle w:val="Normal"/>
        <w:keepNext w:val="true"/>
        <w:keepLines/>
        <w:numPr>
          <w:ilvl w:val="0"/>
          <w:numId w:val="0"/>
        </w:numPr>
        <w:ind w:left="0" w:hanging="0"/>
        <w:jc w:val="center"/>
        <w:outlineLvl w:val="0"/>
        <w:rPr>
          <w:rFonts w:eastAsia="Calibri Light"/>
          <w:b/>
          <w:b/>
          <w:lang w:eastAsia="en-US"/>
        </w:rPr>
      </w:pPr>
      <w:bookmarkStart w:id="1369" w:name="_Toc181340554"/>
      <w:bookmarkStart w:id="1370" w:name="_Toc160530089"/>
      <w:bookmarkStart w:id="1371" w:name="sub_1852"/>
      <w:bookmarkEnd w:id="1371"/>
      <w:r>
        <w:rPr>
          <w:rFonts w:eastAsia="Calibri Light"/>
          <w:b/>
          <w:lang w:eastAsia="en-US"/>
        </w:rPr>
        <w:t>Глава 17 «Замечания и предложения к проекту схемы теплоснабжения»</w:t>
      </w:r>
      <w:bookmarkStart w:id="1372" w:name="_Toc181340555"/>
      <w:bookmarkStart w:id="1373" w:name="_Toc160530090"/>
      <w:bookmarkStart w:id="1374" w:name="_Toc160455209"/>
      <w:bookmarkStart w:id="1375" w:name="_Toc160186205"/>
      <w:bookmarkStart w:id="1376" w:name="_Toc158278801"/>
      <w:bookmarkEnd w:id="1369"/>
      <w:bookmarkEnd w:id="1370"/>
    </w:p>
    <w:p>
      <w:pPr>
        <w:pStyle w:val="Normal"/>
        <w:keepNext w:val="true"/>
        <w:keepLines/>
        <w:numPr>
          <w:ilvl w:val="0"/>
          <w:numId w:val="0"/>
        </w:numPr>
        <w:ind w:left="0" w:hanging="0"/>
        <w:jc w:val="center"/>
        <w:outlineLvl w:val="0"/>
        <w:rPr>
          <w:rFonts w:eastAsia="Calibri Light"/>
          <w:b/>
          <w:b/>
          <w:lang w:eastAsia="en-US"/>
        </w:rPr>
      </w:pPr>
      <w:r>
        <w:rPr>
          <w:rFonts w:eastAsia="Calibri Light"/>
          <w:b/>
          <w:lang w:eastAsia="en-US"/>
        </w:rPr>
      </w:r>
    </w:p>
    <w:p>
      <w:pPr>
        <w:pStyle w:val="Normal"/>
        <w:keepNext w:val="true"/>
        <w:keepLines/>
        <w:numPr>
          <w:ilvl w:val="0"/>
          <w:numId w:val="0"/>
        </w:numPr>
        <w:ind w:left="0" w:firstLine="709"/>
        <w:jc w:val="both"/>
        <w:outlineLvl w:val="0"/>
        <w:rPr>
          <w:rStyle w:val="Ed"/>
          <w:b/>
          <w:b/>
        </w:rPr>
      </w:pPr>
      <w:r>
        <w:rPr>
          <w:rStyle w:val="Ed"/>
          <w:b/>
        </w:rPr>
        <w:t>17.1. Перечень всех замечаний и предложений, поступивших при разработке, утверждении и актуализации схемы теплоснабжения</w:t>
      </w:r>
    </w:p>
    <w:p>
      <w:pPr>
        <w:pStyle w:val="Normal"/>
        <w:keepNext w:val="true"/>
        <w:keepLines/>
        <w:numPr>
          <w:ilvl w:val="0"/>
          <w:numId w:val="0"/>
        </w:numPr>
        <w:ind w:left="0" w:firstLine="709"/>
        <w:jc w:val="both"/>
        <w:outlineLvl w:val="0"/>
        <w:rPr>
          <w:rStyle w:val="Ed"/>
        </w:rPr>
      </w:pPr>
      <w:r>
        <w:rPr>
          <w:rStyle w:val="Ed"/>
        </w:rPr>
        <w:t>Замечания, поступившие в ходе разработки и утверждения Схемы теплоснабжения, были учтены в итоговом варианте схемы теплоснабжения.</w:t>
      </w:r>
      <w:bookmarkStart w:id="1377" w:name="_Toc181365844"/>
    </w:p>
    <w:p>
      <w:pPr>
        <w:pStyle w:val="Normal"/>
        <w:keepNext w:val="true"/>
        <w:keepLines/>
        <w:numPr>
          <w:ilvl w:val="0"/>
          <w:numId w:val="0"/>
        </w:numPr>
        <w:ind w:left="0" w:firstLine="709"/>
        <w:jc w:val="both"/>
        <w:outlineLvl w:val="0"/>
        <w:rPr>
          <w:rStyle w:val="Ed"/>
        </w:rPr>
      </w:pPr>
      <w:r>
        <w:rPr/>
      </w:r>
    </w:p>
    <w:p>
      <w:pPr>
        <w:pStyle w:val="Normal"/>
        <w:keepNext w:val="true"/>
        <w:keepLines/>
        <w:numPr>
          <w:ilvl w:val="0"/>
          <w:numId w:val="0"/>
        </w:numPr>
        <w:ind w:left="0" w:firstLine="709"/>
        <w:jc w:val="both"/>
        <w:outlineLvl w:val="0"/>
        <w:rPr>
          <w:rStyle w:val="Ed"/>
          <w:b/>
          <w:b/>
        </w:rPr>
      </w:pPr>
      <w:r>
        <w:rPr>
          <w:rStyle w:val="Ed"/>
          <w:b/>
        </w:rPr>
        <w:t>17.2. Ответы разработчиков проекта схемы теплоснабжения на замечания                         и предложения</w:t>
      </w:r>
      <w:bookmarkEnd w:id="1377"/>
    </w:p>
    <w:p>
      <w:pPr>
        <w:pStyle w:val="Normal"/>
        <w:keepNext w:val="true"/>
        <w:keepLines/>
        <w:numPr>
          <w:ilvl w:val="0"/>
          <w:numId w:val="0"/>
        </w:numPr>
        <w:ind w:left="0" w:firstLine="709"/>
        <w:jc w:val="both"/>
        <w:outlineLvl w:val="0"/>
        <w:rPr>
          <w:rStyle w:val="Ed"/>
        </w:rPr>
      </w:pPr>
      <w:r>
        <w:rPr>
          <w:rStyle w:val="Ed"/>
        </w:rPr>
        <w:t>Замечания и предложения к проекту схемы теплоснабжения были доработаны по условиям Технического задания на разработку схемы теплоснабжения.</w:t>
      </w:r>
      <w:bookmarkStart w:id="1378" w:name="_Toc181365845"/>
    </w:p>
    <w:p>
      <w:pPr>
        <w:pStyle w:val="Normal"/>
        <w:keepNext w:val="true"/>
        <w:keepLines/>
        <w:numPr>
          <w:ilvl w:val="0"/>
          <w:numId w:val="0"/>
        </w:numPr>
        <w:ind w:left="0" w:firstLine="709"/>
        <w:jc w:val="both"/>
        <w:outlineLvl w:val="0"/>
        <w:rPr>
          <w:rStyle w:val="Ed"/>
        </w:rPr>
      </w:pPr>
      <w:r>
        <w:rPr/>
      </w:r>
    </w:p>
    <w:p>
      <w:pPr>
        <w:pStyle w:val="Normal"/>
        <w:keepNext w:val="true"/>
        <w:keepLines/>
        <w:numPr>
          <w:ilvl w:val="0"/>
          <w:numId w:val="0"/>
        </w:numPr>
        <w:ind w:left="0" w:firstLine="709"/>
        <w:jc w:val="both"/>
        <w:outlineLvl w:val="0"/>
        <w:rPr>
          <w:rStyle w:val="Ed"/>
          <w:b/>
          <w:b/>
        </w:rPr>
      </w:pPr>
      <w:r>
        <w:rPr>
          <w:rStyle w:val="Ed"/>
          <w:b/>
        </w:rPr>
        <w:t>17.3. Перечень учтенных замечаний и предложений, а также реестр изменений, внесенных в разделы схемы теплоснабжения и главы обосновывающих материалов                 к схеме теплоснабжения</w:t>
      </w:r>
      <w:bookmarkEnd w:id="1378"/>
    </w:p>
    <w:p>
      <w:pPr>
        <w:pStyle w:val="Normal"/>
        <w:keepNext w:val="true"/>
        <w:keepLines/>
        <w:numPr>
          <w:ilvl w:val="0"/>
          <w:numId w:val="0"/>
        </w:numPr>
        <w:ind w:left="0" w:firstLine="709"/>
        <w:jc w:val="both"/>
        <w:outlineLvl w:val="0"/>
        <w:rPr>
          <w:rStyle w:val="Ed"/>
        </w:rPr>
      </w:pPr>
      <w:r>
        <w:rPr>
          <w:rStyle w:val="Ed"/>
        </w:rPr>
        <w:t>В проект Схемы теплоснабжения были внесены следующие изменения:</w:t>
      </w:r>
    </w:p>
    <w:p>
      <w:pPr>
        <w:pStyle w:val="Normal"/>
        <w:keepNext w:val="true"/>
        <w:keepLines/>
        <w:numPr>
          <w:ilvl w:val="0"/>
          <w:numId w:val="0"/>
        </w:numPr>
        <w:ind w:left="0" w:firstLine="709"/>
        <w:jc w:val="both"/>
        <w:outlineLvl w:val="0"/>
        <w:rPr>
          <w:rStyle w:val="Ed"/>
        </w:rPr>
      </w:pPr>
      <w:r>
        <w:rPr>
          <w:rStyle w:val="Ed"/>
        </w:rPr>
        <w:t>1) скорректированы объемы выработки и полезного отпуска тепловой энергии;</w:t>
      </w:r>
    </w:p>
    <w:p>
      <w:pPr>
        <w:pStyle w:val="Normal"/>
        <w:keepNext w:val="true"/>
        <w:keepLines/>
        <w:numPr>
          <w:ilvl w:val="0"/>
          <w:numId w:val="0"/>
        </w:numPr>
        <w:ind w:left="0" w:firstLine="709"/>
        <w:jc w:val="both"/>
        <w:outlineLvl w:val="0"/>
        <w:rPr>
          <w:rStyle w:val="Ed"/>
        </w:rPr>
      </w:pPr>
      <w:r>
        <w:rPr>
          <w:rStyle w:val="Ed"/>
        </w:rPr>
        <w:t>2) скорректированы мощности источников тепловой энергии;</w:t>
      </w:r>
    </w:p>
    <w:p>
      <w:pPr>
        <w:pStyle w:val="Normal"/>
        <w:keepNext w:val="true"/>
        <w:keepLines/>
        <w:numPr>
          <w:ilvl w:val="0"/>
          <w:numId w:val="0"/>
        </w:numPr>
        <w:ind w:left="0" w:firstLine="709"/>
        <w:jc w:val="both"/>
        <w:outlineLvl w:val="0"/>
        <w:rPr>
          <w:rStyle w:val="Ed"/>
        </w:rPr>
      </w:pPr>
      <w:r>
        <w:rPr>
          <w:rStyle w:val="Ed"/>
        </w:rPr>
        <w:t>3) уточнены планы мероприятий по развитию систем теплоснабжения;</w:t>
      </w:r>
    </w:p>
    <w:p>
      <w:pPr>
        <w:pStyle w:val="Normal"/>
        <w:keepNext w:val="true"/>
        <w:keepLines/>
        <w:numPr>
          <w:ilvl w:val="0"/>
          <w:numId w:val="0"/>
        </w:numPr>
        <w:ind w:left="0" w:firstLine="709"/>
        <w:jc w:val="both"/>
        <w:outlineLvl w:val="0"/>
        <w:rPr>
          <w:rStyle w:val="Ed"/>
        </w:rPr>
      </w:pPr>
      <w:r>
        <w:rPr>
          <w:rStyle w:val="Ed"/>
        </w:rPr>
        <w:t>4) доработаны все разделы и главы Схемы теплоснабжения в соответствии                              с требованиями постановления Правительства Российской Федерации от 22.02.2012 № 154 «О требованиях к схемам теплоснабжения, порядку их разработки и утверждения», приказом Минэнерго России от 05.07.2019 № 212 «Об утверждении Методических указаний                               по разработке схем теплоснабжения».</w:t>
      </w:r>
      <w:bookmarkEnd w:id="1372"/>
      <w:bookmarkEnd w:id="1373"/>
      <w:bookmarkEnd w:id="1374"/>
      <w:bookmarkEnd w:id="1375"/>
      <w:bookmarkEnd w:id="1376"/>
    </w:p>
    <w:p>
      <w:pPr>
        <w:pStyle w:val="Normal"/>
        <w:keepNext w:val="true"/>
        <w:keepLines/>
        <w:numPr>
          <w:ilvl w:val="0"/>
          <w:numId w:val="0"/>
        </w:numPr>
        <w:ind w:left="0" w:hanging="0"/>
        <w:jc w:val="center"/>
        <w:outlineLvl w:val="0"/>
        <w:rPr>
          <w:rFonts w:eastAsia="Calibri Light" w:cs="Calibri Light"/>
          <w:b/>
          <w:b/>
          <w:lang w:eastAsia="en-US"/>
        </w:rPr>
      </w:pPr>
      <w:r>
        <w:rPr>
          <w:rFonts w:eastAsia="Calibri Light" w:cs="Calibri Light"/>
          <w:b/>
          <w:lang w:eastAsia="en-US"/>
        </w:rPr>
      </w:r>
    </w:p>
    <w:p>
      <w:pPr>
        <w:pStyle w:val="Normal"/>
        <w:keepNext w:val="true"/>
        <w:keepLines/>
        <w:numPr>
          <w:ilvl w:val="0"/>
          <w:numId w:val="0"/>
        </w:numPr>
        <w:ind w:left="0" w:hanging="0"/>
        <w:jc w:val="center"/>
        <w:outlineLvl w:val="0"/>
        <w:rPr>
          <w:rFonts w:eastAsia="Calibri Light" w:cs="Calibri Light"/>
          <w:b/>
          <w:b/>
          <w:color w:val="000000"/>
          <w:lang w:eastAsia="en-US"/>
        </w:rPr>
      </w:pPr>
      <w:bookmarkStart w:id="1379" w:name="_Toc181340558"/>
      <w:bookmarkStart w:id="1380" w:name="_Toc160530093"/>
      <w:r>
        <w:rPr>
          <w:rFonts w:eastAsia="Calibri Light" w:cs="Calibri Light"/>
          <w:b/>
          <w:lang w:eastAsia="en-US"/>
        </w:rPr>
        <w:t>Глава 18 «Сводный том изменений, выполненных в доработанной и (или) актуализированной схеме теплоснабжения»</w:t>
      </w:r>
      <w:bookmarkEnd w:id="1379"/>
      <w:bookmarkEnd w:id="1380"/>
    </w:p>
    <w:p>
      <w:pPr>
        <w:pStyle w:val="Normal"/>
        <w:keepNext w:val="true"/>
        <w:keepLines/>
        <w:numPr>
          <w:ilvl w:val="0"/>
          <w:numId w:val="0"/>
        </w:numPr>
        <w:ind w:left="0" w:firstLine="709"/>
        <w:jc w:val="both"/>
        <w:outlineLvl w:val="1"/>
        <w:rPr>
          <w:rFonts w:eastAsia="Calibri Light" w:cs="Calibri Light"/>
          <w:b/>
          <w:b/>
          <w:szCs w:val="26"/>
          <w:lang w:eastAsia="en-US"/>
        </w:rPr>
      </w:pPr>
      <w:bookmarkStart w:id="1381" w:name="_Toc181340559"/>
      <w:bookmarkStart w:id="1382" w:name="_Toc160530094"/>
      <w:r>
        <w:rPr>
          <w:rFonts w:eastAsia="Calibri Light" w:cs="Calibri Light"/>
          <w:b/>
          <w:szCs w:val="26"/>
          <w:lang w:eastAsia="en-US"/>
        </w:rPr>
        <w:t>18.1. Реестр изменений, внесенных в доработанную и (или) актуализированную схему теплоснабжения</w:t>
      </w:r>
      <w:bookmarkEnd w:id="1381"/>
      <w:bookmarkEnd w:id="1382"/>
    </w:p>
    <w:p>
      <w:pPr>
        <w:pStyle w:val="Normal"/>
        <w:jc w:val="right"/>
        <w:rPr>
          <w:rFonts w:eastAsia="Calibri" w:cs="Calibri"/>
          <w:szCs w:val="22"/>
          <w:lang w:eastAsia="en-US"/>
        </w:rPr>
      </w:pPr>
      <w:r>
        <w:rPr>
          <w:rFonts w:eastAsia="Calibri" w:cs="Calibri"/>
          <w:szCs w:val="22"/>
          <w:lang w:eastAsia="en-US"/>
        </w:rPr>
        <w:t xml:space="preserve">Таблица 40 – Реестр изменений, внесенных в актуализированную </w:t>
      </w:r>
      <w:r>
        <w:rPr>
          <w:rFonts w:eastAsia="Calibri" w:cs="Calibri"/>
          <w:szCs w:val="22"/>
          <w:lang w:val="en-US" w:eastAsia="en-US"/>
        </w:rPr>
        <w:t>C</w:t>
      </w:r>
      <w:r>
        <w:rPr>
          <w:rFonts w:eastAsia="Calibri" w:cs="Calibri"/>
          <w:szCs w:val="22"/>
          <w:lang w:eastAsia="en-US"/>
        </w:rPr>
        <w:t>хему теплоснабжения</w:t>
      </w:r>
    </w:p>
    <w:tbl>
      <w:tblPr>
        <w:tblStyle w:val="affffffffff1"/>
        <w:tblW w:w="4900" w:type="pct"/>
        <w:jc w:val="center"/>
        <w:tblInd w:w="0" w:type="dxa"/>
        <w:tblCellMar>
          <w:top w:w="0" w:type="dxa"/>
          <w:left w:w="108" w:type="dxa"/>
          <w:bottom w:w="0" w:type="dxa"/>
          <w:right w:w="108" w:type="dxa"/>
        </w:tblCellMar>
        <w:tblLook w:val="04a0" w:noVBand="1" w:noHBand="0" w:lastColumn="0" w:firstColumn="1" w:lastRow="0" w:firstRow="1"/>
      </w:tblPr>
      <w:tblGrid>
        <w:gridCol w:w="816"/>
        <w:gridCol w:w="2826"/>
        <w:gridCol w:w="5803"/>
      </w:tblGrid>
      <w:tr>
        <w:trPr>
          <w:tblHeader w:val="true"/>
        </w:trPr>
        <w:tc>
          <w:tcPr>
            <w:tcW w:w="816" w:type="dxa"/>
            <w:tcBorders/>
            <w:vAlign w:val="center"/>
          </w:tcPr>
          <w:p>
            <w:pPr>
              <w:pStyle w:val="Normal"/>
              <w:jc w:val="center"/>
              <w:rPr>
                <w:sz w:val="20"/>
                <w:szCs w:val="20"/>
                <w:lang w:eastAsia="ru-RU"/>
              </w:rPr>
            </w:pPr>
            <w:r>
              <w:rPr>
                <w:sz w:val="20"/>
                <w:szCs w:val="20"/>
                <w:lang w:eastAsia="ru-RU" w:bidi="ar-SA"/>
              </w:rPr>
              <w:t>Номер Главы</w:t>
            </w:r>
          </w:p>
        </w:tc>
        <w:tc>
          <w:tcPr>
            <w:tcW w:w="2826" w:type="dxa"/>
            <w:tcBorders/>
            <w:vAlign w:val="center"/>
          </w:tcPr>
          <w:p>
            <w:pPr>
              <w:pStyle w:val="Normal"/>
              <w:jc w:val="center"/>
              <w:rPr>
                <w:sz w:val="20"/>
                <w:szCs w:val="20"/>
                <w:lang w:eastAsia="ru-RU"/>
              </w:rPr>
            </w:pPr>
            <w:r>
              <w:rPr>
                <w:sz w:val="20"/>
                <w:szCs w:val="20"/>
                <w:lang w:eastAsia="ru-RU" w:bidi="ar-SA"/>
              </w:rPr>
              <w:t>Наименование Главы</w:t>
            </w:r>
          </w:p>
        </w:tc>
        <w:tc>
          <w:tcPr>
            <w:tcW w:w="5803" w:type="dxa"/>
            <w:tcBorders/>
            <w:vAlign w:val="center"/>
          </w:tcPr>
          <w:p>
            <w:pPr>
              <w:pStyle w:val="Normal"/>
              <w:jc w:val="center"/>
              <w:rPr>
                <w:sz w:val="20"/>
                <w:szCs w:val="20"/>
                <w:lang w:eastAsia="ru-RU"/>
              </w:rPr>
            </w:pPr>
            <w:r>
              <w:rPr>
                <w:sz w:val="20"/>
                <w:szCs w:val="20"/>
                <w:lang w:eastAsia="ru-RU" w:bidi="ar-SA"/>
              </w:rPr>
              <w:t>Перечень изменений</w:t>
            </w:r>
          </w:p>
        </w:tc>
      </w:tr>
      <w:tr>
        <w:trPr/>
        <w:tc>
          <w:tcPr>
            <w:tcW w:w="816" w:type="dxa"/>
            <w:tcBorders/>
            <w:vAlign w:val="center"/>
          </w:tcPr>
          <w:p>
            <w:pPr>
              <w:pStyle w:val="Normal"/>
              <w:jc w:val="center"/>
              <w:rPr>
                <w:sz w:val="20"/>
                <w:szCs w:val="20"/>
                <w:lang w:eastAsia="ru-RU"/>
              </w:rPr>
            </w:pPr>
            <w:r>
              <w:rPr>
                <w:sz w:val="20"/>
                <w:szCs w:val="20"/>
                <w:lang w:eastAsia="ru-RU" w:bidi="ar-SA"/>
              </w:rPr>
              <w:t>1</w:t>
            </w:r>
          </w:p>
        </w:tc>
        <w:tc>
          <w:tcPr>
            <w:tcW w:w="2826" w:type="dxa"/>
            <w:tcBorders/>
            <w:vAlign w:val="center"/>
          </w:tcPr>
          <w:p>
            <w:pPr>
              <w:pStyle w:val="Normal"/>
              <w:jc w:val="both"/>
              <w:rPr>
                <w:sz w:val="20"/>
                <w:szCs w:val="20"/>
                <w:lang w:eastAsia="ru-RU"/>
              </w:rPr>
            </w:pPr>
            <w:r>
              <w:rPr>
                <w:sz w:val="20"/>
                <w:szCs w:val="20"/>
                <w:lang w:eastAsia="ru-RU" w:bidi="ar-SA"/>
              </w:rPr>
              <w:t>Существующее положение в сфере производства, передачи и потребления тепловой энергии для целей теплоснабжения</w:t>
            </w:r>
          </w:p>
        </w:tc>
        <w:tc>
          <w:tcPr>
            <w:tcW w:w="5803" w:type="dxa"/>
            <w:tcBorders/>
            <w:vAlign w:val="center"/>
          </w:tcPr>
          <w:p>
            <w:pPr>
              <w:pStyle w:val="Normal"/>
              <w:jc w:val="both"/>
              <w:rPr>
                <w:sz w:val="20"/>
                <w:szCs w:val="20"/>
                <w:lang w:eastAsia="ru-RU"/>
              </w:rPr>
            </w:pPr>
            <w:r>
              <w:rPr>
                <w:sz w:val="20"/>
                <w:szCs w:val="20"/>
                <w:lang w:eastAsia="ru-RU" w:bidi="ar-SA"/>
              </w:rPr>
              <w:t xml:space="preserve">информация по всем пунктам была скорректирована по состоянию на 01.01.2024. Перечень пунктов изменен в соответствии                          с актуальной редакцией постановления Правительства Российской Федерации от 22.02.2012 № 154 «О требованиях к схемам теплоснабжения, порядку их разработки и утверждения» </w:t>
            </w:r>
          </w:p>
        </w:tc>
      </w:tr>
      <w:tr>
        <w:trPr/>
        <w:tc>
          <w:tcPr>
            <w:tcW w:w="816" w:type="dxa"/>
            <w:tcBorders/>
            <w:vAlign w:val="center"/>
          </w:tcPr>
          <w:p>
            <w:pPr>
              <w:pStyle w:val="Normal"/>
              <w:jc w:val="center"/>
              <w:rPr>
                <w:sz w:val="20"/>
                <w:szCs w:val="20"/>
                <w:lang w:eastAsia="ru-RU"/>
              </w:rPr>
            </w:pPr>
            <w:r>
              <w:rPr>
                <w:sz w:val="20"/>
                <w:szCs w:val="20"/>
                <w:lang w:eastAsia="ru-RU" w:bidi="ar-SA"/>
              </w:rPr>
              <w:t>2</w:t>
            </w:r>
          </w:p>
        </w:tc>
        <w:tc>
          <w:tcPr>
            <w:tcW w:w="2826" w:type="dxa"/>
            <w:tcBorders/>
            <w:vAlign w:val="center"/>
          </w:tcPr>
          <w:p>
            <w:pPr>
              <w:pStyle w:val="Normal"/>
              <w:jc w:val="both"/>
              <w:rPr>
                <w:sz w:val="20"/>
                <w:szCs w:val="20"/>
                <w:lang w:eastAsia="ru-RU"/>
              </w:rPr>
            </w:pPr>
            <w:r>
              <w:rPr>
                <w:sz w:val="20"/>
                <w:szCs w:val="20"/>
                <w:lang w:eastAsia="ru-RU" w:bidi="ar-SA"/>
              </w:rPr>
              <w:t>Перспективное потребление тепловой энергии на цели теплоснабжения</w:t>
            </w:r>
          </w:p>
        </w:tc>
        <w:tc>
          <w:tcPr>
            <w:tcW w:w="5803" w:type="dxa"/>
            <w:tcBorders/>
            <w:vAlign w:val="center"/>
          </w:tcPr>
          <w:p>
            <w:pPr>
              <w:pStyle w:val="Normal"/>
              <w:jc w:val="both"/>
              <w:rPr>
                <w:sz w:val="20"/>
                <w:szCs w:val="20"/>
                <w:lang w:eastAsia="ru-RU"/>
              </w:rPr>
            </w:pPr>
            <w:r>
              <w:rPr>
                <w:sz w:val="20"/>
                <w:szCs w:val="20"/>
                <w:lang w:eastAsia="ru-RU" w:bidi="ar-SA"/>
              </w:rPr>
              <w:t xml:space="preserve">информация по всем пунктам была скорректирована по состоянию на 01.01.2024. Перечень пунктов изменен в соответствии                            с актуальной редакцией постановления Правительства Российской Федерации от 22.02.2012 № 154 «О требованиях к схемам теплоснабжения, порядку их разработки и утверждения» </w:t>
            </w:r>
          </w:p>
        </w:tc>
      </w:tr>
      <w:tr>
        <w:trPr/>
        <w:tc>
          <w:tcPr>
            <w:tcW w:w="816" w:type="dxa"/>
            <w:tcBorders/>
            <w:vAlign w:val="center"/>
          </w:tcPr>
          <w:p>
            <w:pPr>
              <w:pStyle w:val="Normal"/>
              <w:jc w:val="center"/>
              <w:rPr>
                <w:sz w:val="20"/>
                <w:szCs w:val="20"/>
                <w:lang w:eastAsia="ru-RU"/>
              </w:rPr>
            </w:pPr>
            <w:r>
              <w:rPr>
                <w:sz w:val="20"/>
                <w:szCs w:val="20"/>
                <w:lang w:eastAsia="ru-RU" w:bidi="ar-SA"/>
              </w:rPr>
              <w:t>3</w:t>
            </w:r>
          </w:p>
        </w:tc>
        <w:tc>
          <w:tcPr>
            <w:tcW w:w="2826" w:type="dxa"/>
            <w:tcBorders/>
            <w:vAlign w:val="center"/>
          </w:tcPr>
          <w:p>
            <w:pPr>
              <w:pStyle w:val="Normal"/>
              <w:jc w:val="both"/>
              <w:rPr>
                <w:sz w:val="20"/>
                <w:szCs w:val="20"/>
                <w:lang w:eastAsia="ru-RU"/>
              </w:rPr>
            </w:pPr>
            <w:r>
              <w:rPr>
                <w:sz w:val="20"/>
                <w:szCs w:val="20"/>
                <w:lang w:eastAsia="ru-RU" w:bidi="ar-SA"/>
              </w:rPr>
              <w:t>Электронная модель системы теплоснабжения поселения</w:t>
            </w:r>
          </w:p>
        </w:tc>
        <w:tc>
          <w:tcPr>
            <w:tcW w:w="5803" w:type="dxa"/>
            <w:tcBorders/>
            <w:vAlign w:val="center"/>
          </w:tcPr>
          <w:p>
            <w:pPr>
              <w:pStyle w:val="Normal"/>
              <w:jc w:val="both"/>
              <w:rPr>
                <w:sz w:val="20"/>
                <w:szCs w:val="20"/>
                <w:lang w:eastAsia="ru-RU"/>
              </w:rPr>
            </w:pPr>
            <w:r>
              <w:rPr>
                <w:sz w:val="20"/>
                <w:szCs w:val="20"/>
                <w:lang w:eastAsia="ru-RU" w:bidi="ar-SA"/>
              </w:rPr>
              <w:t>в рамках данной работы актуализация электронной модели                     не выполнялась</w:t>
            </w:r>
          </w:p>
        </w:tc>
      </w:tr>
      <w:tr>
        <w:trPr/>
        <w:tc>
          <w:tcPr>
            <w:tcW w:w="816" w:type="dxa"/>
            <w:tcBorders/>
            <w:vAlign w:val="center"/>
          </w:tcPr>
          <w:p>
            <w:pPr>
              <w:pStyle w:val="Normal"/>
              <w:jc w:val="center"/>
              <w:rPr>
                <w:sz w:val="20"/>
                <w:szCs w:val="20"/>
                <w:lang w:eastAsia="ru-RU"/>
              </w:rPr>
            </w:pPr>
            <w:r>
              <w:rPr>
                <w:sz w:val="20"/>
                <w:szCs w:val="20"/>
                <w:lang w:eastAsia="ru-RU" w:bidi="ar-SA"/>
              </w:rPr>
              <w:t>4</w:t>
            </w:r>
          </w:p>
        </w:tc>
        <w:tc>
          <w:tcPr>
            <w:tcW w:w="2826" w:type="dxa"/>
            <w:tcBorders/>
            <w:vAlign w:val="center"/>
          </w:tcPr>
          <w:p>
            <w:pPr>
              <w:pStyle w:val="Normal"/>
              <w:jc w:val="both"/>
              <w:rPr>
                <w:sz w:val="20"/>
                <w:szCs w:val="20"/>
                <w:lang w:eastAsia="ru-RU"/>
              </w:rPr>
            </w:pPr>
            <w:r>
              <w:rPr>
                <w:sz w:val="20"/>
                <w:szCs w:val="20"/>
                <w:lang w:eastAsia="ru-RU" w:bidi="ar-SA"/>
              </w:rPr>
              <w:t>Перспективные балансы тепловой мощности источников тепловой энергии и тепловой нагрузки</w:t>
            </w:r>
          </w:p>
        </w:tc>
        <w:tc>
          <w:tcPr>
            <w:tcW w:w="5803" w:type="dxa"/>
            <w:tcBorders/>
            <w:vAlign w:val="center"/>
          </w:tcPr>
          <w:p>
            <w:pPr>
              <w:pStyle w:val="Normal"/>
              <w:jc w:val="both"/>
              <w:rPr>
                <w:sz w:val="20"/>
                <w:szCs w:val="20"/>
                <w:lang w:eastAsia="ru-RU"/>
              </w:rPr>
            </w:pPr>
            <w:r>
              <w:rPr>
                <w:sz w:val="20"/>
                <w:szCs w:val="20"/>
                <w:lang w:eastAsia="ru-RU" w:bidi="ar-SA"/>
              </w:rPr>
              <w:t xml:space="preserve">информация по всем пунктам была скорректирована по состоянию на 01.01.2024. Перечень пунктов изменен в соответствии                             с актуальной редакцией постановления Правительства Российской Федерации от 22.02.2012 № 154 «О требованиях к схемам теплоснабжения, порядку их разработки и утверждения» </w:t>
            </w:r>
          </w:p>
        </w:tc>
      </w:tr>
      <w:tr>
        <w:trPr/>
        <w:tc>
          <w:tcPr>
            <w:tcW w:w="816" w:type="dxa"/>
            <w:tcBorders/>
            <w:vAlign w:val="center"/>
          </w:tcPr>
          <w:p>
            <w:pPr>
              <w:pStyle w:val="Normal"/>
              <w:jc w:val="center"/>
              <w:rPr>
                <w:sz w:val="20"/>
                <w:szCs w:val="20"/>
                <w:lang w:eastAsia="ru-RU"/>
              </w:rPr>
            </w:pPr>
            <w:r>
              <w:rPr>
                <w:sz w:val="20"/>
                <w:szCs w:val="20"/>
                <w:lang w:eastAsia="ru-RU" w:bidi="ar-SA"/>
              </w:rPr>
              <w:t>5</w:t>
            </w:r>
          </w:p>
        </w:tc>
        <w:tc>
          <w:tcPr>
            <w:tcW w:w="2826" w:type="dxa"/>
            <w:tcBorders/>
            <w:vAlign w:val="center"/>
          </w:tcPr>
          <w:p>
            <w:pPr>
              <w:pStyle w:val="Normal"/>
              <w:jc w:val="both"/>
              <w:rPr>
                <w:sz w:val="20"/>
                <w:szCs w:val="20"/>
                <w:lang w:eastAsia="ru-RU"/>
              </w:rPr>
            </w:pPr>
            <w:r>
              <w:rPr>
                <w:sz w:val="20"/>
                <w:szCs w:val="20"/>
                <w:lang w:eastAsia="ru-RU" w:bidi="ar-SA"/>
              </w:rPr>
              <w:t>Мастер-план развития систем теплоснабжения</w:t>
            </w:r>
          </w:p>
        </w:tc>
        <w:tc>
          <w:tcPr>
            <w:tcW w:w="5803" w:type="dxa"/>
            <w:tcBorders/>
            <w:vAlign w:val="center"/>
          </w:tcPr>
          <w:p>
            <w:pPr>
              <w:pStyle w:val="Normal"/>
              <w:jc w:val="both"/>
              <w:rPr>
                <w:sz w:val="20"/>
                <w:szCs w:val="20"/>
                <w:lang w:eastAsia="ru-RU"/>
              </w:rPr>
            </w:pPr>
            <w:r>
              <w:rPr>
                <w:sz w:val="20"/>
                <w:szCs w:val="20"/>
                <w:lang w:eastAsia="ru-RU" w:bidi="ar-SA"/>
              </w:rPr>
              <w:t>внесены корректировки в Главу 5 «Мастер-план развития систем теплоснабжения поселения»</w:t>
            </w:r>
          </w:p>
        </w:tc>
      </w:tr>
      <w:tr>
        <w:trPr/>
        <w:tc>
          <w:tcPr>
            <w:tcW w:w="816" w:type="dxa"/>
            <w:tcBorders/>
            <w:vAlign w:val="center"/>
          </w:tcPr>
          <w:p>
            <w:pPr>
              <w:pStyle w:val="Normal"/>
              <w:jc w:val="center"/>
              <w:rPr>
                <w:sz w:val="20"/>
                <w:szCs w:val="20"/>
                <w:lang w:eastAsia="ru-RU"/>
              </w:rPr>
            </w:pPr>
            <w:r>
              <w:rPr>
                <w:sz w:val="20"/>
                <w:szCs w:val="20"/>
                <w:lang w:eastAsia="ru-RU" w:bidi="ar-SA"/>
              </w:rPr>
              <w:t>6</w:t>
            </w:r>
          </w:p>
        </w:tc>
        <w:tc>
          <w:tcPr>
            <w:tcW w:w="2826" w:type="dxa"/>
            <w:tcBorders/>
            <w:vAlign w:val="center"/>
          </w:tcPr>
          <w:p>
            <w:pPr>
              <w:pStyle w:val="Normal"/>
              <w:jc w:val="both"/>
              <w:rPr>
                <w:sz w:val="20"/>
                <w:szCs w:val="20"/>
                <w:lang w:eastAsia="ru-RU"/>
              </w:rPr>
            </w:pPr>
            <w:r>
              <w:rPr>
                <w:sz w:val="20"/>
                <w:szCs w:val="20"/>
                <w:lang w:eastAsia="ru-RU" w:bidi="ar-SA"/>
              </w:rPr>
              <w:t>Перспективные балансы производительности водоподготовительных установок и максимального потребления теплоносителя теплопотребляющими установками потребителей, в том числе в аварийных режимах</w:t>
            </w:r>
          </w:p>
        </w:tc>
        <w:tc>
          <w:tcPr>
            <w:tcW w:w="5803" w:type="dxa"/>
            <w:tcBorders/>
            <w:vAlign w:val="center"/>
          </w:tcPr>
          <w:p>
            <w:pPr>
              <w:pStyle w:val="Normal"/>
              <w:jc w:val="both"/>
              <w:rPr>
                <w:sz w:val="20"/>
                <w:szCs w:val="20"/>
                <w:lang w:eastAsia="ru-RU"/>
              </w:rPr>
            </w:pPr>
            <w:r>
              <w:rPr>
                <w:sz w:val="20"/>
                <w:szCs w:val="20"/>
                <w:lang w:eastAsia="ru-RU" w:bidi="ar-SA"/>
              </w:rPr>
              <w:t>информация по всем пунктам была скорректирована по состоянию на 01.01.2024. Перечень пунктов изменен в соответствии                                 с актуальной редакцией постановления Правительства Российской Федерации от 22.02.2012 № 154 «О требованиях к схемам теплоснабжения, порядку их разработки и утверждения»</w:t>
            </w:r>
          </w:p>
        </w:tc>
      </w:tr>
      <w:tr>
        <w:trPr/>
        <w:tc>
          <w:tcPr>
            <w:tcW w:w="816" w:type="dxa"/>
            <w:tcBorders/>
            <w:vAlign w:val="center"/>
          </w:tcPr>
          <w:p>
            <w:pPr>
              <w:pStyle w:val="Normal"/>
              <w:jc w:val="center"/>
              <w:rPr>
                <w:sz w:val="20"/>
                <w:szCs w:val="20"/>
                <w:lang w:eastAsia="ru-RU"/>
              </w:rPr>
            </w:pPr>
            <w:r>
              <w:rPr>
                <w:sz w:val="20"/>
                <w:szCs w:val="20"/>
                <w:lang w:eastAsia="ru-RU" w:bidi="ar-SA"/>
              </w:rPr>
              <w:t>7</w:t>
            </w:r>
          </w:p>
        </w:tc>
        <w:tc>
          <w:tcPr>
            <w:tcW w:w="2826" w:type="dxa"/>
            <w:tcBorders/>
            <w:vAlign w:val="center"/>
          </w:tcPr>
          <w:p>
            <w:pPr>
              <w:pStyle w:val="Normal"/>
              <w:jc w:val="both"/>
              <w:rPr>
                <w:sz w:val="20"/>
                <w:szCs w:val="20"/>
                <w:lang w:eastAsia="ru-RU"/>
              </w:rPr>
            </w:pPr>
            <w:r>
              <w:rPr>
                <w:sz w:val="20"/>
                <w:szCs w:val="20"/>
                <w:lang w:eastAsia="ru-RU" w:bidi="ar-SA"/>
              </w:rPr>
              <w:t>Предложения по строительству, реконструкции и техническому перевооружению источников тепловой энергии</w:t>
            </w:r>
          </w:p>
        </w:tc>
        <w:tc>
          <w:tcPr>
            <w:tcW w:w="5803" w:type="dxa"/>
            <w:tcBorders/>
            <w:vAlign w:val="center"/>
          </w:tcPr>
          <w:p>
            <w:pPr>
              <w:pStyle w:val="Normal"/>
              <w:jc w:val="both"/>
              <w:rPr>
                <w:sz w:val="20"/>
                <w:szCs w:val="20"/>
                <w:lang w:eastAsia="ru-RU"/>
              </w:rPr>
            </w:pPr>
            <w:r>
              <w:rPr>
                <w:sz w:val="20"/>
                <w:szCs w:val="20"/>
                <w:lang w:eastAsia="ru-RU" w:bidi="ar-SA"/>
              </w:rPr>
              <w:t>информация по всем пунктам была скорректирована по состоянию на 01.01.2024. Перечень пунктов изменен в соответствии                           с актуальной редакцией постановления Правительства Российской Федерации от 22.02.2012 № 154 «О требованиях к схемам теплоснабжения, порядку их разработки и утверждения»</w:t>
            </w:r>
          </w:p>
        </w:tc>
      </w:tr>
      <w:tr>
        <w:trPr/>
        <w:tc>
          <w:tcPr>
            <w:tcW w:w="816" w:type="dxa"/>
            <w:tcBorders/>
            <w:vAlign w:val="center"/>
          </w:tcPr>
          <w:p>
            <w:pPr>
              <w:pStyle w:val="Normal"/>
              <w:jc w:val="center"/>
              <w:rPr>
                <w:sz w:val="20"/>
                <w:szCs w:val="20"/>
                <w:lang w:eastAsia="ru-RU"/>
              </w:rPr>
            </w:pPr>
            <w:r>
              <w:rPr>
                <w:sz w:val="20"/>
                <w:szCs w:val="20"/>
                <w:lang w:eastAsia="ru-RU" w:bidi="ar-SA"/>
              </w:rPr>
              <w:t>8</w:t>
            </w:r>
          </w:p>
        </w:tc>
        <w:tc>
          <w:tcPr>
            <w:tcW w:w="2826" w:type="dxa"/>
            <w:tcBorders/>
            <w:vAlign w:val="center"/>
          </w:tcPr>
          <w:p>
            <w:pPr>
              <w:pStyle w:val="Normal"/>
              <w:jc w:val="both"/>
              <w:rPr>
                <w:sz w:val="20"/>
                <w:szCs w:val="20"/>
                <w:lang w:eastAsia="ru-RU"/>
              </w:rPr>
            </w:pPr>
            <w:r>
              <w:rPr>
                <w:sz w:val="20"/>
                <w:szCs w:val="20"/>
                <w:lang w:eastAsia="ru-RU" w:bidi="ar-SA"/>
              </w:rPr>
              <w:t>Предложения по строительству и реконструкции тепловых сетей и сооружений на них</w:t>
            </w:r>
          </w:p>
        </w:tc>
        <w:tc>
          <w:tcPr>
            <w:tcW w:w="5803" w:type="dxa"/>
            <w:tcBorders/>
            <w:vAlign w:val="center"/>
          </w:tcPr>
          <w:p>
            <w:pPr>
              <w:pStyle w:val="Normal"/>
              <w:jc w:val="both"/>
              <w:rPr>
                <w:sz w:val="20"/>
                <w:szCs w:val="20"/>
                <w:lang w:eastAsia="ru-RU"/>
              </w:rPr>
            </w:pPr>
            <w:r>
              <w:rPr>
                <w:sz w:val="20"/>
                <w:szCs w:val="20"/>
                <w:lang w:eastAsia="ru-RU" w:bidi="ar-SA"/>
              </w:rPr>
              <w:t xml:space="preserve">информация по всем пунктам была скорректирована по состоянию на 01.01.2024. Перечень пунктов изменен в соответствии                         с актуальной редакцией постановления Правительства Российской Федерации от 22.02.2012 № 154 «О требованиях к схемам теплоснабжения, порядку их разработки и утверждения» </w:t>
            </w:r>
          </w:p>
        </w:tc>
      </w:tr>
      <w:tr>
        <w:trPr/>
        <w:tc>
          <w:tcPr>
            <w:tcW w:w="816" w:type="dxa"/>
            <w:tcBorders/>
            <w:vAlign w:val="center"/>
          </w:tcPr>
          <w:p>
            <w:pPr>
              <w:pStyle w:val="Normal"/>
              <w:jc w:val="center"/>
              <w:rPr>
                <w:sz w:val="20"/>
                <w:szCs w:val="20"/>
                <w:lang w:eastAsia="ru-RU"/>
              </w:rPr>
            </w:pPr>
            <w:r>
              <w:rPr>
                <w:sz w:val="20"/>
                <w:szCs w:val="20"/>
                <w:lang w:eastAsia="ru-RU" w:bidi="ar-SA"/>
              </w:rPr>
              <w:t>9</w:t>
            </w:r>
          </w:p>
        </w:tc>
        <w:tc>
          <w:tcPr>
            <w:tcW w:w="2826" w:type="dxa"/>
            <w:tcBorders/>
            <w:vAlign w:val="center"/>
          </w:tcPr>
          <w:p>
            <w:pPr>
              <w:pStyle w:val="Normal"/>
              <w:jc w:val="both"/>
              <w:rPr>
                <w:sz w:val="20"/>
                <w:szCs w:val="20"/>
                <w:lang w:eastAsia="ru-RU"/>
              </w:rPr>
            </w:pPr>
            <w:r>
              <w:rPr>
                <w:sz w:val="20"/>
                <w:szCs w:val="20"/>
                <w:lang w:eastAsia="ru-RU" w:bidi="ar-SA"/>
              </w:rPr>
              <w:t>Предложения по переводу открытых систем теплоснабжения (горячего водоснабжения), отдельных участков таких систем на закрытые системы горячего водоснабжения</w:t>
            </w:r>
          </w:p>
        </w:tc>
        <w:tc>
          <w:tcPr>
            <w:tcW w:w="5803" w:type="dxa"/>
            <w:tcBorders/>
            <w:vAlign w:val="center"/>
          </w:tcPr>
          <w:p>
            <w:pPr>
              <w:pStyle w:val="Normal"/>
              <w:jc w:val="both"/>
              <w:rPr>
                <w:sz w:val="20"/>
                <w:szCs w:val="20"/>
                <w:lang w:eastAsia="ru-RU"/>
              </w:rPr>
            </w:pPr>
            <w:r>
              <w:rPr>
                <w:sz w:val="20"/>
                <w:szCs w:val="20"/>
                <w:lang w:eastAsia="ru-RU" w:bidi="ar-SA"/>
              </w:rPr>
              <w:t>внесены корректировки в Главу 9 «Предложения по переводу открытых систем теплоснабжения (горячего водоснабжения)                    в закрытые системы горячего водоснабжения»</w:t>
            </w:r>
          </w:p>
        </w:tc>
      </w:tr>
      <w:tr>
        <w:trPr/>
        <w:tc>
          <w:tcPr>
            <w:tcW w:w="816" w:type="dxa"/>
            <w:tcBorders/>
            <w:vAlign w:val="center"/>
          </w:tcPr>
          <w:p>
            <w:pPr>
              <w:pStyle w:val="Normal"/>
              <w:jc w:val="center"/>
              <w:rPr>
                <w:sz w:val="20"/>
                <w:szCs w:val="20"/>
                <w:lang w:eastAsia="ru-RU"/>
              </w:rPr>
            </w:pPr>
            <w:r>
              <w:rPr>
                <w:sz w:val="20"/>
                <w:szCs w:val="20"/>
                <w:lang w:eastAsia="ru-RU" w:bidi="ar-SA"/>
              </w:rPr>
              <w:t>10</w:t>
            </w:r>
          </w:p>
        </w:tc>
        <w:tc>
          <w:tcPr>
            <w:tcW w:w="2826" w:type="dxa"/>
            <w:tcBorders/>
            <w:vAlign w:val="center"/>
          </w:tcPr>
          <w:p>
            <w:pPr>
              <w:pStyle w:val="Normal"/>
              <w:jc w:val="both"/>
              <w:rPr>
                <w:sz w:val="20"/>
                <w:szCs w:val="20"/>
                <w:lang w:eastAsia="ru-RU"/>
              </w:rPr>
            </w:pPr>
            <w:r>
              <w:rPr>
                <w:sz w:val="20"/>
                <w:szCs w:val="20"/>
                <w:lang w:eastAsia="ru-RU" w:bidi="ar-SA"/>
              </w:rPr>
              <w:t>Перспективные топливные балансы</w:t>
            </w:r>
          </w:p>
        </w:tc>
        <w:tc>
          <w:tcPr>
            <w:tcW w:w="5803" w:type="dxa"/>
            <w:tcBorders/>
            <w:vAlign w:val="center"/>
          </w:tcPr>
          <w:p>
            <w:pPr>
              <w:pStyle w:val="Normal"/>
              <w:jc w:val="both"/>
              <w:rPr>
                <w:sz w:val="20"/>
                <w:szCs w:val="20"/>
                <w:lang w:eastAsia="ru-RU"/>
              </w:rPr>
            </w:pPr>
            <w:r>
              <w:rPr>
                <w:sz w:val="20"/>
                <w:szCs w:val="20"/>
                <w:lang w:eastAsia="ru-RU" w:bidi="ar-SA"/>
              </w:rPr>
              <w:t>информация по всем пунктам была скорректирована по состоянию на 01.01.2024. Перечень пунктов изменен в соответствии                           с актуальной редакцией постановления Правительства Российской Федерации от 22.02.2012 № 154 «О требованиях к схемам теплоснабжения, порядку их разработки и утверждения»</w:t>
            </w:r>
          </w:p>
        </w:tc>
      </w:tr>
      <w:tr>
        <w:trPr/>
        <w:tc>
          <w:tcPr>
            <w:tcW w:w="816" w:type="dxa"/>
            <w:tcBorders/>
            <w:vAlign w:val="center"/>
          </w:tcPr>
          <w:p>
            <w:pPr>
              <w:pStyle w:val="Normal"/>
              <w:jc w:val="center"/>
              <w:rPr>
                <w:sz w:val="20"/>
                <w:szCs w:val="20"/>
                <w:lang w:eastAsia="ru-RU"/>
              </w:rPr>
            </w:pPr>
            <w:r>
              <w:rPr>
                <w:sz w:val="20"/>
                <w:szCs w:val="20"/>
                <w:lang w:eastAsia="ru-RU" w:bidi="ar-SA"/>
              </w:rPr>
              <w:t>11</w:t>
            </w:r>
          </w:p>
        </w:tc>
        <w:tc>
          <w:tcPr>
            <w:tcW w:w="2826" w:type="dxa"/>
            <w:tcBorders/>
            <w:vAlign w:val="center"/>
          </w:tcPr>
          <w:p>
            <w:pPr>
              <w:pStyle w:val="Normal"/>
              <w:jc w:val="both"/>
              <w:rPr>
                <w:sz w:val="20"/>
                <w:szCs w:val="20"/>
                <w:lang w:eastAsia="ru-RU"/>
              </w:rPr>
            </w:pPr>
            <w:r>
              <w:rPr>
                <w:sz w:val="20"/>
                <w:szCs w:val="20"/>
                <w:lang w:eastAsia="ru-RU" w:bidi="ar-SA"/>
              </w:rPr>
              <w:t>Оценка надежности теплоснабжения</w:t>
            </w:r>
          </w:p>
        </w:tc>
        <w:tc>
          <w:tcPr>
            <w:tcW w:w="5803" w:type="dxa"/>
            <w:tcBorders/>
            <w:vAlign w:val="center"/>
          </w:tcPr>
          <w:p>
            <w:pPr>
              <w:pStyle w:val="Normal"/>
              <w:jc w:val="both"/>
              <w:rPr>
                <w:sz w:val="20"/>
                <w:szCs w:val="20"/>
                <w:lang w:eastAsia="ru-RU"/>
              </w:rPr>
            </w:pPr>
            <w:r>
              <w:rPr>
                <w:sz w:val="20"/>
                <w:szCs w:val="20"/>
                <w:lang w:eastAsia="ru-RU" w:bidi="ar-SA"/>
              </w:rPr>
              <w:t>информация по всем пунктам была скорректирована по состоянию на 01.01.2024. Перечень пунктов изменен в соответствии                          с актуальной редакцией постановления Правительства Российской Федерации от 22.02.2012 № 154 «О требованиях к схемам теплоснабжения, порядку их разработки и утверждения»</w:t>
            </w:r>
          </w:p>
        </w:tc>
      </w:tr>
      <w:tr>
        <w:trPr/>
        <w:tc>
          <w:tcPr>
            <w:tcW w:w="816" w:type="dxa"/>
            <w:tcBorders/>
            <w:vAlign w:val="center"/>
          </w:tcPr>
          <w:p>
            <w:pPr>
              <w:pStyle w:val="Normal"/>
              <w:jc w:val="center"/>
              <w:rPr>
                <w:sz w:val="20"/>
                <w:szCs w:val="20"/>
                <w:lang w:eastAsia="ru-RU"/>
              </w:rPr>
            </w:pPr>
            <w:r>
              <w:rPr>
                <w:sz w:val="20"/>
                <w:szCs w:val="20"/>
                <w:lang w:eastAsia="ru-RU" w:bidi="ar-SA"/>
              </w:rPr>
              <w:t>12</w:t>
            </w:r>
          </w:p>
        </w:tc>
        <w:tc>
          <w:tcPr>
            <w:tcW w:w="2826" w:type="dxa"/>
            <w:tcBorders/>
            <w:vAlign w:val="center"/>
          </w:tcPr>
          <w:p>
            <w:pPr>
              <w:pStyle w:val="Normal"/>
              <w:jc w:val="both"/>
              <w:rPr>
                <w:sz w:val="20"/>
                <w:szCs w:val="20"/>
                <w:lang w:eastAsia="ru-RU"/>
              </w:rPr>
            </w:pPr>
            <w:r>
              <w:rPr>
                <w:sz w:val="20"/>
                <w:szCs w:val="20"/>
                <w:lang w:eastAsia="ru-RU" w:bidi="ar-SA"/>
              </w:rPr>
              <w:t>Обоснование инвестиций в строительство, реконструкцию и техническое перевооружение</w:t>
            </w:r>
          </w:p>
        </w:tc>
        <w:tc>
          <w:tcPr>
            <w:tcW w:w="5803" w:type="dxa"/>
            <w:tcBorders/>
            <w:vAlign w:val="center"/>
          </w:tcPr>
          <w:p>
            <w:pPr>
              <w:pStyle w:val="Normal"/>
              <w:jc w:val="both"/>
              <w:rPr>
                <w:sz w:val="20"/>
                <w:szCs w:val="20"/>
                <w:lang w:eastAsia="ru-RU"/>
              </w:rPr>
            </w:pPr>
            <w:r>
              <w:rPr>
                <w:sz w:val="20"/>
                <w:szCs w:val="20"/>
                <w:lang w:eastAsia="ru-RU" w:bidi="ar-SA"/>
              </w:rPr>
              <w:t>информация по всем пунктам была скорректирована по состоянию на 01.01.2024. Перечень пунктов изменен в соответствии                            с актуальной редакцией постановления Правительства Российской Федерации от 22.02.2012 № 154 «О требованиях к схемам теплоснабжения, порядку их разработки и утверждения»</w:t>
            </w:r>
          </w:p>
        </w:tc>
      </w:tr>
      <w:tr>
        <w:trPr/>
        <w:tc>
          <w:tcPr>
            <w:tcW w:w="816" w:type="dxa"/>
            <w:tcBorders/>
            <w:vAlign w:val="center"/>
          </w:tcPr>
          <w:p>
            <w:pPr>
              <w:pStyle w:val="Normal"/>
              <w:jc w:val="center"/>
              <w:rPr>
                <w:sz w:val="20"/>
                <w:szCs w:val="20"/>
                <w:lang w:eastAsia="ru-RU"/>
              </w:rPr>
            </w:pPr>
            <w:r>
              <w:rPr>
                <w:sz w:val="20"/>
                <w:szCs w:val="20"/>
                <w:lang w:eastAsia="ru-RU" w:bidi="ar-SA"/>
              </w:rPr>
              <w:t>13</w:t>
            </w:r>
          </w:p>
        </w:tc>
        <w:tc>
          <w:tcPr>
            <w:tcW w:w="2826" w:type="dxa"/>
            <w:tcBorders/>
            <w:vAlign w:val="center"/>
          </w:tcPr>
          <w:p>
            <w:pPr>
              <w:pStyle w:val="Normal"/>
              <w:jc w:val="both"/>
              <w:rPr>
                <w:sz w:val="20"/>
                <w:szCs w:val="20"/>
                <w:lang w:eastAsia="ru-RU"/>
              </w:rPr>
            </w:pPr>
            <w:r>
              <w:rPr>
                <w:sz w:val="20"/>
                <w:szCs w:val="20"/>
                <w:lang w:eastAsia="ru-RU" w:bidi="ar-SA"/>
              </w:rPr>
              <w:t xml:space="preserve">Индикаторы развития систем теплоснабжения </w:t>
            </w:r>
          </w:p>
        </w:tc>
        <w:tc>
          <w:tcPr>
            <w:tcW w:w="5803" w:type="dxa"/>
            <w:tcBorders/>
            <w:vAlign w:val="center"/>
          </w:tcPr>
          <w:p>
            <w:pPr>
              <w:pStyle w:val="Normal"/>
              <w:jc w:val="both"/>
              <w:rPr>
                <w:sz w:val="20"/>
                <w:szCs w:val="20"/>
                <w:lang w:eastAsia="ru-RU"/>
              </w:rPr>
            </w:pPr>
            <w:r>
              <w:rPr>
                <w:sz w:val="20"/>
                <w:szCs w:val="20"/>
                <w:lang w:eastAsia="ru-RU" w:bidi="ar-SA"/>
              </w:rPr>
              <w:t>внесены корректировки в Главу 13 «Индикаторы развития систем теплоснабжения поселения»</w:t>
            </w:r>
          </w:p>
        </w:tc>
      </w:tr>
      <w:tr>
        <w:trPr/>
        <w:tc>
          <w:tcPr>
            <w:tcW w:w="816" w:type="dxa"/>
            <w:tcBorders/>
            <w:vAlign w:val="center"/>
          </w:tcPr>
          <w:p>
            <w:pPr>
              <w:pStyle w:val="Normal"/>
              <w:jc w:val="center"/>
              <w:rPr>
                <w:sz w:val="20"/>
                <w:szCs w:val="20"/>
                <w:lang w:eastAsia="ru-RU"/>
              </w:rPr>
            </w:pPr>
            <w:r>
              <w:rPr>
                <w:sz w:val="20"/>
                <w:szCs w:val="20"/>
                <w:lang w:eastAsia="ru-RU" w:bidi="ar-SA"/>
              </w:rPr>
              <w:t>14</w:t>
            </w:r>
          </w:p>
        </w:tc>
        <w:tc>
          <w:tcPr>
            <w:tcW w:w="2826" w:type="dxa"/>
            <w:tcBorders/>
            <w:vAlign w:val="center"/>
          </w:tcPr>
          <w:p>
            <w:pPr>
              <w:pStyle w:val="Normal"/>
              <w:jc w:val="both"/>
              <w:rPr>
                <w:sz w:val="20"/>
                <w:szCs w:val="20"/>
                <w:lang w:eastAsia="ru-RU"/>
              </w:rPr>
            </w:pPr>
            <w:r>
              <w:rPr>
                <w:sz w:val="20"/>
                <w:szCs w:val="20"/>
                <w:lang w:eastAsia="ru-RU" w:bidi="ar-SA"/>
              </w:rPr>
              <w:t>Ценовые (тарифные) последствия</w:t>
            </w:r>
          </w:p>
        </w:tc>
        <w:tc>
          <w:tcPr>
            <w:tcW w:w="5803" w:type="dxa"/>
            <w:tcBorders/>
            <w:vAlign w:val="center"/>
          </w:tcPr>
          <w:p>
            <w:pPr>
              <w:pStyle w:val="Normal"/>
              <w:jc w:val="both"/>
              <w:rPr>
                <w:sz w:val="20"/>
                <w:szCs w:val="20"/>
                <w:lang w:eastAsia="ru-RU"/>
              </w:rPr>
            </w:pPr>
            <w:r>
              <w:rPr>
                <w:sz w:val="20"/>
                <w:szCs w:val="20"/>
                <w:lang w:eastAsia="ru-RU" w:bidi="ar-SA"/>
              </w:rPr>
              <w:t>внесены корректировки в Главу 14 «Ценовые (тарифные) последствия»</w:t>
            </w:r>
          </w:p>
        </w:tc>
      </w:tr>
      <w:tr>
        <w:trPr/>
        <w:tc>
          <w:tcPr>
            <w:tcW w:w="816" w:type="dxa"/>
            <w:tcBorders/>
            <w:vAlign w:val="center"/>
          </w:tcPr>
          <w:p>
            <w:pPr>
              <w:pStyle w:val="Normal"/>
              <w:jc w:val="center"/>
              <w:rPr>
                <w:sz w:val="20"/>
                <w:szCs w:val="20"/>
                <w:lang w:eastAsia="ru-RU"/>
              </w:rPr>
            </w:pPr>
            <w:r>
              <w:rPr>
                <w:sz w:val="20"/>
                <w:szCs w:val="20"/>
                <w:lang w:eastAsia="ru-RU" w:bidi="ar-SA"/>
              </w:rPr>
              <w:t>15</w:t>
            </w:r>
          </w:p>
        </w:tc>
        <w:tc>
          <w:tcPr>
            <w:tcW w:w="2826" w:type="dxa"/>
            <w:tcBorders/>
            <w:vAlign w:val="center"/>
          </w:tcPr>
          <w:p>
            <w:pPr>
              <w:pStyle w:val="Normal"/>
              <w:jc w:val="both"/>
              <w:rPr>
                <w:sz w:val="20"/>
                <w:szCs w:val="20"/>
                <w:lang w:eastAsia="ru-RU"/>
              </w:rPr>
            </w:pPr>
            <w:r>
              <w:rPr>
                <w:sz w:val="20"/>
                <w:szCs w:val="20"/>
                <w:lang w:eastAsia="ru-RU" w:bidi="ar-SA"/>
              </w:rPr>
              <w:t>Реестр единых теплоснабжающих организаций</w:t>
            </w:r>
          </w:p>
        </w:tc>
        <w:tc>
          <w:tcPr>
            <w:tcW w:w="5803" w:type="dxa"/>
            <w:tcBorders/>
            <w:vAlign w:val="center"/>
          </w:tcPr>
          <w:p>
            <w:pPr>
              <w:pStyle w:val="Normal"/>
              <w:jc w:val="both"/>
              <w:rPr>
                <w:sz w:val="20"/>
                <w:szCs w:val="20"/>
                <w:lang w:eastAsia="ru-RU"/>
              </w:rPr>
            </w:pPr>
            <w:r>
              <w:rPr>
                <w:sz w:val="20"/>
                <w:szCs w:val="20"/>
                <w:lang w:eastAsia="ru-RU" w:bidi="ar-SA"/>
              </w:rPr>
              <w:t>информация по всем пунктам была скорректирована по состоянию на 01.01.2024. Перечень пунктов изменен в соответствии                             с актуальной редакцией постановления Правительства Российской Федерации от 22.02.2012 № 154 «О требованиях к схемам теплоснабжения, порядку их разработки и утверждения»</w:t>
            </w:r>
          </w:p>
        </w:tc>
      </w:tr>
      <w:tr>
        <w:trPr/>
        <w:tc>
          <w:tcPr>
            <w:tcW w:w="816" w:type="dxa"/>
            <w:tcBorders/>
            <w:vAlign w:val="center"/>
          </w:tcPr>
          <w:p>
            <w:pPr>
              <w:pStyle w:val="Normal"/>
              <w:jc w:val="center"/>
              <w:rPr>
                <w:sz w:val="20"/>
                <w:szCs w:val="20"/>
                <w:lang w:eastAsia="ru-RU"/>
              </w:rPr>
            </w:pPr>
            <w:r>
              <w:rPr>
                <w:sz w:val="20"/>
                <w:szCs w:val="20"/>
                <w:lang w:eastAsia="ru-RU" w:bidi="ar-SA"/>
              </w:rPr>
              <w:t>16</w:t>
            </w:r>
          </w:p>
        </w:tc>
        <w:tc>
          <w:tcPr>
            <w:tcW w:w="2826" w:type="dxa"/>
            <w:tcBorders/>
            <w:vAlign w:val="center"/>
          </w:tcPr>
          <w:p>
            <w:pPr>
              <w:pStyle w:val="Normal"/>
              <w:jc w:val="both"/>
              <w:rPr>
                <w:sz w:val="20"/>
                <w:szCs w:val="20"/>
                <w:lang w:eastAsia="ru-RU"/>
              </w:rPr>
            </w:pPr>
            <w:r>
              <w:rPr>
                <w:sz w:val="20"/>
                <w:szCs w:val="20"/>
                <w:lang w:eastAsia="ru-RU" w:bidi="ar-SA"/>
              </w:rPr>
              <w:t>Реестр мероприятий схемы теплоснабжения</w:t>
            </w:r>
          </w:p>
        </w:tc>
        <w:tc>
          <w:tcPr>
            <w:tcW w:w="5803" w:type="dxa"/>
            <w:tcBorders/>
            <w:vAlign w:val="center"/>
          </w:tcPr>
          <w:p>
            <w:pPr>
              <w:pStyle w:val="Normal"/>
              <w:jc w:val="both"/>
              <w:rPr>
                <w:sz w:val="20"/>
                <w:szCs w:val="20"/>
                <w:lang w:eastAsia="ru-RU"/>
              </w:rPr>
            </w:pPr>
            <w:r>
              <w:rPr>
                <w:sz w:val="20"/>
                <w:szCs w:val="20"/>
                <w:lang w:eastAsia="ru-RU" w:bidi="ar-SA"/>
              </w:rPr>
              <w:t>внесены корректировки в Главу 16 «Реестр мероприятий схемы теплоснабжения поселения»</w:t>
            </w:r>
          </w:p>
        </w:tc>
      </w:tr>
      <w:tr>
        <w:trPr/>
        <w:tc>
          <w:tcPr>
            <w:tcW w:w="816" w:type="dxa"/>
            <w:tcBorders/>
            <w:vAlign w:val="center"/>
          </w:tcPr>
          <w:p>
            <w:pPr>
              <w:pStyle w:val="Normal"/>
              <w:jc w:val="center"/>
              <w:rPr>
                <w:sz w:val="20"/>
                <w:szCs w:val="20"/>
                <w:lang w:eastAsia="ru-RU"/>
              </w:rPr>
            </w:pPr>
            <w:r>
              <w:rPr>
                <w:sz w:val="20"/>
                <w:szCs w:val="20"/>
                <w:lang w:eastAsia="ru-RU" w:bidi="ar-SA"/>
              </w:rPr>
              <w:t>17</w:t>
            </w:r>
          </w:p>
        </w:tc>
        <w:tc>
          <w:tcPr>
            <w:tcW w:w="2826" w:type="dxa"/>
            <w:tcBorders/>
            <w:vAlign w:val="center"/>
          </w:tcPr>
          <w:p>
            <w:pPr>
              <w:pStyle w:val="Normal"/>
              <w:jc w:val="both"/>
              <w:rPr>
                <w:sz w:val="20"/>
                <w:szCs w:val="20"/>
                <w:lang w:eastAsia="ru-RU"/>
              </w:rPr>
            </w:pPr>
            <w:r>
              <w:rPr>
                <w:sz w:val="20"/>
                <w:szCs w:val="20"/>
                <w:lang w:eastAsia="ru-RU" w:bidi="ar-SA"/>
              </w:rPr>
              <w:t>Замечания и предложения к проекту схемы теплоснабжения</w:t>
            </w:r>
          </w:p>
        </w:tc>
        <w:tc>
          <w:tcPr>
            <w:tcW w:w="5803" w:type="dxa"/>
            <w:tcBorders/>
            <w:vAlign w:val="center"/>
          </w:tcPr>
          <w:p>
            <w:pPr>
              <w:pStyle w:val="Normal"/>
              <w:jc w:val="both"/>
              <w:rPr>
                <w:sz w:val="20"/>
                <w:szCs w:val="20"/>
                <w:lang w:eastAsia="ru-RU"/>
              </w:rPr>
            </w:pPr>
            <w:r>
              <w:rPr>
                <w:sz w:val="20"/>
                <w:szCs w:val="20"/>
                <w:lang w:eastAsia="ru-RU" w:bidi="ar-SA"/>
              </w:rPr>
              <w:t>внесены корректировки в Главу 17 «Замечания и предложения                     к проекту схемы теплоснабжения поселения»</w:t>
            </w:r>
          </w:p>
        </w:tc>
      </w:tr>
      <w:tr>
        <w:trPr/>
        <w:tc>
          <w:tcPr>
            <w:tcW w:w="816" w:type="dxa"/>
            <w:tcBorders/>
            <w:vAlign w:val="center"/>
          </w:tcPr>
          <w:p>
            <w:pPr>
              <w:pStyle w:val="Normal"/>
              <w:jc w:val="center"/>
              <w:rPr>
                <w:sz w:val="20"/>
                <w:szCs w:val="20"/>
                <w:lang w:eastAsia="ru-RU"/>
              </w:rPr>
            </w:pPr>
            <w:r>
              <w:rPr>
                <w:sz w:val="20"/>
                <w:szCs w:val="20"/>
                <w:lang w:eastAsia="ru-RU" w:bidi="ar-SA"/>
              </w:rPr>
              <w:t>18</w:t>
            </w:r>
          </w:p>
        </w:tc>
        <w:tc>
          <w:tcPr>
            <w:tcW w:w="2826" w:type="dxa"/>
            <w:tcBorders/>
            <w:vAlign w:val="center"/>
          </w:tcPr>
          <w:p>
            <w:pPr>
              <w:pStyle w:val="Normal"/>
              <w:jc w:val="both"/>
              <w:rPr>
                <w:sz w:val="20"/>
                <w:szCs w:val="20"/>
                <w:lang w:eastAsia="ru-RU"/>
              </w:rPr>
            </w:pPr>
            <w:r>
              <w:rPr>
                <w:sz w:val="20"/>
                <w:szCs w:val="20"/>
                <w:lang w:eastAsia="ru-RU" w:bidi="ar-SA"/>
              </w:rPr>
              <w:t>Сводный том изменений, выполненных в доработанной и (или) актуализированной схемы теплоснабжения</w:t>
            </w:r>
          </w:p>
        </w:tc>
        <w:tc>
          <w:tcPr>
            <w:tcW w:w="5803" w:type="dxa"/>
            <w:tcBorders/>
            <w:vAlign w:val="center"/>
          </w:tcPr>
          <w:p>
            <w:pPr>
              <w:pStyle w:val="Normal"/>
              <w:jc w:val="both"/>
              <w:rPr>
                <w:sz w:val="20"/>
                <w:szCs w:val="20"/>
                <w:lang w:eastAsia="ru-RU"/>
              </w:rPr>
            </w:pPr>
            <w:r>
              <w:rPr>
                <w:sz w:val="20"/>
                <w:szCs w:val="20"/>
                <w:lang w:eastAsia="ru-RU" w:bidi="ar-SA"/>
              </w:rPr>
              <w:t>внесены корректировки в Главу 18 «Сводный том изменений, выполненных в доработанной и (или) актуализированной схемы теплоснабжения поселения»</w:t>
            </w:r>
          </w:p>
        </w:tc>
      </w:tr>
    </w:tbl>
    <w:p>
      <w:pPr>
        <w:pStyle w:val="Normal"/>
        <w:keepNext w:val="true"/>
        <w:keepLines/>
        <w:numPr>
          <w:ilvl w:val="0"/>
          <w:numId w:val="0"/>
        </w:numPr>
        <w:ind w:left="0" w:firstLine="709"/>
        <w:jc w:val="both"/>
        <w:outlineLvl w:val="1"/>
        <w:rPr>
          <w:rFonts w:eastAsia="Calibri Light"/>
          <w:b/>
          <w:b/>
          <w:szCs w:val="26"/>
          <w:lang w:eastAsia="en-US"/>
        </w:rPr>
      </w:pPr>
      <w:bookmarkStart w:id="1383" w:name="_Toc181340560"/>
      <w:bookmarkStart w:id="1384" w:name="_Toc160530095"/>
      <w:bookmarkStart w:id="1385" w:name="_Hlk160649208"/>
      <w:bookmarkEnd w:id="1385"/>
      <w:r>
        <w:rPr>
          <w:rFonts w:eastAsia="Calibri Light"/>
          <w:b/>
          <w:szCs w:val="26"/>
          <w:lang w:eastAsia="en-US"/>
        </w:rPr>
        <w:t>18.2. Сведения о том, какие мероприятия из утвержденной схемы теплоснабжения были выполнены за период, прошедший с даты утверждения схемы теплоснабжения</w:t>
      </w:r>
      <w:bookmarkEnd w:id="1383"/>
      <w:bookmarkEnd w:id="1384"/>
    </w:p>
    <w:p>
      <w:pPr>
        <w:pStyle w:val="Normal"/>
        <w:keepNext w:val="true"/>
        <w:keepLines/>
        <w:numPr>
          <w:ilvl w:val="0"/>
          <w:numId w:val="0"/>
        </w:numPr>
        <w:ind w:left="0" w:firstLine="709"/>
        <w:jc w:val="both"/>
        <w:outlineLvl w:val="1"/>
        <w:rPr>
          <w:rFonts w:eastAsia="Calibri Light"/>
          <w:b/>
          <w:b/>
          <w:szCs w:val="26"/>
          <w:lang w:eastAsia="en-US"/>
        </w:rPr>
      </w:pPr>
      <w:r>
        <w:rPr>
          <w:rFonts w:eastAsia="Calibri" w:cs="Calibri"/>
          <w:szCs w:val="22"/>
          <w:lang w:eastAsia="en-US"/>
        </w:rPr>
        <w:t>Сведения о том, какие мероприятия из утвержденной схемы теплоснабжения были выполнены за период, прошедший с даты утверждения схемы теплоснабжения, отсутствуют.</w:t>
      </w:r>
    </w:p>
    <w:p>
      <w:pPr>
        <w:pStyle w:val="Normal"/>
        <w:widowControl w:val="false"/>
        <w:tabs>
          <w:tab w:val="clear" w:pos="408"/>
          <w:tab w:val="left" w:pos="720" w:leader="none"/>
        </w:tabs>
        <w:ind w:left="720" w:hanging="0"/>
        <w:rPr>
          <w:lang w:eastAsia="ru-RU"/>
        </w:rPr>
      </w:pPr>
      <w:r>
        <w:rPr/>
      </w:r>
    </w:p>
    <w:sectPr>
      <w:headerReference w:type="default" r:id="rId80"/>
      <w:footerReference w:type="default" r:id="rId81"/>
      <w:type w:val="nextPage"/>
      <w:pgSz w:w="11906" w:h="16838"/>
      <w:pgMar w:left="1701" w:right="567" w:header="0" w:top="1134" w:footer="0" w:bottom="1134" w:gutter="0"/>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PT Astra Serif">
    <w:charset w:val="01"/>
    <w:family w:val="roman"/>
    <w:pitch w:val="default"/>
  </w:font>
  <w:font w:name="Times New Roman">
    <w:charset w:val="01"/>
    <w:family w:val="roman"/>
    <w:pitch w:val="default"/>
  </w:font>
  <w:font w:name="Calibri Light">
    <w:charset w:val="01"/>
    <w:family w:val="roman"/>
    <w:pitch w:val="default"/>
  </w:font>
  <w:font w:name="Tinos">
    <w:charset w:val="01"/>
    <w:family w:val="roman"/>
    <w:pitch w:val="default"/>
  </w:font>
  <w:font w:name="Symbol">
    <w:charset w:val="01"/>
    <w:family w:val="roman"/>
    <w:pitch w:val="default"/>
  </w:font>
  <w:font w:name="Courier New">
    <w:charset w:val="01"/>
    <w:family w:val="roman"/>
    <w:pitch w:val="default"/>
  </w:font>
  <w:font w:name="Wingdings">
    <w:charset w:val="01"/>
    <w:family w:val="roman"/>
    <w:pitch w:val="default"/>
  </w:font>
  <w:font w:name="Tahoma">
    <w:charset w:val="01"/>
    <w:family w:val="roman"/>
    <w:pitch w:val="default"/>
  </w:font>
  <w:font w:name="Arial">
    <w:charset w:val="01"/>
    <w:family w:val="roman"/>
    <w:pitch w:val="default"/>
  </w:font>
  <w:font w:name="Constantia">
    <w:charset w:val="01"/>
    <w:family w:val="roman"/>
    <w:pitch w:val="default"/>
  </w:font>
  <w:font w:name="Century Gothic">
    <w:charset w:val="01"/>
    <w:family w:val="roman"/>
    <w:pitch w:val="default"/>
  </w:font>
  <w:font w:name="Calibri">
    <w:charset w:val="01"/>
    <w:family w:val="roman"/>
    <w:pitch w:val="default"/>
  </w:font>
  <w:font w:name="Consolas">
    <w:charset w:val="01"/>
    <w:family w:val="roman"/>
    <w:pitch w:val="default"/>
  </w:font>
  <w:font w:name="Cambria">
    <w:charset w:val="01"/>
    <w:family w:val="roman"/>
    <w:pitch w:val="default"/>
  </w:font>
  <w:font w:name="Verdana">
    <w:charset w:val="01"/>
    <w:family w:val="roman"/>
    <w:pitch w:val="default"/>
  </w:font>
  <w:font w:name="Sylfaen">
    <w:charset w:val="01"/>
    <w:family w:val="roman"/>
    <w:pitch w:val="default"/>
  </w:font>
  <w:font w:name="MS Mincho">
    <w:charset w:val="01"/>
    <w:family w:val="roman"/>
    <w:pitch w:val="default"/>
  </w:font>
  <w:font w:name="Arial Narrow">
    <w:charset w:val="01"/>
    <w:family w:val="roman"/>
    <w:pitch w:val="default"/>
  </w:font>
  <w:font w:name="Garamond">
    <w:charset w:val="01"/>
    <w:family w:val="roman"/>
    <w:pitch w:val="default"/>
  </w:font>
  <w:font w:name="Palatino Linotype">
    <w:charset w:val="01"/>
    <w:family w:val="roman"/>
    <w:pitch w:val="default"/>
  </w:font>
  <w:font w:name="Lucida Sans Unicode">
    <w:charset w:val="01"/>
    <w:family w:val="roman"/>
    <w:pitch w:val="default"/>
  </w:font>
  <w:font w:name="Book Antiqua">
    <w:charset w:val="01"/>
    <w:family w:val="roman"/>
    <w:pitch w:val="default"/>
  </w:font>
  <w:font w:name="Bookman Old Style">
    <w:charset w:val="01"/>
    <w:family w:val="roman"/>
    <w:pitch w:val="default"/>
  </w:font>
  <w:font w:name="Franklin Gothic Medium">
    <w:charset w:val="01"/>
    <w:family w:val="roman"/>
    <w:pitch w:val="default"/>
  </w:font>
  <w:font w:name="GOST Type BU">
    <w:charset w:val="01"/>
    <w:family w:val="roman"/>
    <w:pitch w:val="default"/>
  </w:font>
  <w:font w:name="Times New Roman CYR">
    <w:charset w:val="01"/>
    <w:family w:val="roman"/>
    <w:pitch w:val="default"/>
  </w:font>
  <w:font w:name="MS Serif">
    <w:charset w:val="01"/>
    <w:family w:val="roman"/>
    <w:pitch w:val="default"/>
  </w:font>
  <w:font w:name="Arial CYR">
    <w:charset w:val="01"/>
    <w:family w:val="roman"/>
    <w:pitch w:val="default"/>
  </w:font>
  <w:font w:name="Arial Unicode MS">
    <w:charset w:val="01"/>
    <w:family w:val="roman"/>
    <w:pitch w:val="default"/>
  </w:font>
  <w:font w:name="Georgia">
    <w:charset w:val="01"/>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956206053"/>
    </w:sdtPr>
    <w:sdtContent>
      <w:p>
        <w:pPr>
          <w:pStyle w:val="132"/>
          <w:jc w:val="center"/>
          <w:rPr>
            <w:b/>
            <w:b/>
            <w:bCs/>
            <w:sz w:val="20"/>
            <w:szCs w:val="20"/>
          </w:rPr>
        </w:pPr>
        <w:r>
          <w:rPr>
            <w:b/>
            <w:sz w:val="20"/>
          </w:rPr>
          <w:tab/>
        </w:r>
      </w:p>
    </w:sdtContent>
  </w:sdt>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928763792"/>
    </w:sdtPr>
    <w:sdtContent>
      <w:p>
        <w:pPr>
          <w:pStyle w:val="132"/>
          <w:jc w:val="center"/>
          <w:rPr>
            <w:b/>
            <w:b/>
            <w:bCs/>
            <w:sz w:val="20"/>
            <w:szCs w:val="20"/>
          </w:rPr>
        </w:pPr>
        <w:r>
          <w:rPr>
            <w:b/>
            <w:sz w:val="20"/>
          </w:rPr>
          <w:tab/>
        </w:r>
      </w:p>
    </w:sdtContent>
  </w:sdt>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99065398"/>
    </w:sdtPr>
    <w:sdtContent>
      <w:p>
        <w:pPr>
          <w:pStyle w:val="132"/>
          <w:jc w:val="center"/>
          <w:rPr>
            <w:b/>
            <w:b/>
            <w:bCs/>
            <w:sz w:val="20"/>
            <w:szCs w:val="20"/>
          </w:rPr>
        </w:pPr>
        <w:r>
          <w:rPr>
            <w:b/>
            <w:sz w:val="20"/>
          </w:rPr>
          <w:tab/>
        </w:r>
      </w:p>
    </w:sdtContent>
  </w:sdt>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923815088"/>
    </w:sdtPr>
    <w:sdtContent>
      <w:p>
        <w:pPr>
          <w:pStyle w:val="132"/>
          <w:jc w:val="center"/>
          <w:rPr>
            <w:b/>
            <w:b/>
            <w:bCs/>
            <w:sz w:val="20"/>
            <w:szCs w:val="20"/>
          </w:rPr>
        </w:pPr>
        <w:r>
          <w:rPr>
            <w:b/>
            <w:sz w:val="20"/>
          </w:rPr>
          <w:tab/>
        </w:r>
      </w:p>
    </w:sdtContent>
  </w:sdt>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035100505"/>
    </w:sdtPr>
    <w:sdtContent>
      <w:p>
        <w:pPr>
          <w:pStyle w:val="132"/>
          <w:jc w:val="center"/>
          <w:rPr>
            <w:b/>
            <w:b/>
            <w:bCs/>
            <w:sz w:val="20"/>
            <w:szCs w:val="20"/>
          </w:rPr>
        </w:pPr>
        <w:r>
          <w:rPr>
            <w:b/>
            <w:sz w:val="20"/>
          </w:rPr>
          <w:tab/>
        </w:r>
      </w:p>
    </w:sdtContent>
  </w:sdt>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378715311"/>
    </w:sdtPr>
    <w:sdtContent>
      <w:p>
        <w:pPr>
          <w:pStyle w:val="132"/>
          <w:jc w:val="center"/>
          <w:rPr>
            <w:b/>
            <w:b/>
            <w:bCs/>
            <w:sz w:val="20"/>
            <w:szCs w:val="20"/>
          </w:rPr>
        </w:pPr>
        <w:r>
          <w:rPr>
            <w:b/>
            <w:sz w:val="20"/>
          </w:rPr>
          <w:tab/>
        </w:r>
      </w:p>
      <w:p>
        <w:pPr>
          <w:pStyle w:val="132"/>
          <w:jc w:val="center"/>
          <w:rPr>
            <w:b/>
            <w:b/>
            <w:bCs/>
            <w:sz w:val="20"/>
            <w:szCs w:val="20"/>
          </w:rPr>
        </w:pPr>
        <w:r>
          <w:rPr>
            <w:b/>
            <w:bCs/>
            <w:sz w:val="20"/>
            <w:szCs w:val="20"/>
          </w:rPr>
        </w:r>
      </w:p>
    </w:sdtContent>
  </w:sdt>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630916674"/>
    </w:sdtPr>
    <w:sdtContent>
      <w:p>
        <w:pPr>
          <w:pStyle w:val="132"/>
          <w:jc w:val="center"/>
          <w:rPr>
            <w:b/>
            <w:b/>
            <w:bCs/>
            <w:sz w:val="20"/>
            <w:szCs w:val="20"/>
          </w:rPr>
        </w:pPr>
        <w:r>
          <w:rPr>
            <w:b/>
            <w:sz w:val="20"/>
          </w:rPr>
          <w:tab/>
        </w:r>
      </w:p>
    </w:sdtContent>
  </w:sdt>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156436249"/>
    </w:sdtPr>
    <w:sdtContent>
      <w:p>
        <w:pPr>
          <w:pStyle w:val="132"/>
          <w:jc w:val="center"/>
          <w:rPr>
            <w:b/>
            <w:b/>
            <w:bCs/>
            <w:sz w:val="20"/>
            <w:szCs w:val="20"/>
          </w:rPr>
        </w:pPr>
        <w:r>
          <w:rPr>
            <w:b/>
            <w:sz w:val="20"/>
          </w:rPr>
          <w:tab/>
        </w:r>
      </w:p>
    </w:sdtContent>
  </w:sdt>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360182994"/>
    </w:sdtPr>
    <w:sdtContent>
      <w:p>
        <w:pPr>
          <w:pStyle w:val="132"/>
          <w:jc w:val="center"/>
          <w:rPr>
            <w:b/>
            <w:b/>
            <w:bCs/>
            <w:sz w:val="20"/>
            <w:szCs w:val="20"/>
          </w:rPr>
        </w:pPr>
        <w:r>
          <w:rPr>
            <w:b/>
            <w:sz w:val="20"/>
          </w:rPr>
          <w:tab/>
        </w:r>
      </w:p>
    </w:sdtContent>
  </w:sdt>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906597827"/>
    </w:sdtPr>
    <w:sdtContent>
      <w:p>
        <w:pPr>
          <w:pStyle w:val="132"/>
          <w:jc w:val="center"/>
          <w:rPr>
            <w:b/>
            <w:b/>
            <w:bCs/>
            <w:sz w:val="20"/>
            <w:szCs w:val="20"/>
          </w:rPr>
        </w:pPr>
        <w:r>
          <w:rPr>
            <w:b/>
            <w:sz w:val="20"/>
          </w:rPr>
          <w:tab/>
        </w:r>
      </w:p>
    </w:sdtContent>
  </w:sdt>
</w:ftr>
</file>

<file path=word/footer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597816144"/>
    </w:sdtPr>
    <w:sdtContent>
      <w:p>
        <w:pPr>
          <w:pStyle w:val="132"/>
          <w:jc w:val="center"/>
          <w:rPr>
            <w:b/>
            <w:b/>
            <w:bCs/>
            <w:sz w:val="20"/>
            <w:szCs w:val="20"/>
          </w:rPr>
        </w:pPr>
        <w:r>
          <w:rPr>
            <w:b/>
            <w:sz w:val="20"/>
          </w:rPr>
          <w:tab/>
        </w:r>
      </w:p>
    </w:sdtContent>
  </w:sdt>
</w:ftr>
</file>

<file path=word/footer2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322767410"/>
    </w:sdtPr>
    <w:sdtContent>
      <w:p>
        <w:pPr>
          <w:pStyle w:val="132"/>
          <w:jc w:val="center"/>
          <w:rPr>
            <w:b/>
            <w:b/>
            <w:bCs/>
            <w:sz w:val="20"/>
            <w:szCs w:val="20"/>
          </w:rPr>
        </w:pPr>
        <w:r>
          <w:rPr>
            <w:b/>
            <w:sz w:val="20"/>
          </w:rPr>
          <w:tab/>
        </w:r>
      </w:p>
    </w:sdtContent>
  </w:sdt>
</w:ftr>
</file>

<file path=word/footer2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159424798"/>
    </w:sdtPr>
    <w:sdtContent>
      <w:p>
        <w:pPr>
          <w:pStyle w:val="132"/>
          <w:jc w:val="center"/>
          <w:rPr>
            <w:b/>
            <w:b/>
            <w:bCs/>
            <w:sz w:val="20"/>
            <w:szCs w:val="20"/>
          </w:rPr>
        </w:pPr>
        <w:r>
          <w:rPr>
            <w:b/>
            <w:sz w:val="20"/>
          </w:rPr>
          <w:tab/>
        </w:r>
      </w:p>
    </w:sdtContent>
  </w:sdt>
</w:ftr>
</file>

<file path=word/footer2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852142166"/>
    </w:sdtPr>
    <w:sdtContent>
      <w:p>
        <w:pPr>
          <w:pStyle w:val="132"/>
          <w:jc w:val="center"/>
          <w:rPr>
            <w:b/>
            <w:b/>
            <w:bCs/>
            <w:sz w:val="20"/>
            <w:szCs w:val="20"/>
          </w:rPr>
        </w:pPr>
        <w:r>
          <w:rPr>
            <w:b/>
            <w:sz w:val="20"/>
          </w:rPr>
          <w:tab/>
        </w:r>
      </w:p>
    </w:sdtContent>
  </w:sdt>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440430749"/>
    </w:sdtPr>
    <w:sdtContent>
      <w:p>
        <w:pPr>
          <w:pStyle w:val="132"/>
          <w:jc w:val="center"/>
          <w:rPr>
            <w:b/>
            <w:b/>
            <w:bCs/>
            <w:sz w:val="20"/>
            <w:szCs w:val="20"/>
          </w:rPr>
        </w:pPr>
        <w:r>
          <w:rPr>
            <w:b/>
            <w:sz w:val="20"/>
          </w:rPr>
          <w:tab/>
        </w:r>
      </w:p>
    </w:sdtContent>
  </w:sdt>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717768651"/>
    </w:sdtPr>
    <w:sdtContent>
      <w:p>
        <w:pPr>
          <w:pStyle w:val="132"/>
          <w:jc w:val="center"/>
          <w:rPr>
            <w:b/>
            <w:b/>
            <w:bCs/>
            <w:sz w:val="20"/>
            <w:szCs w:val="20"/>
          </w:rPr>
        </w:pPr>
        <w:r>
          <w:rPr>
            <w:b/>
            <w:sz w:val="20"/>
          </w:rPr>
          <w:tab/>
        </w:r>
      </w:p>
    </w:sdtContent>
  </w:sdt>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907353907"/>
    </w:sdtPr>
    <w:sdtContent>
      <w:p>
        <w:pPr>
          <w:pStyle w:val="132"/>
          <w:jc w:val="center"/>
          <w:rPr>
            <w:b/>
            <w:b/>
            <w:bCs/>
            <w:sz w:val="20"/>
            <w:szCs w:val="20"/>
          </w:rPr>
        </w:pPr>
        <w:r>
          <w:rPr>
            <w:b/>
            <w:sz w:val="20"/>
          </w:rPr>
          <w:tab/>
        </w:r>
      </w:p>
    </w:sdtContent>
  </w:sdt>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78714309"/>
    </w:sdtPr>
    <w:sdtContent>
      <w:p>
        <w:pPr>
          <w:pStyle w:val="132"/>
          <w:jc w:val="center"/>
          <w:rPr>
            <w:b/>
            <w:b/>
            <w:bCs/>
            <w:sz w:val="20"/>
            <w:szCs w:val="20"/>
          </w:rPr>
        </w:pPr>
        <w:r>
          <w:rPr>
            <w:b/>
            <w:sz w:val="20"/>
          </w:rPr>
          <w:tab/>
        </w:r>
      </w:p>
    </w:sdtContent>
  </w:sdt>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233924268"/>
    </w:sdtPr>
    <w:sdtContent>
      <w:p>
        <w:pPr>
          <w:pStyle w:val="132"/>
          <w:jc w:val="center"/>
          <w:rPr>
            <w:b/>
            <w:b/>
            <w:bCs/>
            <w:sz w:val="20"/>
            <w:szCs w:val="20"/>
          </w:rPr>
        </w:pPr>
        <w:r>
          <w:rPr>
            <w:b/>
            <w:sz w:val="20"/>
          </w:rPr>
          <w:tab/>
        </w:r>
      </w:p>
    </w:sdtContent>
  </w:sdt>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325585202"/>
    </w:sdtPr>
    <w:sdtContent>
      <w:p>
        <w:pPr>
          <w:pStyle w:val="132"/>
          <w:jc w:val="center"/>
          <w:rPr>
            <w:b/>
            <w:b/>
            <w:bCs/>
            <w:sz w:val="20"/>
            <w:szCs w:val="20"/>
          </w:rPr>
        </w:pPr>
        <w:r>
          <w:rPr>
            <w:b/>
            <w:sz w:val="20"/>
          </w:rPr>
          <w:tab/>
        </w:r>
      </w:p>
    </w:sdtContent>
  </w:sdt>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132"/>
      <w:jc w:val="center"/>
      <w:rPr>
        <w:b/>
        <w:b/>
        <w:sz w:val="18"/>
        <w:szCs w:val="18"/>
      </w:rPr>
    </w:pPr>
    <w:r>
      <w:rPr>
        <w:b/>
        <w:sz w:val="18"/>
        <w:szCs w:val="18"/>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132"/>
      <w:jc w:val="center"/>
      <w:rPr/>
    </w:pPr>
    <w:r>
      <w:rPr/>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132"/>
      <w:jc w:val="center"/>
      <w:rPr>
        <w:b/>
        <w:b/>
        <w:sz w:val="18"/>
        <w:szCs w:val="18"/>
      </w:rPr>
    </w:pPr>
    <w:r>
      <w:rPr>
        <w:b/>
        <w:sz w:val="18"/>
        <w:szCs w:val="18"/>
      </w:rPr>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132"/>
      <w:jc w:val="center"/>
      <w:rPr>
        <w:b/>
        <w:b/>
        <w:sz w:val="18"/>
        <w:szCs w:val="18"/>
      </w:rPr>
    </w:pPr>
    <w:r>
      <w:rPr>
        <w:b/>
        <w:sz w:val="18"/>
        <w:szCs w:val="18"/>
      </w:rPr>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132"/>
      <w:jc w:val="center"/>
      <w:rPr>
        <w:b/>
        <w:b/>
        <w:sz w:val="18"/>
        <w:szCs w:val="18"/>
      </w:rPr>
    </w:pPr>
    <w:r>
      <w:rPr>
        <w:b/>
        <w:sz w:val="18"/>
        <w:szCs w:val="18"/>
      </w:rPr>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132"/>
      <w:jc w:val="center"/>
      <w:rPr>
        <w:b/>
        <w:b/>
        <w:sz w:val="18"/>
        <w:szCs w:val="18"/>
      </w:rPr>
    </w:pPr>
    <w:r>
      <w:rPr>
        <w:b/>
        <w:sz w:val="18"/>
        <w:szCs w:val="18"/>
      </w:rPr>
    </w:r>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132"/>
      <w:jc w:val="center"/>
      <w:rPr/>
    </w:pPr>
    <w:r>
      <w:rPr/>
    </w:r>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132"/>
      <w:jc w:val="center"/>
      <w:rPr>
        <w:b/>
        <w:b/>
        <w:sz w:val="18"/>
        <w:szCs w:val="18"/>
      </w:rPr>
    </w:pPr>
    <w:r>
      <w:rPr>
        <w:b/>
        <w:sz w:val="18"/>
        <w:szCs w:val="18"/>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132"/>
      <w:jc w:val="center"/>
      <w:rPr>
        <w:b/>
        <w:b/>
        <w:sz w:val="18"/>
        <w:szCs w:val="18"/>
      </w:rPr>
    </w:pPr>
    <w:r>
      <w:rPr>
        <w:b/>
        <w:sz w:val="18"/>
        <w:szCs w:val="18"/>
      </w:rPr>
    </w:r>
  </w:p>
</w:hdr>
</file>

<file path=word/header2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132"/>
      <w:jc w:val="center"/>
      <w:rPr>
        <w:b/>
        <w:b/>
        <w:sz w:val="18"/>
        <w:szCs w:val="18"/>
      </w:rPr>
    </w:pPr>
    <w:r>
      <w:rPr>
        <w:b/>
        <w:sz w:val="18"/>
        <w:szCs w:val="18"/>
      </w:rPr>
    </w:r>
  </w:p>
</w:hdr>
</file>

<file path=word/header2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132"/>
      <w:jc w:val="center"/>
      <w:rPr>
        <w:b/>
        <w:b/>
        <w:sz w:val="18"/>
        <w:szCs w:val="18"/>
      </w:rPr>
    </w:pPr>
    <w:r>
      <w:rPr>
        <w:b/>
        <w:sz w:val="18"/>
        <w:szCs w:val="18"/>
      </w:rPr>
    </w:r>
  </w:p>
</w:hdr>
</file>

<file path=word/header2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132"/>
      <w:jc w:val="center"/>
      <w:rPr>
        <w:b/>
        <w:b/>
        <w:sz w:val="18"/>
        <w:szCs w:val="18"/>
      </w:rPr>
    </w:pPr>
    <w:r>
      <w:rPr>
        <w:b/>
        <w:sz w:val="18"/>
        <w:szCs w:val="18"/>
      </w:rPr>
    </w:r>
  </w:p>
</w:hdr>
</file>

<file path=word/header2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132"/>
      <w:jc w:val="center"/>
      <w:rPr>
        <w:b/>
        <w:b/>
        <w:sz w:val="18"/>
        <w:szCs w:val="18"/>
      </w:rPr>
    </w:pPr>
    <w:r>
      <w:rPr>
        <w:b/>
        <w:sz w:val="18"/>
        <w:szCs w:val="18"/>
      </w:rPr>
    </w:r>
  </w:p>
</w:hdr>
</file>

<file path=word/header2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132"/>
      <w:jc w:val="center"/>
      <w:rPr>
        <w:b/>
        <w:b/>
        <w:sz w:val="18"/>
        <w:szCs w:val="18"/>
      </w:rPr>
    </w:pPr>
    <w:r>
      <w:rPr>
        <w:b/>
        <w:sz w:val="18"/>
        <w:szCs w:val="18"/>
      </w:rPr>
    </w:r>
  </w:p>
</w:hdr>
</file>

<file path=word/header2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132"/>
      <w:jc w:val="center"/>
      <w:rPr>
        <w:b/>
        <w:b/>
        <w:sz w:val="18"/>
        <w:szCs w:val="18"/>
      </w:rPr>
    </w:pPr>
    <w:r>
      <w:rPr>
        <w:b/>
        <w:sz w:val="18"/>
        <w:szCs w:val="18"/>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132"/>
      <w:jc w:val="center"/>
      <w:rPr>
        <w:b/>
        <w:b/>
        <w:sz w:val="18"/>
        <w:szCs w:val="18"/>
      </w:rPr>
    </w:pPr>
    <w:r>
      <w:rPr>
        <w:b/>
        <w:sz w:val="18"/>
        <w:szCs w:val="18"/>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132"/>
      <w:jc w:val="center"/>
      <w:rPr>
        <w:b/>
        <w:b/>
        <w:sz w:val="18"/>
        <w:szCs w:val="18"/>
      </w:rPr>
    </w:pPr>
    <w:r>
      <w:rPr>
        <w:b/>
        <w:sz w:val="18"/>
        <w:szCs w:val="18"/>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132"/>
      <w:jc w:val="center"/>
      <w:rPr>
        <w:b/>
        <w:b/>
        <w:sz w:val="18"/>
        <w:szCs w:val="18"/>
      </w:rPr>
    </w:pPr>
    <w:r>
      <w:rPr>
        <w:b/>
        <w:sz w:val="18"/>
        <w:szCs w:val="18"/>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132"/>
      <w:jc w:val="center"/>
      <w:rPr>
        <w:b/>
        <w:b/>
        <w:sz w:val="18"/>
        <w:szCs w:val="18"/>
      </w:rPr>
    </w:pPr>
    <w:r>
      <w:rPr>
        <w:b/>
        <w:sz w:val="18"/>
        <w:szCs w:val="18"/>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132"/>
      <w:jc w:val="center"/>
      <w:rPr>
        <w:b/>
        <w:b/>
        <w:sz w:val="18"/>
        <w:szCs w:val="18"/>
      </w:rPr>
    </w:pPr>
    <w:r>
      <w:rPr>
        <w:b/>
        <w:sz w:val="18"/>
        <w:szCs w:val="18"/>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132"/>
      <w:jc w:val="center"/>
      <w:rPr>
        <w:b/>
        <w:b/>
        <w:sz w:val="18"/>
        <w:szCs w:val="18"/>
      </w:rPr>
    </w:pPr>
    <w:r>
      <w:rPr>
        <w:b/>
        <w:sz w:val="18"/>
        <w:szCs w:val="18"/>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tabs>
          <w:tab w:val="num" w:pos="720"/>
        </w:tabs>
        <w:ind w:left="720" w:hanging="360"/>
      </w:pPr>
      <w:rPr>
        <w:dstrike w:val="false"/>
        <w:strike w:val="false"/>
        <w:sz w:val="24"/>
        <w:b w:val="false"/>
        <w:rFonts w:cs="Times New Roman"/>
      </w:r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isplayBackgroundShape/>
  <w:defaultTabStop w:val="4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PT Astra Serif" w:hAnsi="PT Astra Serif" w:eastAsia="Tahoma" w:cs="Noto Sans Devanagari"/>
        <w:szCs w:val="24"/>
        <w:lang w:val="ru-RU" w:eastAsia="zh-CN" w:bidi="hi-IN"/>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1" w:semiHidden="1" w:unhideWhenUsed="1" w:qFormat="1"/>
    <w:lsdException w:name="heading 4" w:uiPriority="1" w:semiHidden="1" w:unhideWhenUsed="1" w:qFormat="1"/>
    <w:lsdException w:name="heading 5" w:uiPriority="1" w:semiHidden="1" w:unhideWhenUsed="1" w:qFormat="1"/>
    <w:lsdException w:name="heading 6" w:uiPriority="1" w:semiHidden="1" w:unhideWhenUsed="1" w:qFormat="1"/>
    <w:lsdException w:name="heading 7" w:uiPriority="1" w:semiHidden="1" w:unhideWhenUsed="1" w:qFormat="1"/>
    <w:lsdException w:name="heading 8" w:uiPriority="1" w:semiHidden="1" w:unhideWhenUsed="1" w:qFormat="1"/>
    <w:lsdException w:name="heading 9" w:uiPriority="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qFormat="1"/>
    <w:lsdException w:name="toc 3" w:uiPriority="39" w:semiHidden="1" w:unhideWhenUsed="1" w:qFormat="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uiPriority="0" w:semiHidden="1" w:unhideWhenUsed="1" w:qFormat="1"/>
    <w:lsdException w:name="index heading" w:uiPriority="0" w:semiHidden="1" w:unhideWhenUsed="1" w:qFormat="1"/>
    <w:lsdException w:name="caption" w:uiPriority="0" w:semiHidden="1"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qFormat="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semiHidden="1" w:unhideWhenUsed="1"/>
    <w:lsdException w:name="List Bullet" w:uiPriority="0" w:semiHidden="1" w:unhideWhenUsed="1" w:qFormat="1"/>
    <w:lsdException w:name="List Number" w:uiPriority="0"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uiPriority="36" w:semiHidden="1" w:unhideWhenUsed="1" w:qFormat="1"/>
    <w:lsdException w:name="List Bullet 4" w:uiPriority="36" w:semiHidden="1" w:unhideWhenUsed="1" w:qFormat="1"/>
    <w:lsdException w:name="List Bullet 5" w:uiPriority="36"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uiPriority="0" w:semiHidden="1" w:unhideWhenUsed="1" w:qFormat="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uiPriority="0" w:semiHidden="1" w:unhideWhenUsed="1" w:qFormat="1"/>
    <w:lsdException w:name="E-mail Signature" w:semiHidden="1" w:unhideWhenUsed="1"/>
    <w:lsdException w:name="HTML Top of Form" w:uiPriority="0" w:semiHidden="1" w:unhideWhenUsed="1" w:qFormat="1"/>
    <w:lsdException w:name="HTML Bottom of Form" w:uiPriority="0" w:semiHidden="1" w:unhideWhenUsed="1" w:qFormat="1"/>
    <w:lsdException w:name="Normal (Web)" w:uiPriority="0"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qFormat="1"/>
    <w:lsdException w:name="HTML Definition" w:semiHidden="1" w:unhideWhenUsed="1"/>
    <w:lsdException w:name="HTML Keyboard" w:semiHidden="1" w:unhideWhenUsed="1"/>
    <w:lsdException w:name="HTML Preformatted" w:uiPriority="0"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uiPriority="0" w:semiHidden="1" w:unhideWhenUsed="1" w:qFormat="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qFormat="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f61309"/>
    <w:pPr>
      <w:widowControl/>
      <w:suppressAutoHyphens w:val="true"/>
      <w:bidi w:val="0"/>
      <w:spacing w:before="0" w:after="0"/>
      <w:jc w:val="left"/>
    </w:pPr>
    <w:rPr>
      <w:rFonts w:ascii="Times New Roman" w:hAnsi="Times New Roman" w:eastAsia="Times New Roman" w:cs="Times New Roman"/>
      <w:color w:val="auto"/>
      <w:kern w:val="0"/>
      <w:sz w:val="24"/>
      <w:szCs w:val="24"/>
      <w:lang w:val="ru-RU" w:eastAsia="zh-CN" w:bidi="ar-SA"/>
    </w:rPr>
  </w:style>
  <w:style w:type="paragraph" w:styleId="1">
    <w:name w:val="Heading 1"/>
    <w:basedOn w:val="Normal"/>
    <w:next w:val="Normal"/>
    <w:link w:val="10"/>
    <w:uiPriority w:val="9"/>
    <w:qFormat/>
    <w:rsid w:val="00115b42"/>
    <w:pPr>
      <w:keepNext w:val="true"/>
      <w:keepLines/>
      <w:suppressAutoHyphens w:val="false"/>
      <w:spacing w:before="240" w:after="240"/>
      <w:ind w:firstLine="709"/>
      <w:jc w:val="center"/>
      <w:outlineLvl w:val="0"/>
    </w:pPr>
    <w:rPr>
      <w:rFonts w:ascii="PT Astra Serif" w:hAnsi="PT Astra Serif" w:eastAsia="Arial Unicode MS" w:cs="Noto Sans Devanagari"/>
      <w:spacing w:val="40"/>
      <w:sz w:val="28"/>
      <w:lang w:bidi="hi-IN"/>
    </w:rPr>
  </w:style>
  <w:style w:type="paragraph" w:styleId="2">
    <w:name w:val="Heading 2"/>
    <w:basedOn w:val="Normal"/>
    <w:next w:val="Normal"/>
    <w:link w:val="20"/>
    <w:uiPriority w:val="9"/>
    <w:unhideWhenUsed/>
    <w:qFormat/>
    <w:rsid w:val="00115b42"/>
    <w:pPr>
      <w:keepNext w:val="true"/>
      <w:keepLines/>
      <w:suppressAutoHyphens w:val="false"/>
      <w:spacing w:before="120" w:after="120"/>
      <w:ind w:firstLine="709"/>
      <w:jc w:val="both"/>
      <w:outlineLvl w:val="1"/>
    </w:pPr>
    <w:rPr>
      <w:rFonts w:eastAsia="" w:cs="" w:cstheme="majorBidi" w:eastAsiaTheme="majorEastAsia"/>
      <w:b/>
      <w:color w:val="000000" w:themeColor="text1"/>
      <w:szCs w:val="26"/>
      <w:lang w:eastAsia="en-US"/>
    </w:rPr>
  </w:style>
  <w:style w:type="paragraph" w:styleId="3">
    <w:name w:val="Heading 3"/>
    <w:basedOn w:val="Normal"/>
    <w:next w:val="Normal"/>
    <w:link w:val="32"/>
    <w:uiPriority w:val="1"/>
    <w:unhideWhenUsed/>
    <w:qFormat/>
    <w:rsid w:val="0013426d"/>
    <w:pPr>
      <w:keepNext w:val="true"/>
      <w:keepLines/>
      <w:spacing w:before="200" w:after="0"/>
      <w:outlineLvl w:val="2"/>
    </w:pPr>
    <w:rPr>
      <w:rFonts w:ascii="Calibri Light" w:hAnsi="Calibri Light" w:eastAsia="" w:cs="" w:asciiTheme="majorHAnsi" w:cstheme="majorBidi" w:eastAsiaTheme="majorEastAsia" w:hAnsiTheme="majorHAnsi"/>
      <w:b/>
      <w:bCs/>
      <w:color w:val="5B9BD5" w:themeColor="accent1"/>
    </w:rPr>
  </w:style>
  <w:style w:type="character" w:styleId="DefaultParagraphFont" w:default="1">
    <w:name w:val="Default Paragraph Font"/>
    <w:uiPriority w:val="1"/>
    <w:semiHidden/>
    <w:unhideWhenUsed/>
    <w:qFormat/>
    <w:rPr/>
  </w:style>
  <w:style w:type="character" w:styleId="WW8Num1z0" w:customStyle="1">
    <w:name w:val="WW8Num1z0"/>
    <w:qFormat/>
    <w:rsid w:val="00f61309"/>
    <w:rPr/>
  </w:style>
  <w:style w:type="character" w:styleId="WW8Num1z1" w:customStyle="1">
    <w:name w:val="WW8Num1z1"/>
    <w:qFormat/>
    <w:rsid w:val="00f61309"/>
    <w:rPr/>
  </w:style>
  <w:style w:type="character" w:styleId="WW8Num1z2" w:customStyle="1">
    <w:name w:val="WW8Num1z2"/>
    <w:qFormat/>
    <w:rsid w:val="00f61309"/>
    <w:rPr/>
  </w:style>
  <w:style w:type="character" w:styleId="WW8Num1z3" w:customStyle="1">
    <w:name w:val="WW8Num1z3"/>
    <w:qFormat/>
    <w:rsid w:val="00f61309"/>
    <w:rPr/>
  </w:style>
  <w:style w:type="character" w:styleId="WW8Num1z4" w:customStyle="1">
    <w:name w:val="WW8Num1z4"/>
    <w:qFormat/>
    <w:rsid w:val="00f61309"/>
    <w:rPr/>
  </w:style>
  <w:style w:type="character" w:styleId="WW8Num1z5" w:customStyle="1">
    <w:name w:val="WW8Num1z5"/>
    <w:qFormat/>
    <w:rsid w:val="00f61309"/>
    <w:rPr/>
  </w:style>
  <w:style w:type="character" w:styleId="WW8Num1z6" w:customStyle="1">
    <w:name w:val="WW8Num1z6"/>
    <w:qFormat/>
    <w:rsid w:val="00f61309"/>
    <w:rPr/>
  </w:style>
  <w:style w:type="character" w:styleId="WW8Num1z7" w:customStyle="1">
    <w:name w:val="WW8Num1z7"/>
    <w:qFormat/>
    <w:rsid w:val="00f61309"/>
    <w:rPr/>
  </w:style>
  <w:style w:type="character" w:styleId="WW8Num1z8" w:customStyle="1">
    <w:name w:val="WW8Num1z8"/>
    <w:qFormat/>
    <w:rsid w:val="00f61309"/>
    <w:rPr/>
  </w:style>
  <w:style w:type="character" w:styleId="WW8Num2z0" w:customStyle="1">
    <w:name w:val="WW8Num2z0"/>
    <w:qFormat/>
    <w:rsid w:val="00f61309"/>
    <w:rPr>
      <w:rFonts w:ascii="Tinos" w:hAnsi="Tinos" w:cs="Tinos"/>
      <w:strike w:val="false"/>
      <w:dstrike w:val="false"/>
    </w:rPr>
  </w:style>
  <w:style w:type="character" w:styleId="WW8Num2z1" w:customStyle="1">
    <w:name w:val="WW8Num2z1"/>
    <w:qFormat/>
    <w:rsid w:val="00f61309"/>
    <w:rPr/>
  </w:style>
  <w:style w:type="character" w:styleId="WW8Num2z2" w:customStyle="1">
    <w:name w:val="WW8Num2z2"/>
    <w:qFormat/>
    <w:rsid w:val="00f61309"/>
    <w:rPr/>
  </w:style>
  <w:style w:type="character" w:styleId="WW8Num2z3" w:customStyle="1">
    <w:name w:val="WW8Num2z3"/>
    <w:qFormat/>
    <w:rsid w:val="00f61309"/>
    <w:rPr/>
  </w:style>
  <w:style w:type="character" w:styleId="WW8Num2z4" w:customStyle="1">
    <w:name w:val="WW8Num2z4"/>
    <w:qFormat/>
    <w:rsid w:val="00f61309"/>
    <w:rPr/>
  </w:style>
  <w:style w:type="character" w:styleId="WW8Num2z5" w:customStyle="1">
    <w:name w:val="WW8Num2z5"/>
    <w:qFormat/>
    <w:rsid w:val="00f61309"/>
    <w:rPr/>
  </w:style>
  <w:style w:type="character" w:styleId="WW8Num2z6" w:customStyle="1">
    <w:name w:val="WW8Num2z6"/>
    <w:qFormat/>
    <w:rsid w:val="00f61309"/>
    <w:rPr/>
  </w:style>
  <w:style w:type="character" w:styleId="WW8Num2z7" w:customStyle="1">
    <w:name w:val="WW8Num2z7"/>
    <w:qFormat/>
    <w:rsid w:val="00f61309"/>
    <w:rPr/>
  </w:style>
  <w:style w:type="character" w:styleId="WW8Num2z8" w:customStyle="1">
    <w:name w:val="WW8Num2z8"/>
    <w:qFormat/>
    <w:rsid w:val="00f61309"/>
    <w:rPr/>
  </w:style>
  <w:style w:type="character" w:styleId="WW8Num3z0" w:customStyle="1">
    <w:name w:val="WW8Num3z0"/>
    <w:qFormat/>
    <w:rsid w:val="00f61309"/>
    <w:rPr/>
  </w:style>
  <w:style w:type="character" w:styleId="WW8Num4z0" w:customStyle="1">
    <w:name w:val="WW8Num4z0"/>
    <w:qFormat/>
    <w:rsid w:val="00f61309"/>
    <w:rPr/>
  </w:style>
  <w:style w:type="character" w:styleId="WW8Num4z1" w:customStyle="1">
    <w:name w:val="WW8Num4z1"/>
    <w:qFormat/>
    <w:rsid w:val="00f61309"/>
    <w:rPr/>
  </w:style>
  <w:style w:type="character" w:styleId="WW8Num4z2" w:customStyle="1">
    <w:name w:val="WW8Num4z2"/>
    <w:qFormat/>
    <w:rsid w:val="00f61309"/>
    <w:rPr/>
  </w:style>
  <w:style w:type="character" w:styleId="WW8Num4z3" w:customStyle="1">
    <w:name w:val="WW8Num4z3"/>
    <w:qFormat/>
    <w:rsid w:val="00f61309"/>
    <w:rPr/>
  </w:style>
  <w:style w:type="character" w:styleId="WW8Num4z4" w:customStyle="1">
    <w:name w:val="WW8Num4z4"/>
    <w:qFormat/>
    <w:rsid w:val="00f61309"/>
    <w:rPr/>
  </w:style>
  <w:style w:type="character" w:styleId="WW8Num4z5" w:customStyle="1">
    <w:name w:val="WW8Num4z5"/>
    <w:qFormat/>
    <w:rsid w:val="00f61309"/>
    <w:rPr/>
  </w:style>
  <w:style w:type="character" w:styleId="WW8Num4z6" w:customStyle="1">
    <w:name w:val="WW8Num4z6"/>
    <w:qFormat/>
    <w:rsid w:val="00f61309"/>
    <w:rPr/>
  </w:style>
  <w:style w:type="character" w:styleId="WW8Num4z7" w:customStyle="1">
    <w:name w:val="WW8Num4z7"/>
    <w:qFormat/>
    <w:rsid w:val="00f61309"/>
    <w:rPr/>
  </w:style>
  <w:style w:type="character" w:styleId="WW8Num4z8" w:customStyle="1">
    <w:name w:val="WW8Num4z8"/>
    <w:qFormat/>
    <w:rsid w:val="00f61309"/>
    <w:rPr/>
  </w:style>
  <w:style w:type="character" w:styleId="WW8Num5z0" w:customStyle="1">
    <w:name w:val="WW8Num5z0"/>
    <w:qFormat/>
    <w:rsid w:val="00f61309"/>
    <w:rPr>
      <w:rFonts w:ascii="Symbol" w:hAnsi="Symbol" w:cs="Symbol"/>
    </w:rPr>
  </w:style>
  <w:style w:type="character" w:styleId="WW8Num5z1" w:customStyle="1">
    <w:name w:val="WW8Num5z1"/>
    <w:qFormat/>
    <w:rsid w:val="00f61309"/>
    <w:rPr>
      <w:rFonts w:ascii="Courier New" w:hAnsi="Courier New" w:cs="Courier New"/>
    </w:rPr>
  </w:style>
  <w:style w:type="character" w:styleId="WW8Num5z2" w:customStyle="1">
    <w:name w:val="WW8Num5z2"/>
    <w:qFormat/>
    <w:rsid w:val="00f61309"/>
    <w:rPr>
      <w:rFonts w:ascii="Wingdings" w:hAnsi="Wingdings" w:cs="Wingdings"/>
    </w:rPr>
  </w:style>
  <w:style w:type="character" w:styleId="WW8Num6z0" w:customStyle="1">
    <w:name w:val="WW8Num6z0"/>
    <w:qFormat/>
    <w:rsid w:val="00f61309"/>
    <w:rPr/>
  </w:style>
  <w:style w:type="character" w:styleId="WW8Num7z0" w:customStyle="1">
    <w:name w:val="WW8Num7z0"/>
    <w:qFormat/>
    <w:rsid w:val="00f61309"/>
    <w:rPr>
      <w:b/>
    </w:rPr>
  </w:style>
  <w:style w:type="character" w:styleId="WW8Num8z0" w:customStyle="1">
    <w:name w:val="WW8Num8z0"/>
    <w:qFormat/>
    <w:rsid w:val="00f61309"/>
    <w:rPr/>
  </w:style>
  <w:style w:type="character" w:styleId="WW8Num8z1" w:customStyle="1">
    <w:name w:val="WW8Num8z1"/>
    <w:qFormat/>
    <w:rsid w:val="00f61309"/>
    <w:rPr/>
  </w:style>
  <w:style w:type="character" w:styleId="WW8Num8z2" w:customStyle="1">
    <w:name w:val="WW8Num8z2"/>
    <w:qFormat/>
    <w:rsid w:val="00f61309"/>
    <w:rPr/>
  </w:style>
  <w:style w:type="character" w:styleId="WW8Num8z3" w:customStyle="1">
    <w:name w:val="WW8Num8z3"/>
    <w:qFormat/>
    <w:rsid w:val="00f61309"/>
    <w:rPr/>
  </w:style>
  <w:style w:type="character" w:styleId="WW8Num8z4" w:customStyle="1">
    <w:name w:val="WW8Num8z4"/>
    <w:qFormat/>
    <w:rsid w:val="00f61309"/>
    <w:rPr/>
  </w:style>
  <w:style w:type="character" w:styleId="WW8Num8z5" w:customStyle="1">
    <w:name w:val="WW8Num8z5"/>
    <w:qFormat/>
    <w:rsid w:val="00f61309"/>
    <w:rPr/>
  </w:style>
  <w:style w:type="character" w:styleId="WW8Num8z6" w:customStyle="1">
    <w:name w:val="WW8Num8z6"/>
    <w:qFormat/>
    <w:rsid w:val="00f61309"/>
    <w:rPr/>
  </w:style>
  <w:style w:type="character" w:styleId="WW8Num8z7" w:customStyle="1">
    <w:name w:val="WW8Num8z7"/>
    <w:qFormat/>
    <w:rsid w:val="00f61309"/>
    <w:rPr/>
  </w:style>
  <w:style w:type="character" w:styleId="WW8Num8z8" w:customStyle="1">
    <w:name w:val="WW8Num8z8"/>
    <w:qFormat/>
    <w:rsid w:val="00f61309"/>
    <w:rPr/>
  </w:style>
  <w:style w:type="character" w:styleId="WW8Num9z0" w:customStyle="1">
    <w:name w:val="WW8Num9z0"/>
    <w:qFormat/>
    <w:rsid w:val="00f61309"/>
    <w:rPr/>
  </w:style>
  <w:style w:type="character" w:styleId="WW8Num10z0" w:customStyle="1">
    <w:name w:val="WW8Num10z0"/>
    <w:qFormat/>
    <w:rsid w:val="00f61309"/>
    <w:rPr/>
  </w:style>
  <w:style w:type="character" w:styleId="WW8Num10z1" w:customStyle="1">
    <w:name w:val="WW8Num10z1"/>
    <w:qFormat/>
    <w:rsid w:val="00f61309"/>
    <w:rPr/>
  </w:style>
  <w:style w:type="character" w:styleId="WW8Num10z2" w:customStyle="1">
    <w:name w:val="WW8Num10z2"/>
    <w:qFormat/>
    <w:rsid w:val="00f61309"/>
    <w:rPr/>
  </w:style>
  <w:style w:type="character" w:styleId="WW8Num10z3" w:customStyle="1">
    <w:name w:val="WW8Num10z3"/>
    <w:qFormat/>
    <w:rsid w:val="00f61309"/>
    <w:rPr/>
  </w:style>
  <w:style w:type="character" w:styleId="WW8Num10z4" w:customStyle="1">
    <w:name w:val="WW8Num10z4"/>
    <w:qFormat/>
    <w:rsid w:val="00f61309"/>
    <w:rPr/>
  </w:style>
  <w:style w:type="character" w:styleId="WW8Num10z5" w:customStyle="1">
    <w:name w:val="WW8Num10z5"/>
    <w:qFormat/>
    <w:rsid w:val="00f61309"/>
    <w:rPr/>
  </w:style>
  <w:style w:type="character" w:styleId="WW8Num10z6" w:customStyle="1">
    <w:name w:val="WW8Num10z6"/>
    <w:qFormat/>
    <w:rsid w:val="00f61309"/>
    <w:rPr/>
  </w:style>
  <w:style w:type="character" w:styleId="WW8Num10z7" w:customStyle="1">
    <w:name w:val="WW8Num10z7"/>
    <w:qFormat/>
    <w:rsid w:val="00f61309"/>
    <w:rPr/>
  </w:style>
  <w:style w:type="character" w:styleId="WW8Num10z8" w:customStyle="1">
    <w:name w:val="WW8Num10z8"/>
    <w:qFormat/>
    <w:rsid w:val="00f61309"/>
    <w:rPr/>
  </w:style>
  <w:style w:type="character" w:styleId="WW8Num11z0" w:customStyle="1">
    <w:name w:val="WW8Num11z0"/>
    <w:qFormat/>
    <w:rsid w:val="00f61309"/>
    <w:rPr/>
  </w:style>
  <w:style w:type="character" w:styleId="WW8Num11z1" w:customStyle="1">
    <w:name w:val="WW8Num11z1"/>
    <w:qFormat/>
    <w:rsid w:val="00f61309"/>
    <w:rPr/>
  </w:style>
  <w:style w:type="character" w:styleId="WW8Num11z2" w:customStyle="1">
    <w:name w:val="WW8Num11z2"/>
    <w:qFormat/>
    <w:rsid w:val="00f61309"/>
    <w:rPr/>
  </w:style>
  <w:style w:type="character" w:styleId="WW8Num11z3" w:customStyle="1">
    <w:name w:val="WW8Num11z3"/>
    <w:qFormat/>
    <w:rsid w:val="00f61309"/>
    <w:rPr/>
  </w:style>
  <w:style w:type="character" w:styleId="WW8Num11z4" w:customStyle="1">
    <w:name w:val="WW8Num11z4"/>
    <w:qFormat/>
    <w:rsid w:val="00f61309"/>
    <w:rPr/>
  </w:style>
  <w:style w:type="character" w:styleId="WW8Num11z5" w:customStyle="1">
    <w:name w:val="WW8Num11z5"/>
    <w:qFormat/>
    <w:rsid w:val="00f61309"/>
    <w:rPr/>
  </w:style>
  <w:style w:type="character" w:styleId="WW8Num11z6" w:customStyle="1">
    <w:name w:val="WW8Num11z6"/>
    <w:qFormat/>
    <w:rsid w:val="00f61309"/>
    <w:rPr/>
  </w:style>
  <w:style w:type="character" w:styleId="WW8Num11z7" w:customStyle="1">
    <w:name w:val="WW8Num11z7"/>
    <w:qFormat/>
    <w:rsid w:val="00f61309"/>
    <w:rPr/>
  </w:style>
  <w:style w:type="character" w:styleId="WW8Num11z8" w:customStyle="1">
    <w:name w:val="WW8Num11z8"/>
    <w:qFormat/>
    <w:rsid w:val="00f61309"/>
    <w:rPr/>
  </w:style>
  <w:style w:type="character" w:styleId="WW8Num12z0" w:customStyle="1">
    <w:name w:val="WW8Num12z0"/>
    <w:qFormat/>
    <w:rsid w:val="00f61309"/>
    <w:rPr/>
  </w:style>
  <w:style w:type="character" w:styleId="WW8Num12z1" w:customStyle="1">
    <w:name w:val="WW8Num12z1"/>
    <w:qFormat/>
    <w:rsid w:val="00f61309"/>
    <w:rPr/>
  </w:style>
  <w:style w:type="character" w:styleId="WW8Num12z2" w:customStyle="1">
    <w:name w:val="WW8Num12z2"/>
    <w:qFormat/>
    <w:rsid w:val="00f61309"/>
    <w:rPr/>
  </w:style>
  <w:style w:type="character" w:styleId="WW8Num12z3" w:customStyle="1">
    <w:name w:val="WW8Num12z3"/>
    <w:qFormat/>
    <w:rsid w:val="00f61309"/>
    <w:rPr/>
  </w:style>
  <w:style w:type="character" w:styleId="WW8Num12z4" w:customStyle="1">
    <w:name w:val="WW8Num12z4"/>
    <w:qFormat/>
    <w:rsid w:val="00f61309"/>
    <w:rPr/>
  </w:style>
  <w:style w:type="character" w:styleId="WW8Num12z5" w:customStyle="1">
    <w:name w:val="WW8Num12z5"/>
    <w:qFormat/>
    <w:rsid w:val="00f61309"/>
    <w:rPr/>
  </w:style>
  <w:style w:type="character" w:styleId="WW8Num12z6" w:customStyle="1">
    <w:name w:val="WW8Num12z6"/>
    <w:qFormat/>
    <w:rsid w:val="00f61309"/>
    <w:rPr/>
  </w:style>
  <w:style w:type="character" w:styleId="WW8Num12z7" w:customStyle="1">
    <w:name w:val="WW8Num12z7"/>
    <w:qFormat/>
    <w:rsid w:val="00f61309"/>
    <w:rPr/>
  </w:style>
  <w:style w:type="character" w:styleId="WW8Num12z8" w:customStyle="1">
    <w:name w:val="WW8Num12z8"/>
    <w:qFormat/>
    <w:rsid w:val="00f61309"/>
    <w:rPr/>
  </w:style>
  <w:style w:type="character" w:styleId="WW8Num13z0" w:customStyle="1">
    <w:name w:val="WW8Num13z0"/>
    <w:qFormat/>
    <w:rsid w:val="00f61309"/>
    <w:rPr/>
  </w:style>
  <w:style w:type="character" w:styleId="WW8Num13z1" w:customStyle="1">
    <w:name w:val="WW8Num13z1"/>
    <w:qFormat/>
    <w:rsid w:val="00f61309"/>
    <w:rPr/>
  </w:style>
  <w:style w:type="character" w:styleId="WW8Num13z2" w:customStyle="1">
    <w:name w:val="WW8Num13z2"/>
    <w:qFormat/>
    <w:rsid w:val="00f61309"/>
    <w:rPr/>
  </w:style>
  <w:style w:type="character" w:styleId="WW8Num13z3" w:customStyle="1">
    <w:name w:val="WW8Num13z3"/>
    <w:qFormat/>
    <w:rsid w:val="00f61309"/>
    <w:rPr/>
  </w:style>
  <w:style w:type="character" w:styleId="WW8Num13z4" w:customStyle="1">
    <w:name w:val="WW8Num13z4"/>
    <w:qFormat/>
    <w:rsid w:val="00f61309"/>
    <w:rPr/>
  </w:style>
  <w:style w:type="character" w:styleId="WW8Num13z5" w:customStyle="1">
    <w:name w:val="WW8Num13z5"/>
    <w:qFormat/>
    <w:rsid w:val="00f61309"/>
    <w:rPr/>
  </w:style>
  <w:style w:type="character" w:styleId="WW8Num13z6" w:customStyle="1">
    <w:name w:val="WW8Num13z6"/>
    <w:qFormat/>
    <w:rsid w:val="00f61309"/>
    <w:rPr/>
  </w:style>
  <w:style w:type="character" w:styleId="WW8Num13z7" w:customStyle="1">
    <w:name w:val="WW8Num13z7"/>
    <w:qFormat/>
    <w:rsid w:val="00f61309"/>
    <w:rPr/>
  </w:style>
  <w:style w:type="character" w:styleId="WW8Num13z8" w:customStyle="1">
    <w:name w:val="WW8Num13z8"/>
    <w:qFormat/>
    <w:rsid w:val="00f61309"/>
    <w:rPr/>
  </w:style>
  <w:style w:type="character" w:styleId="Style11" w:customStyle="1">
    <w:name w:val="Интернет-ссылка"/>
    <w:uiPriority w:val="99"/>
    <w:rsid w:val="00f61309"/>
    <w:rPr>
      <w:color w:val="0000FF"/>
      <w:u w:val="single"/>
    </w:rPr>
  </w:style>
  <w:style w:type="character" w:styleId="Pagenumber">
    <w:name w:val="page number"/>
    <w:basedOn w:val="DefaultParagraphFont"/>
    <w:uiPriority w:val="99"/>
    <w:qFormat/>
    <w:rsid w:val="00f61309"/>
    <w:rPr/>
  </w:style>
  <w:style w:type="character" w:styleId="21" w:customStyle="1">
    <w:name w:val="Основной текст с отступом 2 Знак"/>
    <w:link w:val="22"/>
    <w:uiPriority w:val="99"/>
    <w:qFormat/>
    <w:rsid w:val="00f61309"/>
    <w:rPr>
      <w:sz w:val="24"/>
      <w:szCs w:val="24"/>
    </w:rPr>
  </w:style>
  <w:style w:type="character" w:styleId="Style12" w:customStyle="1">
    <w:name w:val="Текст выноски Знак"/>
    <w:uiPriority w:val="99"/>
    <w:qFormat/>
    <w:rsid w:val="00f61309"/>
    <w:rPr>
      <w:rFonts w:ascii="Tahoma" w:hAnsi="Tahoma" w:cs="Tahoma"/>
      <w:sz w:val="16"/>
      <w:szCs w:val="16"/>
    </w:rPr>
  </w:style>
  <w:style w:type="character" w:styleId="11" w:customStyle="1">
    <w:name w:val="Заголовок 1 Знак"/>
    <w:link w:val="1"/>
    <w:uiPriority w:val="9"/>
    <w:qFormat/>
    <w:rsid w:val="00f61309"/>
    <w:rPr>
      <w:rFonts w:eastAsia="Arial Unicode MS"/>
      <w:spacing w:val="40"/>
      <w:sz w:val="28"/>
      <w:lang w:val="ru-RU"/>
    </w:rPr>
  </w:style>
  <w:style w:type="character" w:styleId="Style13" w:customStyle="1">
    <w:name w:val="Гипертекстовая ссылка"/>
    <w:uiPriority w:val="99"/>
    <w:qFormat/>
    <w:rsid w:val="00f61309"/>
    <w:rPr>
      <w:color w:val="008000"/>
    </w:rPr>
  </w:style>
  <w:style w:type="character" w:styleId="Style14" w:customStyle="1">
    <w:name w:val="Цветовое выделение"/>
    <w:uiPriority w:val="99"/>
    <w:qFormat/>
    <w:rsid w:val="00f61309"/>
    <w:rPr>
      <w:b/>
      <w:color w:val="26282F"/>
    </w:rPr>
  </w:style>
  <w:style w:type="character" w:styleId="Style15" w:customStyle="1">
    <w:name w:val="Верхний колонтитул Знак"/>
    <w:uiPriority w:val="99"/>
    <w:qFormat/>
    <w:rsid w:val="00f61309"/>
    <w:rPr>
      <w:sz w:val="24"/>
      <w:szCs w:val="24"/>
    </w:rPr>
  </w:style>
  <w:style w:type="character" w:styleId="Style16" w:customStyle="1">
    <w:name w:val="Нижний колонтитул Знак"/>
    <w:qFormat/>
    <w:rsid w:val="00f61309"/>
    <w:rPr>
      <w:sz w:val="24"/>
      <w:szCs w:val="24"/>
    </w:rPr>
  </w:style>
  <w:style w:type="character" w:styleId="Style17" w:customStyle="1">
    <w:name w:val="Посещённая гиперссылка"/>
    <w:uiPriority w:val="99"/>
    <w:rsid w:val="00f61309"/>
    <w:rPr>
      <w:color w:val="800000"/>
      <w:u w:val="single"/>
    </w:rPr>
  </w:style>
  <w:style w:type="character" w:styleId="Strong">
    <w:name w:val="Strong"/>
    <w:uiPriority w:val="22"/>
    <w:qFormat/>
    <w:rsid w:val="008d624c"/>
    <w:rPr>
      <w:b/>
      <w:bCs/>
    </w:rPr>
  </w:style>
  <w:style w:type="character" w:styleId="22" w:customStyle="1">
    <w:name w:val="Заголовок 2 Знак"/>
    <w:basedOn w:val="DefaultParagraphFont"/>
    <w:link w:val="2"/>
    <w:uiPriority w:val="9"/>
    <w:qFormat/>
    <w:rsid w:val="000b487d"/>
    <w:rPr>
      <w:rFonts w:ascii="Calibri Light" w:hAnsi="Calibri Light" w:eastAsia="" w:cs="" w:asciiTheme="majorHAnsi" w:cstheme="majorBidi" w:eastAsiaTheme="majorEastAsia" w:hAnsiTheme="majorHAnsi"/>
      <w:color w:val="2E74B5" w:themeColor="accent1" w:themeShade="bf"/>
      <w:sz w:val="26"/>
      <w:szCs w:val="26"/>
      <w:lang w:bidi="ar-SA"/>
    </w:rPr>
  </w:style>
  <w:style w:type="character" w:styleId="5" w:customStyle="1">
    <w:name w:val="Заголовок 5 Знак"/>
    <w:basedOn w:val="DefaultParagraphFont"/>
    <w:link w:val="5"/>
    <w:uiPriority w:val="1"/>
    <w:qFormat/>
    <w:rsid w:val="000b487d"/>
    <w:rPr>
      <w:rFonts w:ascii="Times New Roman" w:hAnsi="Times New Roman" w:eastAsia="Times New Roman" w:cs="Times New Roman"/>
      <w:b/>
      <w:bCs/>
      <w:iCs/>
      <w:sz w:val="26"/>
      <w:szCs w:val="26"/>
      <w:lang w:eastAsia="ru-RU" w:bidi="ar-SA"/>
    </w:rPr>
  </w:style>
  <w:style w:type="character" w:styleId="6" w:customStyle="1">
    <w:name w:val="Заголовок 6 Знак"/>
    <w:basedOn w:val="DefaultParagraphFont"/>
    <w:link w:val="61"/>
    <w:uiPriority w:val="1"/>
    <w:qFormat/>
    <w:rsid w:val="000b487d"/>
    <w:rPr>
      <w:rFonts w:ascii="Times New Roman" w:hAnsi="Times New Roman" w:eastAsia="Times New Roman" w:cs="Times New Roman"/>
      <w:b/>
      <w:bCs/>
      <w:i/>
      <w:lang w:eastAsia="ru-RU" w:bidi="ar-SA"/>
    </w:rPr>
  </w:style>
  <w:style w:type="character" w:styleId="7" w:customStyle="1">
    <w:name w:val="Заголовок 7 Знак"/>
    <w:basedOn w:val="DefaultParagraphFont"/>
    <w:link w:val="71"/>
    <w:uiPriority w:val="1"/>
    <w:qFormat/>
    <w:rsid w:val="000b487d"/>
    <w:rPr>
      <w:rFonts w:ascii="Times New Roman" w:hAnsi="Times New Roman" w:eastAsia="Times New Roman" w:cs="Times New Roman"/>
      <w:sz w:val="24"/>
      <w:lang w:eastAsia="ru-RU" w:bidi="ar-SA"/>
    </w:rPr>
  </w:style>
  <w:style w:type="character" w:styleId="9" w:customStyle="1">
    <w:name w:val="Заголовок 9 Знак"/>
    <w:basedOn w:val="DefaultParagraphFont"/>
    <w:link w:val="91"/>
    <w:uiPriority w:val="1"/>
    <w:qFormat/>
    <w:rsid w:val="000b487d"/>
    <w:rPr>
      <w:rFonts w:ascii="Arial" w:hAnsi="Arial" w:eastAsia="Times New Roman" w:cs="Times New Roman"/>
      <w:sz w:val="24"/>
      <w:szCs w:val="22"/>
      <w:lang w:eastAsia="ru-RU" w:bidi="ar-SA"/>
    </w:rPr>
  </w:style>
  <w:style w:type="character" w:styleId="Style18" w:customStyle="1">
    <w:name w:val="Заголовок Знак"/>
    <w:basedOn w:val="DefaultParagraphFont"/>
    <w:uiPriority w:val="1"/>
    <w:qFormat/>
    <w:rsid w:val="000b487d"/>
    <w:rPr>
      <w:rFonts w:ascii="Times New Roman" w:hAnsi="Times New Roman" w:eastAsia="Calibri Light" w:cs="Calibri Light"/>
      <w:color w:val="000000"/>
      <w:spacing w:val="-10"/>
      <w:kern w:val="2"/>
      <w:sz w:val="28"/>
      <w:szCs w:val="56"/>
    </w:rPr>
  </w:style>
  <w:style w:type="character" w:styleId="31" w:customStyle="1">
    <w:name w:val="Заголовок 3 Знак"/>
    <w:basedOn w:val="DefaultParagraphFont"/>
    <w:uiPriority w:val="1"/>
    <w:qFormat/>
    <w:rsid w:val="000b487d"/>
    <w:rPr>
      <w:rFonts w:ascii="Times New Roman" w:hAnsi="Times New Roman" w:eastAsia="Calibri Light" w:cs="Calibri Light"/>
      <w:i/>
      <w:color w:val="000000"/>
      <w:sz w:val="24"/>
      <w:szCs w:val="24"/>
    </w:rPr>
  </w:style>
  <w:style w:type="character" w:styleId="4" w:customStyle="1">
    <w:name w:val="Заголовок 4 Знак"/>
    <w:basedOn w:val="DefaultParagraphFont"/>
    <w:link w:val="41"/>
    <w:uiPriority w:val="1"/>
    <w:qFormat/>
    <w:rsid w:val="000b487d"/>
    <w:rPr>
      <w:rFonts w:ascii="Calibri Light" w:hAnsi="Calibri Light" w:eastAsia="Calibri Light" w:cs="Calibri Light"/>
      <w:i/>
      <w:iCs/>
      <w:color w:val="2E74B5"/>
    </w:rPr>
  </w:style>
  <w:style w:type="character" w:styleId="Style19" w:customStyle="1">
    <w:name w:val="ЗЕЛЕНЫЙ ТЕКСТ Знак"/>
    <w:basedOn w:val="DefaultParagraphFont"/>
    <w:qFormat/>
    <w:rsid w:val="000b487d"/>
    <w:rPr>
      <w:rFonts w:ascii="Times New Roman" w:hAnsi="Times New Roman" w:eastAsia="Times New Roman" w:cs="Arial"/>
      <w:sz w:val="24"/>
      <w:szCs w:val="24"/>
      <w:lang w:eastAsia="ru-RU"/>
    </w:rPr>
  </w:style>
  <w:style w:type="character" w:styleId="23" w:customStyle="1">
    <w:name w:val="Основной текст (2)_"/>
    <w:basedOn w:val="DefaultParagraphFont"/>
    <w:link w:val="24"/>
    <w:uiPriority w:val="99"/>
    <w:qFormat/>
    <w:rsid w:val="000b487d"/>
    <w:rPr>
      <w:rFonts w:ascii="Times New Roman" w:hAnsi="Times New Roman" w:eastAsia="Times New Roman" w:cs="Times New Roman"/>
      <w:sz w:val="26"/>
      <w:szCs w:val="26"/>
      <w:shd w:fill="FFFFFF" w:val="clear"/>
    </w:rPr>
  </w:style>
  <w:style w:type="character" w:styleId="2105pt" w:customStyle="1">
    <w:name w:val="Основной текст (2) + 10;5 pt"/>
    <w:basedOn w:val="23"/>
    <w:qFormat/>
    <w:rsid w:val="000b487d"/>
    <w:rPr>
      <w:rFonts w:ascii="Times New Roman" w:hAnsi="Times New Roman" w:eastAsia="Times New Roman" w:cs="Times New Roman"/>
      <w:color w:val="000000"/>
      <w:spacing w:val="0"/>
      <w:w w:val="100"/>
      <w:sz w:val="21"/>
      <w:szCs w:val="21"/>
      <w:shd w:fill="FFFFFF" w:val="clear"/>
      <w:lang w:val="ru-RU" w:eastAsia="ru-RU" w:bidi="ru-RU"/>
    </w:rPr>
  </w:style>
  <w:style w:type="character" w:styleId="8" w:customStyle="1">
    <w:name w:val="Заголовок 8 Знак"/>
    <w:basedOn w:val="DefaultParagraphFont"/>
    <w:link w:val="81"/>
    <w:uiPriority w:val="1"/>
    <w:qFormat/>
    <w:rsid w:val="000b487d"/>
    <w:rPr>
      <w:rFonts w:ascii="Calibri Light" w:hAnsi="Calibri Light" w:eastAsia="Calibri Light" w:cs="Calibri Light"/>
      <w:color w:val="272727"/>
      <w:sz w:val="21"/>
      <w:szCs w:val="21"/>
    </w:rPr>
  </w:style>
  <w:style w:type="character" w:styleId="12" w:customStyle="1">
    <w:name w:val="Гиперссылка1"/>
    <w:basedOn w:val="DefaultParagraphFont"/>
    <w:link w:val="17"/>
    <w:uiPriority w:val="99"/>
    <w:unhideWhenUsed/>
    <w:qFormat/>
    <w:rsid w:val="000b487d"/>
    <w:rPr>
      <w:color w:val="0000FF"/>
      <w:u w:val="single"/>
    </w:rPr>
  </w:style>
  <w:style w:type="character" w:styleId="121" w:customStyle="1">
    <w:name w:val="Оглавление 1 Знак2"/>
    <w:basedOn w:val="DefaultParagraphFont"/>
    <w:link w:val="13"/>
    <w:uiPriority w:val="9"/>
    <w:qFormat/>
    <w:locked/>
    <w:rsid w:val="000b487d"/>
    <w:rPr>
      <w:rFonts w:ascii="Arial" w:hAnsi="Arial" w:eastAsia="Times New Roman" w:cs="Times New Roman"/>
      <w:b/>
      <w:kern w:val="2"/>
      <w:sz w:val="28"/>
      <w:szCs w:val="24"/>
      <w:lang w:val="ru-RU" w:eastAsia="ru-RU"/>
    </w:rPr>
  </w:style>
  <w:style w:type="character" w:styleId="Style20" w:customStyle="1">
    <w:name w:val="Основной текст Знак"/>
    <w:basedOn w:val="DefaultParagraphFont"/>
    <w:uiPriority w:val="1"/>
    <w:qFormat/>
    <w:rsid w:val="000b487d"/>
    <w:rPr>
      <w:rFonts w:ascii="Times New Roman" w:hAnsi="Times New Roman" w:eastAsia="Times New Roman" w:cs="Times New Roman"/>
      <w:sz w:val="24"/>
      <w:szCs w:val="24"/>
      <w:lang w:eastAsia="ru-RU"/>
    </w:rPr>
  </w:style>
  <w:style w:type="character" w:styleId="71" w:customStyle="1">
    <w:name w:val="Основной текст + 71"/>
    <w:basedOn w:val="DefaultParagraphFont"/>
    <w:qFormat/>
    <w:rsid w:val="000b487d"/>
    <w:rPr>
      <w:color w:val="000000"/>
      <w:spacing w:val="6"/>
      <w:w w:val="100"/>
      <w:sz w:val="15"/>
      <w:szCs w:val="15"/>
      <w:lang w:val="ru-RU" w:bidi="ar-SA"/>
    </w:rPr>
  </w:style>
  <w:style w:type="character" w:styleId="Constantia" w:customStyle="1">
    <w:name w:val="Основной текст + Constantia"/>
    <w:basedOn w:val="DefaultParagraphFont"/>
    <w:qFormat/>
    <w:rsid w:val="000b487d"/>
    <w:rPr>
      <w:rFonts w:ascii="Constantia" w:hAnsi="Constantia" w:eastAsia="Times New Roman" w:cs="Constantia"/>
      <w:color w:val="000000"/>
      <w:spacing w:val="0"/>
      <w:w w:val="100"/>
      <w:sz w:val="15"/>
      <w:szCs w:val="15"/>
      <w:lang w:bidi="ar-SA"/>
    </w:rPr>
  </w:style>
  <w:style w:type="character" w:styleId="CenturyGothic" w:customStyle="1">
    <w:name w:val="Основной текст + Century Gothic"/>
    <w:basedOn w:val="DefaultParagraphFont"/>
    <w:qFormat/>
    <w:rsid w:val="000b487d"/>
    <w:rPr>
      <w:rFonts w:ascii="Century Gothic" w:hAnsi="Century Gothic" w:eastAsia="Times New Roman" w:cs="Century Gothic"/>
      <w:b/>
      <w:bCs/>
      <w:color w:val="000000"/>
      <w:spacing w:val="2"/>
      <w:w w:val="100"/>
      <w:sz w:val="12"/>
      <w:szCs w:val="12"/>
      <w:lang w:val="ru-RU" w:bidi="ar-SA"/>
    </w:rPr>
  </w:style>
  <w:style w:type="character" w:styleId="Style21" w:customStyle="1">
    <w:name w:val="Основной текст с отступом Знак"/>
    <w:basedOn w:val="DefaultParagraphFont"/>
    <w:uiPriority w:val="99"/>
    <w:qFormat/>
    <w:rsid w:val="000b487d"/>
    <w:rPr>
      <w:rFonts w:ascii="Calibri" w:hAnsi="Calibri" w:eastAsia="Calibri" w:cs="Times New Roman"/>
      <w:sz w:val="24"/>
      <w:szCs w:val="24"/>
      <w:lang w:val="en-US"/>
    </w:rPr>
  </w:style>
  <w:style w:type="character" w:styleId="Linenumber">
    <w:name w:val="line number"/>
    <w:basedOn w:val="DefaultParagraphFont"/>
    <w:uiPriority w:val="99"/>
    <w:semiHidden/>
    <w:unhideWhenUsed/>
    <w:qFormat/>
    <w:rsid w:val="000b487d"/>
    <w:rPr/>
  </w:style>
  <w:style w:type="character" w:styleId="Style22" w:customStyle="1">
    <w:name w:val="Схема документа Знак"/>
    <w:basedOn w:val="DefaultParagraphFont"/>
    <w:uiPriority w:val="99"/>
    <w:semiHidden/>
    <w:qFormat/>
    <w:rsid w:val="000b487d"/>
    <w:rPr>
      <w:rFonts w:ascii="Tahoma" w:hAnsi="Tahoma" w:eastAsia="Times New Roman" w:cs="Tahoma"/>
      <w:sz w:val="16"/>
      <w:szCs w:val="16"/>
      <w:lang w:eastAsia="ru-RU"/>
    </w:rPr>
  </w:style>
  <w:style w:type="character" w:styleId="PlaceholderText">
    <w:name w:val="Placeholder Text"/>
    <w:basedOn w:val="DefaultParagraphFont"/>
    <w:uiPriority w:val="99"/>
    <w:semiHidden/>
    <w:qFormat/>
    <w:rsid w:val="000b487d"/>
    <w:rPr>
      <w:color w:val="808080"/>
    </w:rPr>
  </w:style>
  <w:style w:type="character" w:styleId="211" w:customStyle="1">
    <w:name w:val="Заголовок 2 Знак1"/>
    <w:uiPriority w:val="9"/>
    <w:qFormat/>
    <w:locked/>
    <w:rsid w:val="000b487d"/>
    <w:rPr>
      <w:rFonts w:ascii="Arial" w:hAnsi="Arial" w:eastAsia="Times New Roman" w:cs="Times New Roman"/>
      <w:b/>
      <w:sz w:val="24"/>
      <w:szCs w:val="24"/>
    </w:rPr>
  </w:style>
  <w:style w:type="character" w:styleId="HTMLCode">
    <w:name w:val="HTML Code"/>
    <w:basedOn w:val="DefaultParagraphFont"/>
    <w:uiPriority w:val="99"/>
    <w:semiHidden/>
    <w:unhideWhenUsed/>
    <w:qFormat/>
    <w:rsid w:val="000b487d"/>
    <w:rPr>
      <w:rFonts w:ascii="Courier New" w:hAnsi="Courier New" w:eastAsia="Times New Roman" w:cs="Courier New"/>
      <w:sz w:val="20"/>
      <w:szCs w:val="20"/>
    </w:rPr>
  </w:style>
  <w:style w:type="character" w:styleId="FontStyle43" w:customStyle="1">
    <w:name w:val="Font Style43"/>
    <w:basedOn w:val="DefaultParagraphFont"/>
    <w:uiPriority w:val="99"/>
    <w:qFormat/>
    <w:rsid w:val="000b487d"/>
    <w:rPr>
      <w:rFonts w:ascii="Times New Roman" w:hAnsi="Times New Roman" w:cs="Times New Roman"/>
      <w:sz w:val="26"/>
      <w:szCs w:val="26"/>
    </w:rPr>
  </w:style>
  <w:style w:type="character" w:styleId="Style23" w:customStyle="1">
    <w:name w:val="Назв частей Знак"/>
    <w:basedOn w:val="4"/>
    <w:qFormat/>
    <w:rsid w:val="000b487d"/>
    <w:rPr>
      <w:rFonts w:ascii="Times New Roman" w:hAnsi="Times New Roman" w:eastAsia="Calibri Light" w:cs="Calibri Light"/>
      <w:b/>
      <w:bCs/>
      <w:i w:val="false"/>
      <w:iCs w:val="false"/>
      <w:caps/>
      <w:color w:val="365F91"/>
      <w:sz w:val="28"/>
      <w:szCs w:val="28"/>
    </w:rPr>
  </w:style>
  <w:style w:type="character" w:styleId="24" w:customStyle="1">
    <w:name w:val="Заголовок №2_"/>
    <w:basedOn w:val="DefaultParagraphFont"/>
    <w:link w:val="23"/>
    <w:qFormat/>
    <w:rsid w:val="000b487d"/>
    <w:rPr>
      <w:rFonts w:ascii="Times New Roman" w:hAnsi="Times New Roman" w:eastAsia="Times New Roman" w:cs="Times New Roman"/>
      <w:b/>
      <w:bCs/>
      <w:sz w:val="28"/>
      <w:szCs w:val="28"/>
      <w:shd w:fill="FFFFFF" w:val="clear"/>
    </w:rPr>
  </w:style>
  <w:style w:type="character" w:styleId="51" w:customStyle="1">
    <w:name w:val="Основной текст (5)_"/>
    <w:basedOn w:val="DefaultParagraphFont"/>
    <w:link w:val="50"/>
    <w:qFormat/>
    <w:rsid w:val="000b487d"/>
    <w:rPr>
      <w:rFonts w:ascii="Times New Roman" w:hAnsi="Times New Roman" w:eastAsia="Times New Roman" w:cs="Times New Roman"/>
      <w:b/>
      <w:bCs/>
      <w:sz w:val="28"/>
      <w:szCs w:val="28"/>
      <w:shd w:fill="FFFFFF" w:val="clear"/>
    </w:rPr>
  </w:style>
  <w:style w:type="character" w:styleId="Style24" w:customStyle="1">
    <w:name w:val="обыч Знак"/>
    <w:basedOn w:val="DefaultParagraphFont"/>
    <w:qFormat/>
    <w:rsid w:val="000b487d"/>
    <w:rPr>
      <w:rFonts w:ascii="Arial" w:hAnsi="Arial" w:eastAsia="Times New Roman" w:cs="Arial"/>
      <w:sz w:val="24"/>
      <w:szCs w:val="24"/>
      <w:lang w:eastAsia="ru-RU"/>
    </w:rPr>
  </w:style>
  <w:style w:type="character" w:styleId="Style25" w:customStyle="1">
    <w:name w:val="Абзац списка Знак"/>
    <w:uiPriority w:val="34"/>
    <w:qFormat/>
    <w:locked/>
    <w:rsid w:val="000b487d"/>
    <w:rPr/>
  </w:style>
  <w:style w:type="character" w:styleId="Annotationreference">
    <w:name w:val="annotation reference"/>
    <w:basedOn w:val="DefaultParagraphFont"/>
    <w:uiPriority w:val="99"/>
    <w:semiHidden/>
    <w:unhideWhenUsed/>
    <w:qFormat/>
    <w:rsid w:val="000b487d"/>
    <w:rPr>
      <w:sz w:val="16"/>
      <w:szCs w:val="16"/>
    </w:rPr>
  </w:style>
  <w:style w:type="character" w:styleId="Style26" w:customStyle="1">
    <w:name w:val="Текст примечания Знак"/>
    <w:basedOn w:val="DefaultParagraphFont"/>
    <w:uiPriority w:val="99"/>
    <w:qFormat/>
    <w:rsid w:val="000b487d"/>
    <w:rPr>
      <w:rFonts w:ascii="Times New Roman" w:hAnsi="Times New Roman" w:eastAsia="Times New Roman" w:cs="Times New Roman"/>
      <w:sz w:val="20"/>
      <w:szCs w:val="20"/>
      <w:lang w:eastAsia="ru-RU"/>
    </w:rPr>
  </w:style>
  <w:style w:type="character" w:styleId="Style27" w:customStyle="1">
    <w:name w:val="Тема примечания Знак"/>
    <w:basedOn w:val="Style26"/>
    <w:uiPriority w:val="99"/>
    <w:semiHidden/>
    <w:qFormat/>
    <w:rsid w:val="000b487d"/>
    <w:rPr>
      <w:rFonts w:ascii="Times New Roman" w:hAnsi="Times New Roman" w:eastAsia="Times New Roman" w:cs="Times New Roman"/>
      <w:b/>
      <w:bCs/>
      <w:sz w:val="20"/>
      <w:szCs w:val="20"/>
      <w:lang w:eastAsia="ru-RU"/>
    </w:rPr>
  </w:style>
  <w:style w:type="character" w:styleId="Rvts6" w:customStyle="1">
    <w:name w:val="rvts6"/>
    <w:basedOn w:val="DefaultParagraphFont"/>
    <w:qFormat/>
    <w:rsid w:val="000b487d"/>
    <w:rPr/>
  </w:style>
  <w:style w:type="character" w:styleId="Appleconvertedspace" w:customStyle="1">
    <w:name w:val="apple-converted-space"/>
    <w:basedOn w:val="DefaultParagraphFont"/>
    <w:qFormat/>
    <w:rsid w:val="000b487d"/>
    <w:rPr/>
  </w:style>
  <w:style w:type="character" w:styleId="Style28" w:customStyle="1">
    <w:name w:val="Обычный (Интернет) Знак"/>
    <w:uiPriority w:val="99"/>
    <w:qFormat/>
    <w:locked/>
    <w:rsid w:val="000b487d"/>
    <w:rPr>
      <w:rFonts w:ascii="Times New Roman" w:hAnsi="Times New Roman" w:eastAsia="Times New Roman" w:cs="Times New Roman"/>
      <w:color w:val="000000"/>
      <w:sz w:val="24"/>
      <w:szCs w:val="24"/>
      <w:lang w:eastAsia="ru-RU"/>
    </w:rPr>
  </w:style>
  <w:style w:type="character" w:styleId="214pt" w:customStyle="1">
    <w:name w:val="Основной текст (2) + 14 pt;Полужирный"/>
    <w:basedOn w:val="DefaultParagraphFont"/>
    <w:qFormat/>
    <w:rsid w:val="000b487d"/>
    <w:rPr>
      <w:rFonts w:ascii="Times New Roman" w:hAnsi="Times New Roman" w:eastAsia="Times New Roman" w:cs="Times New Roman"/>
      <w:b/>
      <w:bCs/>
      <w:i w:val="false"/>
      <w:iCs w:val="false"/>
      <w:caps w:val="false"/>
      <w:smallCaps w:val="false"/>
      <w:strike w:val="false"/>
      <w:dstrike w:val="false"/>
      <w:color w:val="000000"/>
      <w:spacing w:val="0"/>
      <w:w w:val="100"/>
      <w:sz w:val="28"/>
      <w:szCs w:val="28"/>
      <w:u w:val="none"/>
      <w:lang w:val="ru-RU" w:eastAsia="ru-RU" w:bidi="ru-RU"/>
    </w:rPr>
  </w:style>
  <w:style w:type="character" w:styleId="Style29" w:customStyle="1">
    <w:name w:val="Подпись к таблице_"/>
    <w:basedOn w:val="DefaultParagraphFont"/>
    <w:qFormat/>
    <w:rsid w:val="000b487d"/>
    <w:rPr>
      <w:rFonts w:ascii="Times New Roman" w:hAnsi="Times New Roman" w:eastAsia="Times New Roman"/>
      <w:b/>
      <w:bCs/>
      <w:sz w:val="28"/>
      <w:szCs w:val="28"/>
      <w:shd w:fill="FFFFFF" w:val="clear"/>
    </w:rPr>
  </w:style>
  <w:style w:type="character" w:styleId="295pt" w:customStyle="1">
    <w:name w:val="Основной текст (2) + 9;5 pt"/>
    <w:basedOn w:val="23"/>
    <w:qFormat/>
    <w:rsid w:val="000b487d"/>
    <w:rPr>
      <w:rFonts w:ascii="Times New Roman" w:hAnsi="Times New Roman" w:eastAsia="Times New Roman" w:cs="Times New Roman"/>
      <w:b w:val="false"/>
      <w:bCs w:val="false"/>
      <w:i w:val="false"/>
      <w:iCs w:val="false"/>
      <w:caps w:val="false"/>
      <w:smallCaps w:val="false"/>
      <w:strike w:val="false"/>
      <w:dstrike w:val="false"/>
      <w:color w:val="000000"/>
      <w:spacing w:val="0"/>
      <w:w w:val="100"/>
      <w:sz w:val="19"/>
      <w:szCs w:val="19"/>
      <w:u w:val="none"/>
      <w:shd w:fill="FFFFFF" w:val="clear"/>
      <w:lang w:val="ru-RU" w:eastAsia="ru-RU" w:bidi="ru-RU"/>
    </w:rPr>
  </w:style>
  <w:style w:type="character" w:styleId="285pt" w:customStyle="1">
    <w:name w:val="Основной текст (2) + 8;5 pt;Полужирный"/>
    <w:basedOn w:val="23"/>
    <w:qFormat/>
    <w:rsid w:val="000b487d"/>
    <w:rPr>
      <w:rFonts w:ascii="Times New Roman" w:hAnsi="Times New Roman" w:eastAsia="Times New Roman" w:cs="Times New Roman"/>
      <w:b/>
      <w:bCs/>
      <w:i w:val="false"/>
      <w:iCs w:val="false"/>
      <w:caps w:val="false"/>
      <w:smallCaps w:val="false"/>
      <w:strike w:val="false"/>
      <w:dstrike w:val="false"/>
      <w:color w:val="000000"/>
      <w:spacing w:val="0"/>
      <w:w w:val="100"/>
      <w:sz w:val="17"/>
      <w:szCs w:val="17"/>
      <w:u w:val="none"/>
      <w:shd w:fill="FFFFFF" w:val="clear"/>
      <w:lang w:val="ru-RU" w:eastAsia="ru-RU" w:bidi="ru-RU"/>
    </w:rPr>
  </w:style>
  <w:style w:type="character" w:styleId="13" w:customStyle="1">
    <w:name w:val="Неразрешенное упоминание1"/>
    <w:basedOn w:val="DefaultParagraphFont"/>
    <w:link w:val="120"/>
    <w:uiPriority w:val="99"/>
    <w:semiHidden/>
    <w:unhideWhenUsed/>
    <w:qFormat/>
    <w:rsid w:val="000b487d"/>
    <w:rPr>
      <w:color w:val="605E5C"/>
      <w:shd w:fill="E1DFDD" w:val="clear"/>
    </w:rPr>
  </w:style>
  <w:style w:type="character" w:styleId="Style30" w:customStyle="1">
    <w:name w:val="_Обычный Знак"/>
    <w:basedOn w:val="DefaultParagraphFont"/>
    <w:qFormat/>
    <w:rsid w:val="000b487d"/>
    <w:rPr>
      <w:rFonts w:ascii="Arial" w:hAnsi="Arial" w:cs="Times New Roman"/>
      <w:iCs/>
      <w:sz w:val="24"/>
      <w:szCs w:val="26"/>
    </w:rPr>
  </w:style>
  <w:style w:type="character" w:styleId="25" w:customStyle="1">
    <w:name w:val="Неразрешенное упоминание2"/>
    <w:basedOn w:val="DefaultParagraphFont"/>
    <w:uiPriority w:val="99"/>
    <w:semiHidden/>
    <w:unhideWhenUsed/>
    <w:qFormat/>
    <w:rsid w:val="000b487d"/>
    <w:rPr>
      <w:color w:val="605E5C"/>
      <w:shd w:fill="E1DFDD" w:val="clear"/>
    </w:rPr>
  </w:style>
  <w:style w:type="character" w:styleId="32" w:customStyle="1">
    <w:name w:val="Неразрешенное упоминание3"/>
    <w:basedOn w:val="DefaultParagraphFont"/>
    <w:uiPriority w:val="99"/>
    <w:semiHidden/>
    <w:unhideWhenUsed/>
    <w:qFormat/>
    <w:rsid w:val="000b487d"/>
    <w:rPr>
      <w:color w:val="605E5C"/>
      <w:shd w:fill="E1DFDD" w:val="clear"/>
    </w:rPr>
  </w:style>
  <w:style w:type="character" w:styleId="41" w:customStyle="1">
    <w:name w:val="Неразрешенное упоминание4"/>
    <w:basedOn w:val="DefaultParagraphFont"/>
    <w:uiPriority w:val="99"/>
    <w:semiHidden/>
    <w:unhideWhenUsed/>
    <w:qFormat/>
    <w:rsid w:val="000b487d"/>
    <w:rPr>
      <w:color w:val="605E5C"/>
      <w:shd w:fill="E1DFDD" w:val="clear"/>
    </w:rPr>
  </w:style>
  <w:style w:type="character" w:styleId="52" w:customStyle="1">
    <w:name w:val="Неразрешенное упоминание5"/>
    <w:basedOn w:val="DefaultParagraphFont"/>
    <w:uiPriority w:val="99"/>
    <w:semiHidden/>
    <w:unhideWhenUsed/>
    <w:qFormat/>
    <w:rsid w:val="000b487d"/>
    <w:rPr>
      <w:color w:val="605E5C"/>
      <w:shd w:fill="E1DFDD" w:val="clear"/>
    </w:rPr>
  </w:style>
  <w:style w:type="character" w:styleId="61" w:customStyle="1">
    <w:name w:val="Неразрешенное упоминание6"/>
    <w:basedOn w:val="DefaultParagraphFont"/>
    <w:uiPriority w:val="99"/>
    <w:semiHidden/>
    <w:unhideWhenUsed/>
    <w:qFormat/>
    <w:rsid w:val="000b487d"/>
    <w:rPr>
      <w:color w:val="605E5C"/>
      <w:shd w:fill="E1DFDD" w:val="clear"/>
    </w:rPr>
  </w:style>
  <w:style w:type="character" w:styleId="14" w:customStyle="1">
    <w:name w:val="Верхний колонтитул Знак1"/>
    <w:basedOn w:val="DefaultParagraphFont"/>
    <w:uiPriority w:val="99"/>
    <w:semiHidden/>
    <w:qFormat/>
    <w:rsid w:val="000b487d"/>
    <w:rPr/>
  </w:style>
  <w:style w:type="character" w:styleId="15" w:customStyle="1">
    <w:name w:val="Нижний колонтитул Знак1"/>
    <w:basedOn w:val="DefaultParagraphFont"/>
    <w:uiPriority w:val="99"/>
    <w:qFormat/>
    <w:rsid w:val="000b487d"/>
    <w:rPr/>
  </w:style>
  <w:style w:type="character" w:styleId="16" w:customStyle="1">
    <w:name w:val="Заголовок Знак1"/>
    <w:basedOn w:val="DefaultParagraphFont"/>
    <w:link w:val="16"/>
    <w:uiPriority w:val="10"/>
    <w:qFormat/>
    <w:rsid w:val="000b487d"/>
    <w:rPr>
      <w:rFonts w:ascii="Calibri Light" w:hAnsi="Calibri Light" w:eastAsia="Calibri Light" w:cs="Calibri Light"/>
      <w:spacing w:val="-10"/>
      <w:kern w:val="2"/>
      <w:sz w:val="56"/>
      <w:szCs w:val="56"/>
    </w:rPr>
  </w:style>
  <w:style w:type="character" w:styleId="72" w:customStyle="1">
    <w:name w:val="Неразрешенное упоминание7"/>
    <w:basedOn w:val="DefaultParagraphFont"/>
    <w:uiPriority w:val="99"/>
    <w:semiHidden/>
    <w:unhideWhenUsed/>
    <w:qFormat/>
    <w:rsid w:val="000b487d"/>
    <w:rPr>
      <w:color w:val="605E5C"/>
      <w:shd w:fill="E1DFDD" w:val="clear"/>
    </w:rPr>
  </w:style>
  <w:style w:type="character" w:styleId="81" w:customStyle="1">
    <w:name w:val="Неразрешенное упоминание8"/>
    <w:basedOn w:val="DefaultParagraphFont"/>
    <w:uiPriority w:val="99"/>
    <w:semiHidden/>
    <w:unhideWhenUsed/>
    <w:qFormat/>
    <w:rsid w:val="000b487d"/>
    <w:rPr>
      <w:color w:val="605E5C"/>
      <w:shd w:fill="E1DFDD" w:val="clear"/>
    </w:rPr>
  </w:style>
  <w:style w:type="character" w:styleId="Style31" w:customStyle="1">
    <w:name w:val="Название объекта Знак"/>
    <w:qFormat/>
    <w:locked/>
    <w:rsid w:val="000b487d"/>
    <w:rPr>
      <w:rFonts w:ascii="Times New Roman" w:hAnsi="Times New Roman"/>
      <w:iCs/>
      <w:sz w:val="24"/>
      <w:szCs w:val="18"/>
    </w:rPr>
  </w:style>
  <w:style w:type="character" w:styleId="HTML" w:customStyle="1">
    <w:name w:val="Стандартный HTML Знак"/>
    <w:basedOn w:val="DefaultParagraphFont"/>
    <w:semiHidden/>
    <w:qFormat/>
    <w:rsid w:val="000b487d"/>
    <w:rPr>
      <w:rFonts w:ascii="Courier New" w:hAnsi="Courier New" w:eastAsia="Calibri" w:cs="Courier New"/>
      <w:sz w:val="20"/>
      <w:szCs w:val="20"/>
      <w:lang w:eastAsia="ru-RU"/>
    </w:rPr>
  </w:style>
  <w:style w:type="character" w:styleId="HTML1" w:customStyle="1">
    <w:name w:val="Стандартный HTML Знак1"/>
    <w:basedOn w:val="DefaultParagraphFont"/>
    <w:uiPriority w:val="99"/>
    <w:semiHidden/>
    <w:qFormat/>
    <w:rsid w:val="000b487d"/>
    <w:rPr>
      <w:rFonts w:ascii="Consolas" w:hAnsi="Consolas"/>
      <w:sz w:val="20"/>
      <w:szCs w:val="20"/>
    </w:rPr>
  </w:style>
  <w:style w:type="character" w:styleId="17" w:customStyle="1">
    <w:name w:val="Оглавление 1 Знак"/>
    <w:uiPriority w:val="39"/>
    <w:qFormat/>
    <w:locked/>
    <w:rsid w:val="000b487d"/>
    <w:rPr>
      <w:rFonts w:ascii="Times New Roman" w:hAnsi="Times New Roman" w:eastAsia="Calibri"/>
      <w:sz w:val="24"/>
      <w:lang w:eastAsia="ru-RU"/>
    </w:rPr>
  </w:style>
  <w:style w:type="character" w:styleId="Style32" w:customStyle="1">
    <w:name w:val="Текст сноски Знак"/>
    <w:basedOn w:val="DefaultParagraphFont"/>
    <w:uiPriority w:val="99"/>
    <w:qFormat/>
    <w:locked/>
    <w:rsid w:val="000b487d"/>
    <w:rPr/>
  </w:style>
  <w:style w:type="character" w:styleId="111" w:customStyle="1">
    <w:name w:val="Оглавление 1 Знак1"/>
    <w:basedOn w:val="DefaultParagraphFont"/>
    <w:uiPriority w:val="99"/>
    <w:semiHidden/>
    <w:qFormat/>
    <w:rsid w:val="000b487d"/>
    <w:rPr>
      <w:rFonts w:ascii="Times New Roman" w:hAnsi="Times New Roman"/>
      <w:sz w:val="20"/>
      <w:szCs w:val="20"/>
    </w:rPr>
  </w:style>
  <w:style w:type="character" w:styleId="18" w:customStyle="1">
    <w:name w:val="Текст примечания Знак1"/>
    <w:basedOn w:val="DefaultParagraphFont"/>
    <w:link w:val="19"/>
    <w:uiPriority w:val="99"/>
    <w:semiHidden/>
    <w:qFormat/>
    <w:rsid w:val="000b487d"/>
    <w:rPr>
      <w:sz w:val="20"/>
      <w:szCs w:val="20"/>
    </w:rPr>
  </w:style>
  <w:style w:type="character" w:styleId="Style33" w:customStyle="1">
    <w:name w:val="Текст концевой сноски Знак"/>
    <w:basedOn w:val="DefaultParagraphFont"/>
    <w:uiPriority w:val="99"/>
    <w:semiHidden/>
    <w:qFormat/>
    <w:locked/>
    <w:rsid w:val="000b487d"/>
    <w:rPr/>
  </w:style>
  <w:style w:type="character" w:styleId="19" w:customStyle="1">
    <w:name w:val="Текст концевой сноски Знак1"/>
    <w:basedOn w:val="DefaultParagraphFont"/>
    <w:link w:val="1b"/>
    <w:semiHidden/>
    <w:qFormat/>
    <w:rsid w:val="000b487d"/>
    <w:rPr>
      <w:rFonts w:ascii="Times New Roman" w:hAnsi="Times New Roman"/>
      <w:sz w:val="20"/>
      <w:szCs w:val="20"/>
    </w:rPr>
  </w:style>
  <w:style w:type="character" w:styleId="110" w:customStyle="1">
    <w:name w:val="Маркированный список Знак1"/>
    <w:link w:val="1a"/>
    <w:uiPriority w:val="99"/>
    <w:semiHidden/>
    <w:qFormat/>
    <w:locked/>
    <w:rsid w:val="000b487d"/>
    <w:rPr>
      <w:rFonts w:ascii="Times New Roman" w:hAnsi="Times New Roman" w:eastAsia="Times New Roman" w:cs="Times New Roman"/>
      <w:sz w:val="24"/>
      <w:szCs w:val="24"/>
      <w:lang w:eastAsia="ru-RU"/>
    </w:rPr>
  </w:style>
  <w:style w:type="character" w:styleId="112" w:customStyle="1">
    <w:name w:val="Название Знак1"/>
    <w:basedOn w:val="DefaultParagraphFont"/>
    <w:link w:val="111"/>
    <w:uiPriority w:val="10"/>
    <w:qFormat/>
    <w:rsid w:val="000b487d"/>
    <w:rPr>
      <w:rFonts w:ascii="Calibri Light" w:hAnsi="Calibri Light" w:eastAsia="Calibri Light" w:cs="Calibri Light"/>
      <w:color w:val="323E4F"/>
      <w:spacing w:val="5"/>
      <w:kern w:val="2"/>
      <w:sz w:val="52"/>
      <w:szCs w:val="52"/>
    </w:rPr>
  </w:style>
  <w:style w:type="character" w:styleId="113" w:customStyle="1">
    <w:name w:val="Основной текст Знак1"/>
    <w:basedOn w:val="DefaultParagraphFont"/>
    <w:link w:val="112"/>
    <w:uiPriority w:val="99"/>
    <w:qFormat/>
    <w:rsid w:val="000b487d"/>
    <w:rPr/>
  </w:style>
  <w:style w:type="character" w:styleId="114" w:customStyle="1">
    <w:name w:val="Основной текст с отступом Знак1"/>
    <w:basedOn w:val="DefaultParagraphFont"/>
    <w:semiHidden/>
    <w:qFormat/>
    <w:rsid w:val="000b487d"/>
    <w:rPr/>
  </w:style>
  <w:style w:type="character" w:styleId="Style34" w:customStyle="1">
    <w:name w:val="Подзаголовок Знак"/>
    <w:basedOn w:val="DefaultParagraphFont"/>
    <w:qFormat/>
    <w:locked/>
    <w:rsid w:val="000b487d"/>
    <w:rPr>
      <w:rFonts w:ascii="Cambria" w:hAnsi="Cambria"/>
      <w:i/>
      <w:iCs/>
      <w:color w:val="4F81BD"/>
      <w:spacing w:val="15"/>
      <w:sz w:val="24"/>
      <w:szCs w:val="24"/>
    </w:rPr>
  </w:style>
  <w:style w:type="character" w:styleId="115" w:customStyle="1">
    <w:name w:val="Подзаголовок Знак1"/>
    <w:basedOn w:val="DefaultParagraphFont"/>
    <w:uiPriority w:val="11"/>
    <w:qFormat/>
    <w:rsid w:val="000b487d"/>
    <w:rPr>
      <w:rFonts w:eastAsia="Calibri"/>
      <w:color w:val="5A5A5A"/>
      <w:spacing w:val="15"/>
    </w:rPr>
  </w:style>
  <w:style w:type="character" w:styleId="26" w:customStyle="1">
    <w:name w:val="Основной текст 2 Знак"/>
    <w:basedOn w:val="DefaultParagraphFont"/>
    <w:uiPriority w:val="99"/>
    <w:qFormat/>
    <w:locked/>
    <w:rsid w:val="000b487d"/>
    <w:rPr>
      <w:sz w:val="16"/>
    </w:rPr>
  </w:style>
  <w:style w:type="character" w:styleId="212" w:customStyle="1">
    <w:name w:val="Основной текст 2 Знак1"/>
    <w:basedOn w:val="DefaultParagraphFont"/>
    <w:uiPriority w:val="99"/>
    <w:qFormat/>
    <w:rsid w:val="000b487d"/>
    <w:rPr>
      <w:rFonts w:ascii="Times New Roman" w:hAnsi="Times New Roman"/>
      <w:sz w:val="24"/>
    </w:rPr>
  </w:style>
  <w:style w:type="character" w:styleId="33" w:customStyle="1">
    <w:name w:val="Основной текст 3 Знак"/>
    <w:basedOn w:val="DefaultParagraphFont"/>
    <w:uiPriority w:val="99"/>
    <w:semiHidden/>
    <w:qFormat/>
    <w:locked/>
    <w:rsid w:val="000b487d"/>
    <w:rPr>
      <w:color w:val="FF0000"/>
      <w:sz w:val="16"/>
    </w:rPr>
  </w:style>
  <w:style w:type="character" w:styleId="311" w:customStyle="1">
    <w:name w:val="Основной текст 3 Знак1"/>
    <w:basedOn w:val="DefaultParagraphFont"/>
    <w:uiPriority w:val="99"/>
    <w:semiHidden/>
    <w:qFormat/>
    <w:rsid w:val="000b487d"/>
    <w:rPr>
      <w:rFonts w:ascii="Times New Roman" w:hAnsi="Times New Roman"/>
      <w:sz w:val="16"/>
      <w:szCs w:val="16"/>
    </w:rPr>
  </w:style>
  <w:style w:type="character" w:styleId="213" w:customStyle="1">
    <w:name w:val="Основной текст с отступом 2 Знак1"/>
    <w:basedOn w:val="DefaultParagraphFont"/>
    <w:uiPriority w:val="99"/>
    <w:semiHidden/>
    <w:qFormat/>
    <w:rsid w:val="000b487d"/>
    <w:rPr>
      <w:rFonts w:ascii="Times New Roman" w:hAnsi="Times New Roman"/>
      <w:sz w:val="24"/>
    </w:rPr>
  </w:style>
  <w:style w:type="character" w:styleId="34" w:customStyle="1">
    <w:name w:val="Основной текст с отступом 3 Знак"/>
    <w:basedOn w:val="DefaultParagraphFont"/>
    <w:semiHidden/>
    <w:qFormat/>
    <w:locked/>
    <w:rsid w:val="000b487d"/>
    <w:rPr>
      <w:sz w:val="16"/>
      <w:szCs w:val="16"/>
    </w:rPr>
  </w:style>
  <w:style w:type="character" w:styleId="312" w:customStyle="1">
    <w:name w:val="Основной текст с отступом 3 Знак1"/>
    <w:basedOn w:val="DefaultParagraphFont"/>
    <w:semiHidden/>
    <w:qFormat/>
    <w:rsid w:val="000b487d"/>
    <w:rPr>
      <w:rFonts w:ascii="Times New Roman" w:hAnsi="Times New Roman"/>
      <w:sz w:val="16"/>
      <w:szCs w:val="16"/>
    </w:rPr>
  </w:style>
  <w:style w:type="character" w:styleId="116" w:customStyle="1">
    <w:name w:val="Схема документа Знак1"/>
    <w:basedOn w:val="DefaultParagraphFont"/>
    <w:uiPriority w:val="99"/>
    <w:qFormat/>
    <w:rsid w:val="000b487d"/>
    <w:rPr>
      <w:rFonts w:ascii="Tahoma" w:hAnsi="Tahoma" w:cs="Tahoma"/>
      <w:sz w:val="16"/>
      <w:szCs w:val="16"/>
    </w:rPr>
  </w:style>
  <w:style w:type="character" w:styleId="Style35" w:customStyle="1">
    <w:name w:val="Текст Знак"/>
    <w:basedOn w:val="DefaultParagraphFont"/>
    <w:semiHidden/>
    <w:qFormat/>
    <w:locked/>
    <w:rsid w:val="000b487d"/>
    <w:rPr>
      <w:rFonts w:ascii="Consolas" w:hAnsi="Consolas" w:cs="Consolas"/>
      <w:sz w:val="21"/>
      <w:szCs w:val="21"/>
    </w:rPr>
  </w:style>
  <w:style w:type="character" w:styleId="117" w:customStyle="1">
    <w:name w:val="Текст Знак1"/>
    <w:basedOn w:val="DefaultParagraphFont"/>
    <w:semiHidden/>
    <w:qFormat/>
    <w:rsid w:val="000b487d"/>
    <w:rPr>
      <w:rFonts w:ascii="Consolas" w:hAnsi="Consolas"/>
      <w:sz w:val="21"/>
      <w:szCs w:val="21"/>
    </w:rPr>
  </w:style>
  <w:style w:type="character" w:styleId="118" w:customStyle="1">
    <w:name w:val="Тема примечания Знак1"/>
    <w:basedOn w:val="18"/>
    <w:uiPriority w:val="99"/>
    <w:semiHidden/>
    <w:qFormat/>
    <w:rsid w:val="000b487d"/>
    <w:rPr>
      <w:b/>
      <w:bCs/>
      <w:sz w:val="20"/>
      <w:szCs w:val="20"/>
    </w:rPr>
  </w:style>
  <w:style w:type="character" w:styleId="Style36" w:customStyle="1">
    <w:name w:val="Без интервала Знак"/>
    <w:uiPriority w:val="1"/>
    <w:qFormat/>
    <w:locked/>
    <w:rsid w:val="000b487d"/>
    <w:rPr/>
  </w:style>
  <w:style w:type="character" w:styleId="Style37" w:customStyle="1">
    <w:name w:val="номер список Знак Знак"/>
    <w:qFormat/>
    <w:locked/>
    <w:rsid w:val="000b487d"/>
    <w:rPr>
      <w:szCs w:val="24"/>
    </w:rPr>
  </w:style>
  <w:style w:type="character" w:styleId="MTDisplayEquation" w:customStyle="1">
    <w:name w:val="MTDisplayEquation Знак"/>
    <w:basedOn w:val="DefaultParagraphFont"/>
    <w:link w:val="MTDisplayEquation0"/>
    <w:qFormat/>
    <w:locked/>
    <w:rsid w:val="000b487d"/>
    <w:rPr>
      <w:sz w:val="28"/>
      <w:szCs w:val="28"/>
    </w:rPr>
  </w:style>
  <w:style w:type="character" w:styleId="Style38" w:customStyle="1">
    <w:name w:val="Основной текст_"/>
    <w:basedOn w:val="DefaultParagraphFont"/>
    <w:qFormat/>
    <w:locked/>
    <w:rsid w:val="000b487d"/>
    <w:rPr>
      <w:rFonts w:ascii="Arial" w:hAnsi="Arial" w:eastAsia="Arial" w:cs="Arial"/>
      <w:shd w:fill="FFFFFF" w:val="clear"/>
    </w:rPr>
  </w:style>
  <w:style w:type="character" w:styleId="30" w:customStyle="1">
    <w:name w:val="Основной текст (30)_"/>
    <w:basedOn w:val="DefaultParagraphFont"/>
    <w:link w:val="31"/>
    <w:qFormat/>
    <w:locked/>
    <w:rsid w:val="000b487d"/>
    <w:rPr>
      <w:rFonts w:ascii="Arial" w:hAnsi="Arial" w:cs="Arial"/>
      <w:sz w:val="17"/>
      <w:szCs w:val="17"/>
      <w:shd w:fill="FFFFFF" w:val="clear"/>
    </w:rPr>
  </w:style>
  <w:style w:type="character" w:styleId="119" w:customStyle="1">
    <w:name w:val="Стиль1 Знак"/>
    <w:basedOn w:val="Style16"/>
    <w:qFormat/>
    <w:locked/>
    <w:rsid w:val="000b487d"/>
    <w:rPr>
      <w:sz w:val="24"/>
      <w:szCs w:val="24"/>
    </w:rPr>
  </w:style>
  <w:style w:type="character" w:styleId="35" w:customStyle="1">
    <w:name w:val="Основной текст (3)_"/>
    <w:basedOn w:val="DefaultParagraphFont"/>
    <w:qFormat/>
    <w:locked/>
    <w:rsid w:val="000b487d"/>
    <w:rPr>
      <w:b/>
      <w:bCs/>
      <w:sz w:val="25"/>
      <w:szCs w:val="25"/>
      <w:shd w:fill="FFFFFF" w:val="clear"/>
    </w:rPr>
  </w:style>
  <w:style w:type="character" w:styleId="42" w:customStyle="1">
    <w:name w:val="Основной текст (4)_"/>
    <w:basedOn w:val="DefaultParagraphFont"/>
    <w:qFormat/>
    <w:locked/>
    <w:rsid w:val="000b487d"/>
    <w:rPr>
      <w:b/>
      <w:bCs/>
      <w:sz w:val="19"/>
      <w:szCs w:val="19"/>
      <w:shd w:fill="FFFFFF" w:val="clear"/>
    </w:rPr>
  </w:style>
  <w:style w:type="character" w:styleId="Style39" w:customStyle="1">
    <w:name w:val="_Текст основной Знак"/>
    <w:qFormat/>
    <w:locked/>
    <w:rsid w:val="000b487d"/>
    <w:rPr>
      <w:sz w:val="28"/>
      <w:szCs w:val="28"/>
    </w:rPr>
  </w:style>
  <w:style w:type="character" w:styleId="Style40" w:customStyle="1">
    <w:name w:val="Центр Знак"/>
    <w:qFormat/>
    <w:locked/>
    <w:rsid w:val="000b487d"/>
    <w:rPr>
      <w:szCs w:val="24"/>
    </w:rPr>
  </w:style>
  <w:style w:type="character" w:styleId="120" w:customStyle="1">
    <w:name w:val="1 Знак"/>
    <w:qFormat/>
    <w:locked/>
    <w:rsid w:val="000b487d"/>
    <w:rPr>
      <w:rFonts w:ascii="Verdana" w:hAnsi="Verdana" w:eastAsia="Times New Roman" w:cs="Times New Roman"/>
      <w:sz w:val="24"/>
      <w:szCs w:val="24"/>
      <w:lang w:val="en-US"/>
    </w:rPr>
  </w:style>
  <w:style w:type="character" w:styleId="Style41" w:customStyle="1">
    <w:name w:val="Сомов текст Знак"/>
    <w:qFormat/>
    <w:locked/>
    <w:rsid w:val="000b487d"/>
    <w:rPr>
      <w:rFonts w:ascii="Calibri" w:hAnsi="Calibri" w:eastAsia="Calibri" w:cs="Calibri"/>
      <w:sz w:val="28"/>
    </w:rPr>
  </w:style>
  <w:style w:type="character" w:styleId="Style42" w:customStyle="1">
    <w:name w:val="Сомов таблица Знак"/>
    <w:qFormat/>
    <w:locked/>
    <w:rsid w:val="000b487d"/>
    <w:rPr>
      <w:b/>
      <w:bCs/>
      <w:sz w:val="28"/>
      <w:szCs w:val="28"/>
    </w:rPr>
  </w:style>
  <w:style w:type="character" w:styleId="27" w:customStyle="1">
    <w:name w:val="Стиль2 Знак"/>
    <w:qFormat/>
    <w:locked/>
    <w:rsid w:val="000b487d"/>
    <w:rPr>
      <w:b/>
      <w:caps/>
      <w:sz w:val="28"/>
    </w:rPr>
  </w:style>
  <w:style w:type="character" w:styleId="36" w:customStyle="1">
    <w:name w:val="Стиль3 Знак"/>
    <w:basedOn w:val="31"/>
    <w:qFormat/>
    <w:locked/>
    <w:rsid w:val="000b487d"/>
    <w:rPr>
      <w:rFonts w:ascii="Cambria" w:hAnsi="Cambria" w:eastAsia="Calibri" w:cs="Times New Roman"/>
      <w:i w:val="false"/>
      <w:color w:val="4F81BD"/>
      <w:sz w:val="28"/>
      <w:szCs w:val="28"/>
      <w:lang w:eastAsia="ru-RU"/>
    </w:rPr>
  </w:style>
  <w:style w:type="character" w:styleId="Style43" w:customStyle="1">
    <w:name w:val="Сомов рисунок Знак Знак"/>
    <w:qFormat/>
    <w:locked/>
    <w:rsid w:val="000b487d"/>
    <w:rPr>
      <w:i/>
      <w:iCs/>
      <w:sz w:val="28"/>
      <w:szCs w:val="28"/>
    </w:rPr>
  </w:style>
  <w:style w:type="character" w:styleId="43" w:customStyle="1">
    <w:name w:val="Стиль4 Знак"/>
    <w:basedOn w:val="DefaultParagraphFont"/>
    <w:qFormat/>
    <w:locked/>
    <w:rsid w:val="000b487d"/>
    <w:rPr>
      <w:rFonts w:ascii="Calibri" w:hAnsi="Calibri" w:eastAsia="Calibri" w:cs="Calibri"/>
      <w:sz w:val="28"/>
      <w:szCs w:val="24"/>
      <w:shd w:fill="FFFFFF" w:val="clear"/>
      <w:lang w:eastAsia="ru-RU"/>
    </w:rPr>
  </w:style>
  <w:style w:type="character" w:styleId="53" w:customStyle="1">
    <w:name w:val="Стиль5 Знак"/>
    <w:basedOn w:val="DefaultParagraphFont"/>
    <w:qFormat/>
    <w:locked/>
    <w:rsid w:val="000b487d"/>
    <w:rPr>
      <w:rFonts w:ascii="Calibri" w:hAnsi="Calibri" w:eastAsia="Calibri" w:cs="Calibri"/>
      <w:sz w:val="28"/>
      <w:szCs w:val="24"/>
      <w:shd w:fill="FFFFFF" w:val="clear"/>
      <w:lang w:eastAsia="ru-RU"/>
    </w:rPr>
  </w:style>
  <w:style w:type="character" w:styleId="62" w:customStyle="1">
    <w:name w:val="Стиль6 Знак"/>
    <w:qFormat/>
    <w:locked/>
    <w:rsid w:val="000b487d"/>
    <w:rPr>
      <w:sz w:val="28"/>
    </w:rPr>
  </w:style>
  <w:style w:type="character" w:styleId="Normal1" w:customStyle="1">
    <w:name w:val="Normal Знак Знак"/>
    <w:semiHidden/>
    <w:qFormat/>
    <w:locked/>
    <w:rsid w:val="000b487d"/>
    <w:rPr>
      <w:sz w:val="24"/>
      <w:szCs w:val="24"/>
    </w:rPr>
  </w:style>
  <w:style w:type="character" w:styleId="Somik1" w:customStyle="1">
    <w:name w:val="Somik1 Знак"/>
    <w:link w:val="Somik10"/>
    <w:qFormat/>
    <w:locked/>
    <w:rsid w:val="000b487d"/>
    <w:rPr>
      <w:b/>
      <w:sz w:val="28"/>
      <w:szCs w:val="28"/>
    </w:rPr>
  </w:style>
  <w:style w:type="character" w:styleId="NoSpacingChar" w:customStyle="1">
    <w:name w:val="No Spacing Char"/>
    <w:link w:val="28"/>
    <w:qFormat/>
    <w:locked/>
    <w:rsid w:val="000b487d"/>
    <w:rPr>
      <w:rFonts w:ascii="Calibri" w:hAnsi="Calibri" w:cs="Calibri"/>
      <w:sz w:val="24"/>
      <w:szCs w:val="32"/>
      <w:lang w:val="en-US"/>
    </w:rPr>
  </w:style>
  <w:style w:type="character" w:styleId="1111" w:customStyle="1">
    <w:name w:val="1.1.1 Список Знак"/>
    <w:basedOn w:val="DefaultParagraphFont"/>
    <w:qFormat/>
    <w:locked/>
    <w:rsid w:val="000b487d"/>
    <w:rPr>
      <w:bCs/>
      <w:sz w:val="24"/>
    </w:rPr>
  </w:style>
  <w:style w:type="character" w:styleId="Style44" w:customStyle="1">
    <w:name w:val="Заголовок структурных элементов Знак"/>
    <w:basedOn w:val="DefaultParagraphFont"/>
    <w:qFormat/>
    <w:locked/>
    <w:rsid w:val="000b487d"/>
    <w:rPr>
      <w:b/>
      <w:sz w:val="24"/>
      <w:szCs w:val="24"/>
    </w:rPr>
  </w:style>
  <w:style w:type="character" w:styleId="Bodytext" w:customStyle="1">
    <w:name w:val="Body text_"/>
    <w:link w:val="bodytext0"/>
    <w:uiPriority w:val="99"/>
    <w:qFormat/>
    <w:locked/>
    <w:rsid w:val="000b487d"/>
    <w:rPr>
      <w:spacing w:val="10"/>
      <w:sz w:val="38"/>
      <w:szCs w:val="38"/>
    </w:rPr>
  </w:style>
  <w:style w:type="character" w:styleId="122" w:customStyle="1">
    <w:name w:val="1_жирный Знак"/>
    <w:qFormat/>
    <w:locked/>
    <w:rsid w:val="000b487d"/>
    <w:rPr>
      <w:rFonts w:ascii="Calibri" w:hAnsi="Calibri" w:eastAsia="Calibri" w:cs="Calibri"/>
      <w:b/>
      <w:sz w:val="28"/>
      <w:szCs w:val="28"/>
    </w:rPr>
  </w:style>
  <w:style w:type="character" w:styleId="123" w:customStyle="1">
    <w:name w:val="Содерж 1 Знак"/>
    <w:qFormat/>
    <w:locked/>
    <w:rsid w:val="000b487d"/>
    <w:rPr>
      <w:b/>
      <w:bCs/>
      <w:color w:val="365F91"/>
      <w:spacing w:val="1"/>
      <w:sz w:val="28"/>
      <w:szCs w:val="28"/>
    </w:rPr>
  </w:style>
  <w:style w:type="character" w:styleId="Style45" w:customStyle="1">
    <w:name w:val="-- Знак"/>
    <w:qFormat/>
    <w:locked/>
    <w:rsid w:val="000b487d"/>
    <w:rPr>
      <w:b/>
      <w:sz w:val="28"/>
      <w:szCs w:val="28"/>
    </w:rPr>
  </w:style>
  <w:style w:type="character" w:styleId="28" w:customStyle="1">
    <w:name w:val="2_малый Знак"/>
    <w:link w:val="NoSpacingChar"/>
    <w:qFormat/>
    <w:locked/>
    <w:rsid w:val="000b487d"/>
    <w:rPr>
      <w:rFonts w:ascii="Calibri" w:hAnsi="Calibri" w:eastAsia="Calibri" w:cs="Calibri"/>
      <w:sz w:val="24"/>
    </w:rPr>
  </w:style>
  <w:style w:type="character" w:styleId="37" w:customStyle="1">
    <w:name w:val="3 Знак"/>
    <w:qFormat/>
    <w:locked/>
    <w:rsid w:val="000b487d"/>
    <w:rPr>
      <w:color w:val="000000"/>
      <w:sz w:val="28"/>
      <w:szCs w:val="28"/>
    </w:rPr>
  </w:style>
  <w:style w:type="character" w:styleId="29" w:customStyle="1">
    <w:name w:val="2 Знак"/>
    <w:qFormat/>
    <w:locked/>
    <w:rsid w:val="000b487d"/>
    <w:rPr>
      <w:sz w:val="24"/>
      <w:szCs w:val="24"/>
    </w:rPr>
  </w:style>
  <w:style w:type="character" w:styleId="222" w:customStyle="1">
    <w:name w:val="222 Знак"/>
    <w:link w:val="2220"/>
    <w:qFormat/>
    <w:locked/>
    <w:rsid w:val="000b487d"/>
    <w:rPr>
      <w:color w:val="000000"/>
      <w:spacing w:val="5"/>
      <w:sz w:val="28"/>
      <w:szCs w:val="28"/>
    </w:rPr>
  </w:style>
  <w:style w:type="character" w:styleId="210" w:customStyle="1">
    <w:name w:val="Содержание 2 Знак"/>
    <w:qFormat/>
    <w:locked/>
    <w:rsid w:val="000b487d"/>
    <w:rPr>
      <w:b/>
      <w:bCs/>
      <w:color w:val="000000"/>
      <w:spacing w:val="-4"/>
      <w:kern w:val="2"/>
      <w:sz w:val="28"/>
      <w:szCs w:val="24"/>
    </w:rPr>
  </w:style>
  <w:style w:type="character" w:styleId="Style46" w:customStyle="1">
    <w:name w:val="ТЕКСТ ПР Знак"/>
    <w:qFormat/>
    <w:locked/>
    <w:rsid w:val="000b487d"/>
    <w:rPr>
      <w:sz w:val="24"/>
      <w:szCs w:val="24"/>
    </w:rPr>
  </w:style>
  <w:style w:type="character" w:styleId="S00" w:customStyle="1">
    <w:name w:val="s00 Текст Знак"/>
    <w:qFormat/>
    <w:locked/>
    <w:rsid w:val="000b487d"/>
    <w:rPr>
      <w:rFonts w:ascii="Arial" w:hAnsi="Arial" w:cs="Arial"/>
      <w:szCs w:val="24"/>
    </w:rPr>
  </w:style>
  <w:style w:type="character" w:styleId="38" w:customStyle="1">
    <w:name w:val="Заголовок №3_"/>
    <w:basedOn w:val="DefaultParagraphFont"/>
    <w:qFormat/>
    <w:locked/>
    <w:rsid w:val="000b487d"/>
    <w:rPr>
      <w:rFonts w:ascii="Verdana" w:hAnsi="Verdana" w:eastAsia="Verdana" w:cs="Verdana"/>
      <w:b/>
      <w:bCs/>
      <w:sz w:val="26"/>
      <w:szCs w:val="26"/>
      <w:shd w:fill="FFFFFF" w:val="clear"/>
    </w:rPr>
  </w:style>
  <w:style w:type="character" w:styleId="SubtleEmphasis">
    <w:name w:val="Subtle Emphasis"/>
    <w:uiPriority w:val="19"/>
    <w:qFormat/>
    <w:rsid w:val="000b487d"/>
    <w:rPr>
      <w:i/>
      <w:iCs/>
      <w:color w:val="808080"/>
    </w:rPr>
  </w:style>
  <w:style w:type="character" w:styleId="Normal11" w:customStyle="1">
    <w:name w:val="normal1"/>
    <w:qFormat/>
    <w:rsid w:val="000b487d"/>
    <w:rPr>
      <w:rFonts w:ascii="Tahoma" w:hAnsi="Tahoma" w:cs="Tahoma"/>
      <w:color w:val="333333"/>
      <w:sz w:val="18"/>
      <w:szCs w:val="18"/>
    </w:rPr>
  </w:style>
  <w:style w:type="character" w:styleId="MTConvertedEquation" w:customStyle="1">
    <w:name w:val="MTConvertedEquation"/>
    <w:qFormat/>
    <w:rsid w:val="000b487d"/>
    <w:rPr>
      <w:sz w:val="28"/>
      <w:szCs w:val="28"/>
    </w:rPr>
  </w:style>
  <w:style w:type="character" w:styleId="MTEquationSection" w:customStyle="1">
    <w:name w:val="MTEquationSection"/>
    <w:qFormat/>
    <w:rsid w:val="000b487d"/>
    <w:rPr>
      <w:b/>
      <w:bCs w:val="false"/>
      <w:vanish w:val="false"/>
      <w:color w:val="FF0000"/>
      <w:sz w:val="28"/>
      <w:szCs w:val="28"/>
    </w:rPr>
  </w:style>
  <w:style w:type="character" w:styleId="Hl1" w:customStyle="1">
    <w:name w:val="hl1"/>
    <w:qFormat/>
    <w:rsid w:val="000b487d"/>
    <w:rPr>
      <w:color w:val="4682B4"/>
    </w:rPr>
  </w:style>
  <w:style w:type="character" w:styleId="St1" w:customStyle="1">
    <w:name w:val="st1"/>
    <w:basedOn w:val="DefaultParagraphFont"/>
    <w:qFormat/>
    <w:rsid w:val="000b487d"/>
    <w:rPr/>
  </w:style>
  <w:style w:type="character" w:styleId="Ft" w:customStyle="1">
    <w:name w:val="ft"/>
    <w:basedOn w:val="DefaultParagraphFont"/>
    <w:qFormat/>
    <w:rsid w:val="000b487d"/>
    <w:rPr/>
  </w:style>
  <w:style w:type="character" w:styleId="Shorttext" w:customStyle="1">
    <w:name w:val="short_text"/>
    <w:qFormat/>
    <w:rsid w:val="000b487d"/>
    <w:rPr/>
  </w:style>
  <w:style w:type="character" w:styleId="Hps" w:customStyle="1">
    <w:name w:val="hps"/>
    <w:qFormat/>
    <w:rsid w:val="000b487d"/>
    <w:rPr/>
  </w:style>
  <w:style w:type="character" w:styleId="2pt" w:customStyle="1">
    <w:name w:val="Основной текст + Интервал 2 pt"/>
    <w:basedOn w:val="Style38"/>
    <w:qFormat/>
    <w:rsid w:val="000b487d"/>
    <w:rPr>
      <w:rFonts w:ascii="Arial" w:hAnsi="Arial" w:eastAsia="Arial" w:cs="Arial"/>
      <w:b w:val="false"/>
      <w:bCs w:val="false"/>
      <w:i w:val="false"/>
      <w:iCs w:val="false"/>
      <w:caps w:val="false"/>
      <w:smallCaps w:val="false"/>
      <w:strike w:val="false"/>
      <w:dstrike w:val="false"/>
      <w:spacing w:val="50"/>
      <w:u w:val="none"/>
      <w:effect w:val="none"/>
      <w:shd w:fill="FFFFFF" w:val="clear"/>
    </w:rPr>
  </w:style>
  <w:style w:type="character" w:styleId="FontStyle45" w:customStyle="1">
    <w:name w:val="Font Style45"/>
    <w:basedOn w:val="DefaultParagraphFont"/>
    <w:uiPriority w:val="99"/>
    <w:qFormat/>
    <w:rsid w:val="000b487d"/>
    <w:rPr>
      <w:rFonts w:ascii="Times New Roman" w:hAnsi="Times New Roman" w:cs="Times New Roman"/>
      <w:sz w:val="18"/>
      <w:szCs w:val="18"/>
    </w:rPr>
  </w:style>
  <w:style w:type="character" w:styleId="30TimesNewRoman92" w:customStyle="1">
    <w:name w:val="Основной текст (30) + Times New Roman92"/>
    <w:basedOn w:val="30"/>
    <w:qFormat/>
    <w:rsid w:val="000b487d"/>
    <w:rPr>
      <w:rFonts w:ascii="Times New Roman" w:hAnsi="Times New Roman" w:cs="Times New Roman"/>
      <w:spacing w:val="0"/>
      <w:sz w:val="19"/>
      <w:szCs w:val="19"/>
      <w:shd w:fill="FFFFFF" w:val="clear"/>
    </w:rPr>
  </w:style>
  <w:style w:type="character" w:styleId="Tree" w:customStyle="1">
    <w:name w:val="tree"/>
    <w:qFormat/>
    <w:rsid w:val="000b487d"/>
    <w:rPr>
      <w:rFonts w:ascii="Times New Roman" w:hAnsi="Times New Roman" w:cs="Times New Roman"/>
    </w:rPr>
  </w:style>
  <w:style w:type="character" w:styleId="Au" w:customStyle="1">
    <w:name w:val="au"/>
    <w:qFormat/>
    <w:rsid w:val="000b487d"/>
    <w:rPr>
      <w:rFonts w:ascii="Times New Roman" w:hAnsi="Times New Roman" w:cs="Times New Roman"/>
    </w:rPr>
  </w:style>
  <w:style w:type="character" w:styleId="B" w:customStyle="1">
    <w:name w:val="b"/>
    <w:qFormat/>
    <w:rsid w:val="000b487d"/>
    <w:rPr>
      <w:rFonts w:ascii="Times New Roman" w:hAnsi="Times New Roman" w:cs="Times New Roman"/>
    </w:rPr>
  </w:style>
  <w:style w:type="character" w:styleId="Highlight1" w:customStyle="1">
    <w:name w:val="highlight1"/>
    <w:qFormat/>
    <w:rsid w:val="000b487d"/>
    <w:rPr>
      <w:rFonts w:ascii="Times New Roman" w:hAnsi="Times New Roman" w:cs="Times New Roman"/>
      <w:shd w:fill="FEDB6D" w:val="clear"/>
    </w:rPr>
  </w:style>
  <w:style w:type="character" w:styleId="Advanced1" w:customStyle="1">
    <w:name w:val="advanced1"/>
    <w:qFormat/>
    <w:rsid w:val="000b487d"/>
    <w:rPr>
      <w:rFonts w:ascii="Times New Roman" w:hAnsi="Times New Roman" w:cs="Times New Roman"/>
      <w:i/>
      <w:iCs/>
    </w:rPr>
  </w:style>
  <w:style w:type="character" w:styleId="Core1" w:customStyle="1">
    <w:name w:val="core1"/>
    <w:qFormat/>
    <w:rsid w:val="000b487d"/>
    <w:rPr>
      <w:rFonts w:ascii="Times New Roman" w:hAnsi="Times New Roman" w:cs="Times New Roman"/>
    </w:rPr>
  </w:style>
  <w:style w:type="character" w:styleId="Nobr1" w:customStyle="1">
    <w:name w:val="nobr1"/>
    <w:qFormat/>
    <w:rsid w:val="000b487d"/>
    <w:rPr>
      <w:rFonts w:ascii="Times New Roman" w:hAnsi="Times New Roman" w:cs="Times New Roman"/>
    </w:rPr>
  </w:style>
  <w:style w:type="character" w:styleId="Small" w:customStyle="1">
    <w:name w:val="small"/>
    <w:qFormat/>
    <w:rsid w:val="000b487d"/>
    <w:rPr>
      <w:rFonts w:ascii="Times New Roman" w:hAnsi="Times New Roman" w:cs="Times New Roman"/>
    </w:rPr>
  </w:style>
  <w:style w:type="character" w:styleId="131" w:customStyle="1">
    <w:name w:val="Основной текст + 13"/>
    <w:basedOn w:val="DefaultParagraphFont"/>
    <w:uiPriority w:val="99"/>
    <w:qFormat/>
    <w:rsid w:val="000b487d"/>
    <w:rPr>
      <w:rFonts w:ascii="Times New Roman" w:hAnsi="Times New Roman" w:cs="Times New Roman"/>
      <w:strike w:val="false"/>
      <w:dstrike w:val="false"/>
      <w:sz w:val="27"/>
      <w:szCs w:val="27"/>
      <w:u w:val="none"/>
      <w:effect w:val="none"/>
    </w:rPr>
  </w:style>
  <w:style w:type="character" w:styleId="7pt" w:customStyle="1">
    <w:name w:val="Основной текст + 7 pt"/>
    <w:basedOn w:val="DefaultParagraphFont"/>
    <w:uiPriority w:val="99"/>
    <w:qFormat/>
    <w:rsid w:val="000b487d"/>
    <w:rPr>
      <w:rFonts w:ascii="Sylfaen" w:hAnsi="Sylfaen" w:cs="Sylfaen"/>
      <w:smallCaps/>
      <w:sz w:val="14"/>
      <w:szCs w:val="14"/>
      <w:shd w:fill="FFFFFF" w:val="clear"/>
    </w:rPr>
  </w:style>
  <w:style w:type="character" w:styleId="Applestylespan" w:customStyle="1">
    <w:name w:val="apple-style-span"/>
    <w:qFormat/>
    <w:rsid w:val="000b487d"/>
    <w:rPr>
      <w:rFonts w:ascii="Times New Roman" w:hAnsi="Times New Roman" w:cs="Times New Roman"/>
    </w:rPr>
  </w:style>
  <w:style w:type="character" w:styleId="214" w:customStyle="1">
    <w:name w:val="Основной текст Знак2"/>
    <w:qFormat/>
    <w:locked/>
    <w:rsid w:val="000b487d"/>
    <w:rPr>
      <w:rFonts w:ascii="Times New Roman" w:hAnsi="Times New Roman" w:cs="Times New Roman"/>
      <w:sz w:val="28"/>
      <w:lang w:val="ru-RU" w:eastAsia="ru-RU" w:bidi="ar-SA"/>
    </w:rPr>
  </w:style>
  <w:style w:type="character" w:styleId="Toctoggle" w:customStyle="1">
    <w:name w:val="toctoggle"/>
    <w:qFormat/>
    <w:rsid w:val="000b487d"/>
    <w:rPr>
      <w:rFonts w:ascii="Times New Roman" w:hAnsi="Times New Roman" w:cs="Times New Roman"/>
    </w:rPr>
  </w:style>
  <w:style w:type="character" w:styleId="Tocnumber" w:customStyle="1">
    <w:name w:val="tocnumber"/>
    <w:qFormat/>
    <w:rsid w:val="000b487d"/>
    <w:rPr>
      <w:rFonts w:ascii="Times New Roman" w:hAnsi="Times New Roman" w:cs="Times New Roman"/>
    </w:rPr>
  </w:style>
  <w:style w:type="character" w:styleId="Toctext" w:customStyle="1">
    <w:name w:val="toctext"/>
    <w:qFormat/>
    <w:rsid w:val="000b487d"/>
    <w:rPr>
      <w:rFonts w:ascii="Times New Roman" w:hAnsi="Times New Roman" w:cs="Times New Roman"/>
    </w:rPr>
  </w:style>
  <w:style w:type="character" w:styleId="Editsection" w:customStyle="1">
    <w:name w:val="editsection"/>
    <w:qFormat/>
    <w:rsid w:val="000b487d"/>
    <w:rPr>
      <w:rFonts w:ascii="Times New Roman" w:hAnsi="Times New Roman" w:cs="Times New Roman"/>
    </w:rPr>
  </w:style>
  <w:style w:type="character" w:styleId="Mwheadline" w:customStyle="1">
    <w:name w:val="mw-headline"/>
    <w:qFormat/>
    <w:rsid w:val="000b487d"/>
    <w:rPr>
      <w:rFonts w:ascii="Times New Roman" w:hAnsi="Times New Roman" w:cs="Times New Roman"/>
    </w:rPr>
  </w:style>
  <w:style w:type="character" w:styleId="Style210" w:customStyle="1">
    <w:name w:val="style2"/>
    <w:qFormat/>
    <w:rsid w:val="000b487d"/>
    <w:rPr>
      <w:rFonts w:ascii="Times New Roman" w:hAnsi="Times New Roman" w:cs="Times New Roman"/>
    </w:rPr>
  </w:style>
  <w:style w:type="character" w:styleId="Style110" w:customStyle="1">
    <w:name w:val="style1"/>
    <w:qFormat/>
    <w:rsid w:val="000b487d"/>
    <w:rPr>
      <w:rFonts w:ascii="Times New Roman" w:hAnsi="Times New Roman" w:cs="Times New Roman"/>
    </w:rPr>
  </w:style>
  <w:style w:type="character" w:styleId="Texhtml" w:customStyle="1">
    <w:name w:val="texhtml"/>
    <w:qFormat/>
    <w:rsid w:val="000b487d"/>
    <w:rPr>
      <w:rFonts w:ascii="Times New Roman" w:hAnsi="Times New Roman" w:cs="Times New Roman"/>
    </w:rPr>
  </w:style>
  <w:style w:type="character" w:styleId="Grame" w:customStyle="1">
    <w:name w:val="grame"/>
    <w:qFormat/>
    <w:rsid w:val="000b487d"/>
    <w:rPr>
      <w:rFonts w:ascii="Times New Roman" w:hAnsi="Times New Roman" w:cs="Times New Roman"/>
    </w:rPr>
  </w:style>
  <w:style w:type="character" w:styleId="124" w:customStyle="1">
    <w:name w:val="рисунок1 Знак"/>
    <w:qFormat/>
    <w:rsid w:val="000b487d"/>
    <w:rPr>
      <w:rFonts w:ascii="Times New Roman" w:hAnsi="Times New Roman" w:cs="Times New Roman"/>
      <w:sz w:val="28"/>
      <w:szCs w:val="28"/>
      <w:lang w:val="ru-RU" w:eastAsia="ru-RU" w:bidi="ar-SA"/>
    </w:rPr>
  </w:style>
  <w:style w:type="character" w:styleId="141" w:customStyle="1">
    <w:name w:val="Стиль Основной текст + 14 пт Знак"/>
    <w:qFormat/>
    <w:rsid w:val="000b487d"/>
    <w:rPr>
      <w:rFonts w:ascii="Times New Roman" w:hAnsi="Times New Roman" w:cs="Times New Roman"/>
      <w:sz w:val="28"/>
      <w:lang w:val="ru-RU" w:eastAsia="ru-RU" w:bidi="ar-SA"/>
    </w:rPr>
  </w:style>
  <w:style w:type="character" w:styleId="Paragraph1" w:customStyle="1">
    <w:name w:val="paragraph1"/>
    <w:qFormat/>
    <w:rsid w:val="000b487d"/>
    <w:rPr>
      <w:rFonts w:ascii="Times New Roman" w:hAnsi="Times New Roman" w:cs="Times New Roman"/>
      <w:color w:val="3C3C3C"/>
    </w:rPr>
  </w:style>
  <w:style w:type="character" w:styleId="FontStyle15" w:customStyle="1">
    <w:name w:val="Font Style15"/>
    <w:uiPriority w:val="99"/>
    <w:qFormat/>
    <w:rsid w:val="000b487d"/>
    <w:rPr>
      <w:rFonts w:ascii="Times New Roman" w:hAnsi="Times New Roman" w:cs="Times New Roman"/>
      <w:sz w:val="18"/>
      <w:szCs w:val="18"/>
    </w:rPr>
  </w:style>
  <w:style w:type="character" w:styleId="Style181" w:customStyle="1">
    <w:name w:val="style18"/>
    <w:qFormat/>
    <w:rsid w:val="000b487d"/>
    <w:rPr>
      <w:rFonts w:ascii="Times New Roman" w:hAnsi="Times New Roman" w:cs="Times New Roman"/>
    </w:rPr>
  </w:style>
  <w:style w:type="character" w:styleId="TitleChar" w:customStyle="1">
    <w:name w:val="Title Char"/>
    <w:qFormat/>
    <w:locked/>
    <w:rsid w:val="000b487d"/>
    <w:rPr>
      <w:rFonts w:ascii="MS Mincho" w:hAnsi="MS Mincho" w:eastAsia="MS Mincho" w:cs="Times New Roman"/>
      <w:sz w:val="28"/>
      <w:lang w:val="ru-RU" w:eastAsia="ru-RU" w:bidi="ar-SA"/>
    </w:rPr>
  </w:style>
  <w:style w:type="character" w:styleId="Author" w:customStyle="1">
    <w:name w:val="author"/>
    <w:basedOn w:val="DefaultParagraphFont"/>
    <w:qFormat/>
    <w:rsid w:val="000b487d"/>
    <w:rPr/>
  </w:style>
  <w:style w:type="character" w:styleId="FontStyle38" w:customStyle="1">
    <w:name w:val="Font Style38"/>
    <w:qFormat/>
    <w:rsid w:val="000b487d"/>
    <w:rPr>
      <w:rFonts w:ascii="Times New Roman" w:hAnsi="Times New Roman" w:cs="Times New Roman"/>
      <w:b/>
      <w:bCs/>
      <w:sz w:val="26"/>
      <w:szCs w:val="26"/>
    </w:rPr>
  </w:style>
  <w:style w:type="character" w:styleId="FontStyle103" w:customStyle="1">
    <w:name w:val="Font Style103"/>
    <w:qFormat/>
    <w:rsid w:val="000b487d"/>
    <w:rPr>
      <w:rFonts w:ascii="Times New Roman" w:hAnsi="Times New Roman" w:cs="Times New Roman"/>
      <w:b/>
      <w:bCs/>
      <w:i/>
      <w:iCs/>
      <w:sz w:val="20"/>
      <w:szCs w:val="20"/>
    </w:rPr>
  </w:style>
  <w:style w:type="character" w:styleId="Contentheader" w:customStyle="1">
    <w:name w:val="contentheader"/>
    <w:basedOn w:val="DefaultParagraphFont"/>
    <w:qFormat/>
    <w:rsid w:val="000b487d"/>
    <w:rPr/>
  </w:style>
  <w:style w:type="character" w:styleId="Contenttext" w:customStyle="1">
    <w:name w:val="contenttext"/>
    <w:basedOn w:val="DefaultParagraphFont"/>
    <w:qFormat/>
    <w:rsid w:val="000b487d"/>
    <w:rPr/>
  </w:style>
  <w:style w:type="character" w:styleId="Personname" w:customStyle="1">
    <w:name w:val="person_name"/>
    <w:basedOn w:val="DefaultParagraphFont"/>
    <w:qFormat/>
    <w:rsid w:val="000b487d"/>
    <w:rPr/>
  </w:style>
  <w:style w:type="character" w:styleId="FontStyle76" w:customStyle="1">
    <w:name w:val="Font Style76"/>
    <w:qFormat/>
    <w:rsid w:val="000b487d"/>
    <w:rPr>
      <w:rFonts w:ascii="Arial Narrow" w:hAnsi="Arial Narrow" w:cs="Arial Narrow"/>
      <w:b/>
      <w:bCs/>
      <w:sz w:val="58"/>
      <w:szCs w:val="58"/>
    </w:rPr>
  </w:style>
  <w:style w:type="character" w:styleId="FontStyle77" w:customStyle="1">
    <w:name w:val="Font Style77"/>
    <w:qFormat/>
    <w:rsid w:val="000b487d"/>
    <w:rPr>
      <w:rFonts w:ascii="Arial Narrow" w:hAnsi="Arial Narrow" w:cs="Arial Narrow"/>
      <w:b/>
      <w:bCs/>
      <w:sz w:val="36"/>
      <w:szCs w:val="36"/>
    </w:rPr>
  </w:style>
  <w:style w:type="character" w:styleId="Citationyear" w:customStyle="1">
    <w:name w:val="citation_year"/>
    <w:basedOn w:val="DefaultParagraphFont"/>
    <w:qFormat/>
    <w:rsid w:val="000b487d"/>
    <w:rPr/>
  </w:style>
  <w:style w:type="character" w:styleId="Citationvolume" w:customStyle="1">
    <w:name w:val="citation_volume"/>
    <w:basedOn w:val="DefaultParagraphFont"/>
    <w:qFormat/>
    <w:rsid w:val="000b487d"/>
    <w:rPr/>
  </w:style>
  <w:style w:type="character" w:styleId="Hl" w:customStyle="1">
    <w:name w:val="hl"/>
    <w:basedOn w:val="DefaultParagraphFont"/>
    <w:qFormat/>
    <w:rsid w:val="000b487d"/>
    <w:rPr/>
  </w:style>
  <w:style w:type="character" w:styleId="Style47" w:customStyle="1">
    <w:name w:val="Основной текст Знак Знак"/>
    <w:qFormat/>
    <w:rsid w:val="000b487d"/>
    <w:rPr>
      <w:i/>
      <w:iCs w:val="false"/>
      <w:sz w:val="28"/>
      <w:lang w:val="en-US" w:eastAsia="ru-RU" w:bidi="ar-SA"/>
    </w:rPr>
  </w:style>
  <w:style w:type="character" w:styleId="Style48" w:customStyle="1">
    <w:name w:val="Обычный Сомов"/>
    <w:qFormat/>
    <w:rsid w:val="000b487d"/>
    <w:rPr>
      <w:sz w:val="28"/>
    </w:rPr>
  </w:style>
  <w:style w:type="character" w:styleId="Fieldcontent" w:customStyle="1">
    <w:name w:val="field-content"/>
    <w:qFormat/>
    <w:rsid w:val="000b487d"/>
    <w:rPr/>
  </w:style>
  <w:style w:type="character" w:styleId="Z" w:customStyle="1">
    <w:name w:val="z-Начало формы Знак"/>
    <w:basedOn w:val="DefaultParagraphFont"/>
    <w:semiHidden/>
    <w:qFormat/>
    <w:rsid w:val="000b487d"/>
    <w:rPr>
      <w:rFonts w:ascii="Arial" w:hAnsi="Arial" w:eastAsia="Times New Roman" w:cs="Arial"/>
      <w:vanish/>
      <w:sz w:val="16"/>
      <w:szCs w:val="16"/>
      <w:lang w:eastAsia="ru-RU"/>
    </w:rPr>
  </w:style>
  <w:style w:type="character" w:styleId="Z1" w:customStyle="1">
    <w:name w:val="z-Начало формы Знак1"/>
    <w:basedOn w:val="DefaultParagraphFont"/>
    <w:uiPriority w:val="99"/>
    <w:semiHidden/>
    <w:qFormat/>
    <w:rsid w:val="000b487d"/>
    <w:rPr>
      <w:rFonts w:ascii="Arial" w:hAnsi="Arial" w:cs="Arial"/>
      <w:vanish/>
      <w:sz w:val="16"/>
      <w:szCs w:val="16"/>
    </w:rPr>
  </w:style>
  <w:style w:type="character" w:styleId="Formrequired" w:customStyle="1">
    <w:name w:val="form-required"/>
    <w:qFormat/>
    <w:rsid w:val="000b487d"/>
    <w:rPr/>
  </w:style>
  <w:style w:type="character" w:styleId="Z2" w:customStyle="1">
    <w:name w:val="z-Конец формы Знак"/>
    <w:basedOn w:val="DefaultParagraphFont"/>
    <w:semiHidden/>
    <w:qFormat/>
    <w:rsid w:val="000b487d"/>
    <w:rPr>
      <w:rFonts w:ascii="Arial" w:hAnsi="Arial" w:eastAsia="Times New Roman" w:cs="Arial"/>
      <w:vanish/>
      <w:sz w:val="16"/>
      <w:szCs w:val="16"/>
      <w:lang w:eastAsia="ru-RU"/>
    </w:rPr>
  </w:style>
  <w:style w:type="character" w:styleId="Z11" w:customStyle="1">
    <w:name w:val="z-Конец формы Знак1"/>
    <w:basedOn w:val="DefaultParagraphFont"/>
    <w:uiPriority w:val="99"/>
    <w:semiHidden/>
    <w:qFormat/>
    <w:rsid w:val="000b487d"/>
    <w:rPr>
      <w:rFonts w:ascii="Arial" w:hAnsi="Arial" w:cs="Arial"/>
      <w:vanish/>
      <w:sz w:val="16"/>
      <w:szCs w:val="16"/>
    </w:rPr>
  </w:style>
  <w:style w:type="character" w:styleId="FooterChar" w:customStyle="1">
    <w:name w:val="Footer Char"/>
    <w:qFormat/>
    <w:locked/>
    <w:rsid w:val="000b487d"/>
    <w:rPr>
      <w:rFonts w:ascii="Times New Roman" w:hAnsi="Times New Roman" w:cs="Times New Roman"/>
      <w:sz w:val="24"/>
      <w:szCs w:val="24"/>
    </w:rPr>
  </w:style>
  <w:style w:type="character" w:styleId="FontStyle37" w:customStyle="1">
    <w:name w:val="Font Style37"/>
    <w:qFormat/>
    <w:rsid w:val="000b487d"/>
    <w:rPr>
      <w:rFonts w:ascii="Times New Roman" w:hAnsi="Times New Roman" w:cs="Times New Roman"/>
      <w:sz w:val="26"/>
      <w:szCs w:val="26"/>
    </w:rPr>
  </w:style>
  <w:style w:type="character" w:styleId="FontStyle39" w:customStyle="1">
    <w:name w:val="Font Style39"/>
    <w:qFormat/>
    <w:rsid w:val="000b487d"/>
    <w:rPr>
      <w:rFonts w:ascii="Times New Roman" w:hAnsi="Times New Roman" w:cs="Times New Roman"/>
      <w:spacing w:val="-20"/>
      <w:sz w:val="28"/>
      <w:szCs w:val="28"/>
    </w:rPr>
  </w:style>
  <w:style w:type="character" w:styleId="FontStyle50" w:customStyle="1">
    <w:name w:val="Font Style50"/>
    <w:qFormat/>
    <w:rsid w:val="000b487d"/>
    <w:rPr>
      <w:rFonts w:ascii="Calibri" w:hAnsi="Calibri" w:cs="Calibri"/>
      <w:sz w:val="22"/>
      <w:szCs w:val="22"/>
    </w:rPr>
  </w:style>
  <w:style w:type="character" w:styleId="125" w:customStyle="1">
    <w:name w:val="Знак примечания1"/>
    <w:qFormat/>
    <w:rsid w:val="000b487d"/>
    <w:rPr>
      <w:sz w:val="16"/>
      <w:szCs w:val="16"/>
    </w:rPr>
  </w:style>
  <w:style w:type="character" w:styleId="Style49" w:customStyle="1">
    <w:name w:val="Содержание Знак"/>
    <w:qFormat/>
    <w:rsid w:val="000b487d"/>
    <w:rPr>
      <w:rFonts w:ascii="Times New Roman" w:hAnsi="Times New Roman" w:eastAsia="Times New Roman" w:cs="Times New Roman"/>
      <w:b/>
      <w:bCs/>
      <w:color w:val="365F91"/>
      <w:kern w:val="2"/>
      <w:sz w:val="24"/>
      <w:szCs w:val="24"/>
      <w:lang w:eastAsia="ru-RU"/>
    </w:rPr>
  </w:style>
  <w:style w:type="character" w:styleId="Match" w:customStyle="1">
    <w:name w:val="match"/>
    <w:qFormat/>
    <w:rsid w:val="000b487d"/>
    <w:rPr/>
  </w:style>
  <w:style w:type="character" w:styleId="S21" w:customStyle="1">
    <w:name w:val="s21 рисунок № Знак"/>
    <w:qFormat/>
    <w:locked/>
    <w:rsid w:val="000b487d"/>
    <w:rPr>
      <w:rFonts w:ascii="Times New Roman" w:hAnsi="Times New Roman" w:eastAsia="Times New Roman" w:cs="Times New Roman"/>
      <w:sz w:val="24"/>
      <w:szCs w:val="24"/>
      <w:lang w:eastAsia="ru-RU"/>
    </w:rPr>
  </w:style>
  <w:style w:type="character" w:styleId="Fontstyle01" w:customStyle="1">
    <w:name w:val="fontstyle01"/>
    <w:basedOn w:val="DefaultParagraphFont"/>
    <w:qFormat/>
    <w:rsid w:val="000b487d"/>
    <w:rPr>
      <w:rFonts w:ascii="Times New Roman" w:hAnsi="Times New Roman" w:cs="Times New Roman"/>
      <w:b w:val="false"/>
      <w:bCs w:val="false"/>
      <w:i w:val="false"/>
      <w:iCs w:val="false"/>
      <w:color w:val="000000"/>
      <w:sz w:val="28"/>
      <w:szCs w:val="28"/>
    </w:rPr>
  </w:style>
  <w:style w:type="character" w:styleId="213pt" w:customStyle="1">
    <w:name w:val="Основной текст (2) + 13 pt"/>
    <w:basedOn w:val="DefaultParagraphFont"/>
    <w:qFormat/>
    <w:rsid w:val="000b487d"/>
    <w:rPr>
      <w:rFonts w:ascii="Verdana" w:hAnsi="Verdana" w:eastAsia="Verdana" w:cs="Verdana"/>
      <w:b/>
      <w:bCs/>
      <w:i w:val="false"/>
      <w:iCs w:val="false"/>
      <w:caps w:val="false"/>
      <w:smallCaps w:val="false"/>
      <w:strike w:val="false"/>
      <w:dstrike w:val="false"/>
      <w:color w:val="000000"/>
      <w:spacing w:val="0"/>
      <w:w w:val="100"/>
      <w:sz w:val="26"/>
      <w:szCs w:val="26"/>
      <w:u w:val="none"/>
      <w:effect w:val="none"/>
      <w:lang w:val="ru-RU" w:eastAsia="ru-RU" w:bidi="ru-RU"/>
    </w:rPr>
  </w:style>
  <w:style w:type="character" w:styleId="212pt" w:customStyle="1">
    <w:name w:val="Основной текст (2) + 12 pt"/>
    <w:basedOn w:val="DefaultParagraphFont"/>
    <w:qFormat/>
    <w:rsid w:val="000b487d"/>
    <w:rPr>
      <w:rFonts w:ascii="Verdana" w:hAnsi="Verdana" w:eastAsia="Verdana" w:cs="Verdana"/>
      <w:b w:val="false"/>
      <w:bCs w:val="false"/>
      <w:i w:val="false"/>
      <w:iCs w:val="false"/>
      <w:caps w:val="false"/>
      <w:smallCaps w:val="false"/>
      <w:strike w:val="false"/>
      <w:dstrike w:val="false"/>
      <w:color w:val="000000"/>
      <w:spacing w:val="0"/>
      <w:w w:val="100"/>
      <w:sz w:val="24"/>
      <w:szCs w:val="24"/>
      <w:u w:val="none"/>
      <w:effect w:val="none"/>
      <w:lang w:val="ru-RU" w:eastAsia="ru-RU" w:bidi="ru-RU"/>
    </w:rPr>
  </w:style>
  <w:style w:type="character" w:styleId="126" w:customStyle="1">
    <w:name w:val="Красный1"/>
    <w:qFormat/>
    <w:rsid w:val="000b487d"/>
    <w:rPr>
      <w:color w:val="FF0000"/>
      <w:sz w:val="16"/>
      <w:szCs w:val="16"/>
    </w:rPr>
  </w:style>
  <w:style w:type="character" w:styleId="711" w:customStyle="1">
    <w:name w:val="Заголовок 7 Знак1"/>
    <w:basedOn w:val="DefaultParagraphFont"/>
    <w:uiPriority w:val="9"/>
    <w:semiHidden/>
    <w:qFormat/>
    <w:rsid w:val="000b487d"/>
    <w:rPr>
      <w:rFonts w:ascii="Calibri Light" w:hAnsi="Calibri Light" w:eastAsia="Calibri Light" w:cs="Calibri Light"/>
      <w:i/>
      <w:iCs/>
      <w:color w:val="404040"/>
    </w:rPr>
  </w:style>
  <w:style w:type="character" w:styleId="811" w:customStyle="1">
    <w:name w:val="Заголовок 8 Знак1"/>
    <w:basedOn w:val="DefaultParagraphFont"/>
    <w:uiPriority w:val="9"/>
    <w:semiHidden/>
    <w:qFormat/>
    <w:rsid w:val="000b487d"/>
    <w:rPr>
      <w:rFonts w:ascii="Calibri Light" w:hAnsi="Calibri Light" w:eastAsia="Calibri Light" w:cs="Calibri Light"/>
      <w:color w:val="404040"/>
      <w:sz w:val="20"/>
      <w:szCs w:val="20"/>
    </w:rPr>
  </w:style>
  <w:style w:type="character" w:styleId="91" w:customStyle="1">
    <w:name w:val="Заголовок 9 Знак1"/>
    <w:basedOn w:val="DefaultParagraphFont"/>
    <w:uiPriority w:val="9"/>
    <w:semiHidden/>
    <w:qFormat/>
    <w:rsid w:val="000b487d"/>
    <w:rPr>
      <w:rFonts w:ascii="Calibri Light" w:hAnsi="Calibri Light" w:eastAsia="Calibri Light" w:cs="Calibri Light"/>
      <w:i/>
      <w:iCs/>
      <w:color w:val="404040"/>
      <w:sz w:val="20"/>
      <w:szCs w:val="20"/>
    </w:rPr>
  </w:style>
  <w:style w:type="character" w:styleId="215" w:customStyle="1">
    <w:name w:val="Название Знак2"/>
    <w:basedOn w:val="DefaultParagraphFont"/>
    <w:uiPriority w:val="10"/>
    <w:qFormat/>
    <w:rsid w:val="000b487d"/>
    <w:rPr>
      <w:rFonts w:ascii="Calibri Light" w:hAnsi="Calibri Light" w:eastAsia="Calibri Light" w:cs="Calibri Light"/>
      <w:color w:val="323E4F"/>
      <w:spacing w:val="5"/>
      <w:kern w:val="2"/>
      <w:sz w:val="52"/>
      <w:szCs w:val="52"/>
    </w:rPr>
  </w:style>
  <w:style w:type="character" w:styleId="S" w:customStyle="1">
    <w:name w:val="S_Обычный Знак"/>
    <w:basedOn w:val="DefaultParagraphFont"/>
    <w:link w:val="S"/>
    <w:qFormat/>
    <w:rsid w:val="000b487d"/>
    <w:rPr>
      <w:rFonts w:ascii="Times New Roman" w:hAnsi="Times New Roman" w:eastAsia="Times New Roman" w:cs="Times New Roman"/>
      <w:sz w:val="24"/>
      <w:szCs w:val="24"/>
      <w:lang w:eastAsia="ru-RU"/>
    </w:rPr>
  </w:style>
  <w:style w:type="character" w:styleId="A" w:customStyle="1">
    <w:name w:val="Aобычный текст Знак"/>
    <w:qFormat/>
    <w:rsid w:val="000b487d"/>
    <w:rPr>
      <w:rFonts w:ascii="Times New Roman" w:hAnsi="Times New Roman" w:eastAsia="Times New Roman" w:cs="Times New Roman"/>
      <w:sz w:val="24"/>
      <w:szCs w:val="28"/>
      <w:lang w:eastAsia="ru-RU"/>
    </w:rPr>
  </w:style>
  <w:style w:type="character" w:styleId="Ed" w:customStyle="1">
    <w:name w:val="ed"/>
    <w:basedOn w:val="DefaultParagraphFont"/>
    <w:qFormat/>
    <w:rsid w:val="000b487d"/>
    <w:rPr/>
  </w:style>
  <w:style w:type="character" w:styleId="Style50" w:customStyle="1">
    <w:name w:val="Ссылка указателя"/>
    <w:qFormat/>
    <w:rsid w:val="000b487d"/>
    <w:rPr/>
  </w:style>
  <w:style w:type="character" w:styleId="216" w:customStyle="1">
    <w:name w:val="Основной текст с отступом Знак2"/>
    <w:basedOn w:val="DefaultParagraphFont"/>
    <w:semiHidden/>
    <w:qFormat/>
    <w:rsid w:val="000b487d"/>
    <w:rPr>
      <w:rFonts w:ascii="Calibri" w:hAnsi="Calibri" w:eastAsia="Calibri" w:cs="Times New Roman"/>
      <w:sz w:val="24"/>
      <w:lang w:val="en-US" w:eastAsia="en-US" w:bidi="ar-SA"/>
    </w:rPr>
  </w:style>
  <w:style w:type="character" w:styleId="217" w:customStyle="1">
    <w:name w:val="Схема документа Знак2"/>
    <w:basedOn w:val="DefaultParagraphFont"/>
    <w:uiPriority w:val="99"/>
    <w:semiHidden/>
    <w:qFormat/>
    <w:rsid w:val="000b487d"/>
    <w:rPr>
      <w:rFonts w:ascii="Tahoma" w:hAnsi="Tahoma" w:eastAsia="Times New Roman" w:cs="Tahoma"/>
      <w:sz w:val="16"/>
      <w:szCs w:val="16"/>
      <w:lang w:eastAsia="ru-RU" w:bidi="ar-SA"/>
    </w:rPr>
  </w:style>
  <w:style w:type="character" w:styleId="218" w:customStyle="1">
    <w:name w:val="Текст примечания Знак2"/>
    <w:basedOn w:val="DefaultParagraphFont"/>
    <w:semiHidden/>
    <w:qFormat/>
    <w:rsid w:val="000b487d"/>
    <w:rPr>
      <w:rFonts w:ascii="Times New Roman" w:hAnsi="Times New Roman" w:eastAsia="Times New Roman" w:cs="Times New Roman"/>
      <w:szCs w:val="20"/>
      <w:lang w:eastAsia="ru-RU" w:bidi="ar-SA"/>
    </w:rPr>
  </w:style>
  <w:style w:type="character" w:styleId="219" w:customStyle="1">
    <w:name w:val="Тема примечания Знак2"/>
    <w:basedOn w:val="218"/>
    <w:semiHidden/>
    <w:qFormat/>
    <w:rsid w:val="000b487d"/>
    <w:rPr>
      <w:rFonts w:ascii="Times New Roman" w:hAnsi="Times New Roman" w:eastAsia="Times New Roman" w:cs="Times New Roman"/>
      <w:b/>
      <w:bCs/>
      <w:szCs w:val="20"/>
      <w:lang w:eastAsia="ru-RU" w:bidi="ar-SA"/>
    </w:rPr>
  </w:style>
  <w:style w:type="character" w:styleId="HTML2" w:customStyle="1">
    <w:name w:val="Стандартный HTML Знак2"/>
    <w:basedOn w:val="DefaultParagraphFont"/>
    <w:link w:val="HTML2"/>
    <w:semiHidden/>
    <w:qFormat/>
    <w:rsid w:val="000b487d"/>
    <w:rPr>
      <w:rFonts w:ascii="Courier New" w:hAnsi="Courier New" w:eastAsia="Calibri" w:cs="Courier New"/>
      <w:szCs w:val="20"/>
      <w:lang w:eastAsia="ru-RU" w:bidi="ar-SA"/>
    </w:rPr>
  </w:style>
  <w:style w:type="character" w:styleId="220" w:customStyle="1">
    <w:name w:val="Подзаголовок Знак2"/>
    <w:basedOn w:val="DefaultParagraphFont"/>
    <w:uiPriority w:val="11"/>
    <w:qFormat/>
    <w:rsid w:val="000b487d"/>
    <w:rPr>
      <w:rFonts w:ascii="Cambria" w:hAnsi="Cambria" w:eastAsia="Calibri" w:cs="Calibri"/>
      <w:i/>
      <w:iCs/>
      <w:color w:val="4F81BD"/>
      <w:spacing w:val="15"/>
      <w:sz w:val="24"/>
      <w:lang w:eastAsia="en-US" w:bidi="ar-SA"/>
    </w:rPr>
  </w:style>
  <w:style w:type="character" w:styleId="221" w:customStyle="1">
    <w:name w:val="Текст Знак2"/>
    <w:basedOn w:val="DefaultParagraphFont"/>
    <w:semiHidden/>
    <w:qFormat/>
    <w:rsid w:val="000b487d"/>
    <w:rPr>
      <w:rFonts w:ascii="Consolas" w:hAnsi="Consolas" w:eastAsia="Calibri" w:cs="Consolas"/>
      <w:sz w:val="21"/>
      <w:szCs w:val="21"/>
      <w:lang w:eastAsia="en-US" w:bidi="ar-SA"/>
    </w:rPr>
  </w:style>
  <w:style w:type="character" w:styleId="Z21" w:customStyle="1">
    <w:name w:val="z-Начало формы Знак2"/>
    <w:basedOn w:val="DefaultParagraphFont"/>
    <w:semiHidden/>
    <w:qFormat/>
    <w:rsid w:val="000b487d"/>
    <w:rPr>
      <w:rFonts w:ascii="Arial" w:hAnsi="Arial" w:eastAsia="Times New Roman" w:cs="Arial"/>
      <w:vanish/>
      <w:sz w:val="16"/>
      <w:szCs w:val="16"/>
      <w:lang w:eastAsia="ru-RU" w:bidi="ar-SA"/>
    </w:rPr>
  </w:style>
  <w:style w:type="character" w:styleId="Z22" w:customStyle="1">
    <w:name w:val="z-Конец формы Знак2"/>
    <w:basedOn w:val="DefaultParagraphFont"/>
    <w:semiHidden/>
    <w:qFormat/>
    <w:rsid w:val="000b487d"/>
    <w:rPr>
      <w:rFonts w:ascii="Arial" w:hAnsi="Arial" w:eastAsia="Times New Roman" w:cs="Arial"/>
      <w:vanish/>
      <w:sz w:val="16"/>
      <w:szCs w:val="16"/>
      <w:lang w:eastAsia="ru-RU" w:bidi="ar-SA"/>
    </w:rPr>
  </w:style>
  <w:style w:type="character" w:styleId="411" w:customStyle="1">
    <w:name w:val="Заголовок 4 Знак1"/>
    <w:basedOn w:val="DefaultParagraphFont"/>
    <w:uiPriority w:val="9"/>
    <w:semiHidden/>
    <w:qFormat/>
    <w:rsid w:val="000b487d"/>
    <w:rPr>
      <w:rFonts w:ascii="Calibri Light" w:hAnsi="Calibri Light" w:eastAsia="" w:cs="" w:asciiTheme="majorHAnsi" w:cstheme="majorBidi" w:eastAsiaTheme="majorEastAsia" w:hAnsiTheme="majorHAnsi"/>
      <w:i/>
      <w:iCs/>
      <w:color w:val="2E74B5" w:themeColor="accent1" w:themeShade="bf"/>
      <w:sz w:val="24"/>
      <w:lang w:bidi="ar-SA"/>
    </w:rPr>
  </w:style>
  <w:style w:type="character" w:styleId="82" w:customStyle="1">
    <w:name w:val="Заголовок 8 Знак2"/>
    <w:basedOn w:val="DefaultParagraphFont"/>
    <w:uiPriority w:val="9"/>
    <w:semiHidden/>
    <w:qFormat/>
    <w:rsid w:val="000b487d"/>
    <w:rPr>
      <w:rFonts w:ascii="Calibri Light" w:hAnsi="Calibri Light" w:eastAsia="" w:cs="" w:asciiTheme="majorHAnsi" w:cstheme="majorBidi" w:eastAsiaTheme="majorEastAsia" w:hAnsiTheme="majorHAnsi"/>
      <w:color w:val="272727" w:themeColor="text1" w:themeTint="d8"/>
      <w:sz w:val="21"/>
      <w:szCs w:val="21"/>
      <w:lang w:bidi="ar-SA"/>
    </w:rPr>
  </w:style>
  <w:style w:type="character" w:styleId="127" w:customStyle="1">
    <w:name w:val="Текст сноски Знак1"/>
    <w:basedOn w:val="DefaultParagraphFont"/>
    <w:uiPriority w:val="99"/>
    <w:semiHidden/>
    <w:qFormat/>
    <w:rsid w:val="000b487d"/>
    <w:rPr>
      <w:rFonts w:ascii="Times New Roman" w:hAnsi="Times New Roman" w:eastAsia="Times New Roman" w:cs="Times New Roman"/>
      <w:szCs w:val="20"/>
      <w:lang w:bidi="ar-SA"/>
    </w:rPr>
  </w:style>
  <w:style w:type="character" w:styleId="223" w:customStyle="1">
    <w:name w:val="Текст концевой сноски Знак2"/>
    <w:basedOn w:val="DefaultParagraphFont"/>
    <w:uiPriority w:val="99"/>
    <w:semiHidden/>
    <w:qFormat/>
    <w:rsid w:val="000b487d"/>
    <w:rPr>
      <w:rFonts w:ascii="Times New Roman" w:hAnsi="Times New Roman" w:eastAsia="Times New Roman" w:cs="Times New Roman"/>
      <w:szCs w:val="20"/>
      <w:lang w:bidi="ar-SA"/>
    </w:rPr>
  </w:style>
  <w:style w:type="character" w:styleId="224" w:customStyle="1">
    <w:name w:val="Основной текст 2 Знак2"/>
    <w:basedOn w:val="DefaultParagraphFont"/>
    <w:uiPriority w:val="99"/>
    <w:semiHidden/>
    <w:qFormat/>
    <w:rsid w:val="000b487d"/>
    <w:rPr>
      <w:rFonts w:ascii="Times New Roman" w:hAnsi="Times New Roman" w:eastAsia="Times New Roman" w:cs="Times New Roman"/>
      <w:sz w:val="24"/>
      <w:lang w:bidi="ar-SA"/>
    </w:rPr>
  </w:style>
  <w:style w:type="character" w:styleId="321" w:customStyle="1">
    <w:name w:val="Основной текст 3 Знак2"/>
    <w:basedOn w:val="DefaultParagraphFont"/>
    <w:qFormat/>
    <w:rsid w:val="000b487d"/>
    <w:rPr>
      <w:rFonts w:ascii="Times New Roman" w:hAnsi="Times New Roman" w:eastAsia="Times New Roman" w:cs="Times New Roman"/>
      <w:sz w:val="16"/>
      <w:szCs w:val="16"/>
      <w:lang w:bidi="ar-SA"/>
    </w:rPr>
  </w:style>
  <w:style w:type="character" w:styleId="322" w:customStyle="1">
    <w:name w:val="Основной текст с отступом 3 Знак2"/>
    <w:basedOn w:val="DefaultParagraphFont"/>
    <w:uiPriority w:val="99"/>
    <w:semiHidden/>
    <w:qFormat/>
    <w:rsid w:val="000b487d"/>
    <w:rPr>
      <w:rFonts w:ascii="Times New Roman" w:hAnsi="Times New Roman" w:eastAsia="Times New Roman" w:cs="Times New Roman"/>
      <w:sz w:val="16"/>
      <w:szCs w:val="16"/>
      <w:lang w:bidi="ar-SA"/>
    </w:rPr>
  </w:style>
  <w:style w:type="character" w:styleId="313" w:customStyle="1">
    <w:name w:val="Заголовок 3 Знак1"/>
    <w:basedOn w:val="DefaultParagraphFont"/>
    <w:uiPriority w:val="9"/>
    <w:semiHidden/>
    <w:qFormat/>
    <w:rsid w:val="000b487d"/>
    <w:rPr>
      <w:rFonts w:ascii="Calibri Light" w:hAnsi="Calibri Light" w:eastAsia="" w:cs="" w:asciiTheme="majorHAnsi" w:cstheme="majorBidi" w:eastAsiaTheme="majorEastAsia" w:hAnsiTheme="majorHAnsi"/>
      <w:color w:val="1F4D78" w:themeColor="accent1" w:themeShade="7f"/>
      <w:sz w:val="24"/>
      <w:lang w:bidi="ar-SA"/>
    </w:rPr>
  </w:style>
  <w:style w:type="character" w:styleId="Style51" w:customStyle="1">
    <w:name w:val="Привязка сноски"/>
    <w:rsid w:val="000b487d"/>
    <w:rPr>
      <w:rFonts w:cs="Times New Roman"/>
      <w:vertAlign w:val="superscript"/>
    </w:rPr>
  </w:style>
  <w:style w:type="character" w:styleId="FootnoteCharacters" w:customStyle="1">
    <w:name w:val="Footnote Characters"/>
    <w:uiPriority w:val="99"/>
    <w:qFormat/>
    <w:rsid w:val="000b487d"/>
    <w:rPr>
      <w:rFonts w:cs="Times New Roman"/>
      <w:vertAlign w:val="superscript"/>
    </w:rPr>
  </w:style>
  <w:style w:type="character" w:styleId="Style52" w:customStyle="1">
    <w:name w:val="Выделенная цитата Знак"/>
    <w:basedOn w:val="DefaultParagraphFont"/>
    <w:uiPriority w:val="30"/>
    <w:qFormat/>
    <w:rsid w:val="000b487d"/>
    <w:rPr>
      <w:rFonts w:ascii="Times New Roman" w:hAnsi="Times New Roman"/>
      <w:i/>
      <w:iCs/>
      <w:color w:val="5B9BD5"/>
      <w:sz w:val="24"/>
    </w:rPr>
  </w:style>
  <w:style w:type="character" w:styleId="UnresolvedMention" w:customStyle="1">
    <w:name w:val="Unresolved Mention"/>
    <w:basedOn w:val="DefaultParagraphFont"/>
    <w:uiPriority w:val="99"/>
    <w:semiHidden/>
    <w:unhideWhenUsed/>
    <w:qFormat/>
    <w:rsid w:val="000b487d"/>
    <w:rPr>
      <w:color w:val="605E5C"/>
      <w:shd w:fill="E1DFDD" w:val="clear"/>
    </w:rPr>
  </w:style>
  <w:style w:type="character" w:styleId="Style53" w:customStyle="1">
    <w:name w:val="Раздел Знак"/>
    <w:qFormat/>
    <w:locked/>
    <w:rsid w:val="000b487d"/>
    <w:rPr>
      <w:rFonts w:ascii="Times New Roman" w:hAnsi="Times New Roman" w:eastAsia="Times New Roman" w:cs="Times New Roman"/>
      <w:b/>
      <w:sz w:val="24"/>
      <w:szCs w:val="24"/>
      <w:lang w:eastAsia="ru-RU"/>
    </w:rPr>
  </w:style>
  <w:style w:type="character" w:styleId="Style54" w:customStyle="1">
    <w:name w:val="Глава Знак"/>
    <w:uiPriority w:val="99"/>
    <w:qFormat/>
    <w:locked/>
    <w:rsid w:val="000b487d"/>
    <w:rPr>
      <w:rFonts w:ascii="Times New Roman" w:hAnsi="Times New Roman" w:eastAsia="Times New Roman" w:cs="Times New Roman"/>
      <w:b/>
      <w:sz w:val="24"/>
      <w:szCs w:val="24"/>
      <w:lang w:eastAsia="ru-RU"/>
    </w:rPr>
  </w:style>
  <w:style w:type="character" w:styleId="Docbody" w:customStyle="1">
    <w:name w:val="docbody"/>
    <w:uiPriority w:val="99"/>
    <w:qFormat/>
    <w:rsid w:val="000b487d"/>
    <w:rPr>
      <w:rFonts w:cs="Times New Roman"/>
    </w:rPr>
  </w:style>
  <w:style w:type="character" w:styleId="FontStyle13" w:customStyle="1">
    <w:name w:val="Font Style13"/>
    <w:uiPriority w:val="99"/>
    <w:qFormat/>
    <w:rsid w:val="000b487d"/>
    <w:rPr>
      <w:rFonts w:ascii="Times New Roman" w:hAnsi="Times New Roman" w:cs="Times New Roman"/>
      <w:sz w:val="26"/>
      <w:szCs w:val="26"/>
    </w:rPr>
  </w:style>
  <w:style w:type="character" w:styleId="Style55" w:customStyle="1">
    <w:name w:val="ОснТекст Знак"/>
    <w:qFormat/>
    <w:rsid w:val="000b487d"/>
    <w:rPr>
      <w:rFonts w:ascii="Times New Roman" w:hAnsi="Times New Roman" w:eastAsia="Times New Roman" w:cs="Times New Roman"/>
      <w:sz w:val="24"/>
      <w:szCs w:val="24"/>
      <w:lang w:eastAsia="ar-SA"/>
    </w:rPr>
  </w:style>
  <w:style w:type="character" w:styleId="ListParagraphChar1" w:customStyle="1">
    <w:name w:val="List Paragraph Char1"/>
    <w:link w:val="1fb"/>
    <w:qFormat/>
    <w:locked/>
    <w:rsid w:val="000b487d"/>
    <w:rPr>
      <w:rFonts w:ascii="Calibri" w:hAnsi="Calibri" w:eastAsia="Times New Roman" w:cs="Times New Roman"/>
      <w:sz w:val="24"/>
      <w:lang w:eastAsia="en-US" w:bidi="ar-SA"/>
    </w:rPr>
  </w:style>
  <w:style w:type="character" w:styleId="Style56" w:customStyle="1">
    <w:name w:val="ТАБЛИЦЫ Знак"/>
    <w:qFormat/>
    <w:rsid w:val="000b487d"/>
    <w:rPr>
      <w:rFonts w:ascii="Times New Roman" w:hAnsi="Times New Roman" w:eastAsia="Calibri" w:cs="Times New Roman"/>
      <w:sz w:val="20"/>
      <w:szCs w:val="20"/>
      <w:lang w:eastAsia="ru-RU"/>
    </w:rPr>
  </w:style>
  <w:style w:type="character" w:styleId="Style57" w:customStyle="1">
    <w:name w:val="Современный Знак"/>
    <w:qFormat/>
    <w:rsid w:val="000b487d"/>
    <w:rPr>
      <w:rFonts w:ascii="Times New Roman" w:hAnsi="Times New Roman" w:eastAsia="Times New Roman" w:cs="Times New Roman"/>
      <w:b/>
      <w:sz w:val="24"/>
      <w:szCs w:val="20"/>
      <w:lang w:eastAsia="ja-JP"/>
    </w:rPr>
  </w:style>
  <w:style w:type="character" w:styleId="BookTitle">
    <w:name w:val="Book Title"/>
    <w:uiPriority w:val="33"/>
    <w:qFormat/>
    <w:rsid w:val="000b487d"/>
    <w:rPr>
      <w:b/>
      <w:bCs/>
      <w:smallCaps/>
      <w:spacing w:val="5"/>
    </w:rPr>
  </w:style>
  <w:style w:type="character" w:styleId="Headeraff6" w:customStyle="1">
    <w:name w:val="header_aff6"/>
    <w:qFormat/>
    <w:rsid w:val="000b487d"/>
    <w:rPr/>
  </w:style>
  <w:style w:type="character" w:styleId="Headerafff0" w:customStyle="1">
    <w:name w:val="header_afff0"/>
    <w:qFormat/>
    <w:rsid w:val="000b487d"/>
    <w:rPr/>
  </w:style>
  <w:style w:type="character" w:styleId="1312761" w:customStyle="1">
    <w:name w:val="Стиль 13 пт По ширине Первая строка:  127 см Перед:  6 пт1 Знак"/>
    <w:link w:val="1312761"/>
    <w:qFormat/>
    <w:rsid w:val="000b487d"/>
    <w:rPr>
      <w:rFonts w:ascii="Times New Roman" w:hAnsi="Times New Roman" w:eastAsia="Times New Roman" w:cs="Times New Roman"/>
      <w:sz w:val="26"/>
      <w:szCs w:val="20"/>
      <w:lang w:eastAsia="ru-RU"/>
    </w:rPr>
  </w:style>
  <w:style w:type="character" w:styleId="Style58">
    <w:name w:val="Выделение"/>
    <w:uiPriority w:val="20"/>
    <w:qFormat/>
    <w:rsid w:val="000b487d"/>
    <w:rPr>
      <w:i/>
      <w:iCs/>
    </w:rPr>
  </w:style>
  <w:style w:type="character" w:styleId="225" w:customStyle="1">
    <w:name w:val="Верхний колонтитул Знак2"/>
    <w:uiPriority w:val="99"/>
    <w:semiHidden/>
    <w:qFormat/>
    <w:rsid w:val="000b487d"/>
    <w:rPr/>
  </w:style>
  <w:style w:type="character" w:styleId="226" w:customStyle="1">
    <w:name w:val="Нижний колонтитул Знак2"/>
    <w:uiPriority w:val="99"/>
    <w:semiHidden/>
    <w:qFormat/>
    <w:rsid w:val="000b487d"/>
    <w:rPr/>
  </w:style>
  <w:style w:type="character" w:styleId="291" w:customStyle="1">
    <w:name w:val="Основной текст (29)_"/>
    <w:uiPriority w:val="99"/>
    <w:qFormat/>
    <w:locked/>
    <w:rsid w:val="000b487d"/>
    <w:rPr>
      <w:sz w:val="19"/>
      <w:szCs w:val="19"/>
      <w:shd w:fill="FFFFFF" w:val="clear"/>
    </w:rPr>
  </w:style>
  <w:style w:type="character" w:styleId="Style59" w:customStyle="1">
    <w:name w:val="Колонтитул_"/>
    <w:qFormat/>
    <w:rsid w:val="000b487d"/>
    <w:rPr>
      <w:rFonts w:ascii="Arial Narrow" w:hAnsi="Arial Narrow" w:eastAsia="Arial Narrow" w:cs="Arial Narrow"/>
      <w:b/>
      <w:bCs/>
      <w:sz w:val="15"/>
      <w:szCs w:val="15"/>
      <w:shd w:fill="FFFFFF" w:val="clear"/>
    </w:rPr>
  </w:style>
  <w:style w:type="character" w:styleId="8pt" w:customStyle="1">
    <w:name w:val="Основной текст + 8 pt;Полужирный"/>
    <w:qFormat/>
    <w:rsid w:val="000b487d"/>
    <w:rPr>
      <w:rFonts w:ascii="Arial" w:hAnsi="Arial" w:eastAsia="Arial" w:cs="Arial"/>
      <w:b/>
      <w:bCs/>
      <w:i w:val="false"/>
      <w:iCs w:val="false"/>
      <w:caps w:val="false"/>
      <w:smallCaps w:val="false"/>
      <w:strike w:val="false"/>
      <w:dstrike w:val="false"/>
      <w:color w:val="000000"/>
      <w:spacing w:val="0"/>
      <w:w w:val="100"/>
      <w:sz w:val="16"/>
      <w:szCs w:val="16"/>
      <w:u w:val="none"/>
      <w:shd w:fill="FFFFFF" w:val="clear"/>
      <w:lang w:val="ru-RU" w:eastAsia="ru-RU" w:bidi="ru-RU"/>
    </w:rPr>
  </w:style>
  <w:style w:type="character" w:styleId="8pt1" w:customStyle="1">
    <w:name w:val="Основной текст + 8 pt"/>
    <w:qFormat/>
    <w:rsid w:val="000b487d"/>
    <w:rPr>
      <w:rFonts w:ascii="Arial" w:hAnsi="Arial" w:eastAsia="Arial" w:cs="Arial"/>
      <w:b w:val="false"/>
      <w:bCs w:val="false"/>
      <w:i w:val="false"/>
      <w:iCs w:val="false"/>
      <w:caps w:val="false"/>
      <w:smallCaps w:val="false"/>
      <w:strike w:val="false"/>
      <w:dstrike w:val="false"/>
      <w:color w:val="000000"/>
      <w:spacing w:val="0"/>
      <w:w w:val="100"/>
      <w:sz w:val="16"/>
      <w:szCs w:val="16"/>
      <w:u w:val="none"/>
      <w:shd w:fill="FFFFFF" w:val="clear"/>
      <w:lang w:val="ru-RU" w:eastAsia="ru-RU" w:bidi="ru-RU"/>
    </w:rPr>
  </w:style>
  <w:style w:type="character" w:styleId="39" w:customStyle="1">
    <w:name w:val="Подпись к таблице (3)_"/>
    <w:qFormat/>
    <w:locked/>
    <w:rsid w:val="000b487d"/>
    <w:rPr>
      <w:rFonts w:ascii="Arial" w:hAnsi="Arial" w:eastAsia="Times New Roman" w:cs="Arial"/>
      <w:b/>
      <w:sz w:val="24"/>
      <w:lang w:eastAsia="en-US" w:bidi="ar-SA"/>
    </w:rPr>
  </w:style>
  <w:style w:type="character" w:styleId="85pt" w:customStyle="1">
    <w:name w:val="Основной текст + 8;5 pt;Полужирный;Курсив"/>
    <w:qFormat/>
    <w:rsid w:val="000b487d"/>
    <w:rPr>
      <w:rFonts w:ascii="Arial" w:hAnsi="Arial" w:eastAsia="Arial" w:cs="Arial"/>
      <w:b/>
      <w:bCs/>
      <w:i/>
      <w:iCs/>
      <w:color w:val="000000"/>
      <w:spacing w:val="0"/>
      <w:w w:val="100"/>
      <w:sz w:val="17"/>
      <w:szCs w:val="17"/>
      <w:shd w:fill="FFFFFF" w:val="clear"/>
      <w:lang w:val="ru-RU" w:eastAsia="ru-RU" w:bidi="ru-RU"/>
    </w:rPr>
  </w:style>
  <w:style w:type="character" w:styleId="85pt1" w:customStyle="1">
    <w:name w:val="Основной текст + 8;5 pt"/>
    <w:qFormat/>
    <w:rsid w:val="000b487d"/>
    <w:rPr>
      <w:rFonts w:ascii="Arial" w:hAnsi="Arial" w:eastAsia="Arial" w:cs="Arial"/>
      <w:color w:val="000000"/>
      <w:spacing w:val="0"/>
      <w:w w:val="100"/>
      <w:sz w:val="17"/>
      <w:szCs w:val="17"/>
      <w:shd w:fill="FFFFFF" w:val="clear"/>
      <w:lang w:val="ru-RU" w:eastAsia="ru-RU" w:bidi="ru-RU"/>
    </w:rPr>
  </w:style>
  <w:style w:type="character" w:styleId="241" w:customStyle="1">
    <w:name w:val="Основной текст (24)_"/>
    <w:link w:val="2f6"/>
    <w:qFormat/>
    <w:rsid w:val="000b487d"/>
    <w:rPr>
      <w:rFonts w:ascii="Arial" w:hAnsi="Arial" w:eastAsia="Arial" w:cs="Arial"/>
      <w:b/>
      <w:bCs/>
      <w:sz w:val="23"/>
      <w:szCs w:val="23"/>
      <w:shd w:fill="FFFFFF" w:val="clear"/>
    </w:rPr>
  </w:style>
  <w:style w:type="character" w:styleId="63" w:customStyle="1">
    <w:name w:val="Основной текст (6)_"/>
    <w:qFormat/>
    <w:rsid w:val="000b487d"/>
    <w:rPr>
      <w:rFonts w:ascii="Arial" w:hAnsi="Arial" w:eastAsia="Arial" w:cs="Arial"/>
      <w:b/>
      <w:bCs/>
      <w:shd w:fill="FFFFFF" w:val="clear"/>
    </w:rPr>
  </w:style>
  <w:style w:type="character" w:styleId="85pt2" w:customStyle="1">
    <w:name w:val="Основной текст + 8;5 pt;Полужирный"/>
    <w:qFormat/>
    <w:rsid w:val="000b487d"/>
    <w:rPr>
      <w:rFonts w:ascii="Arial" w:hAnsi="Arial" w:eastAsia="Arial" w:cs="Arial"/>
      <w:b/>
      <w:bCs/>
      <w:i w:val="false"/>
      <w:iCs w:val="false"/>
      <w:caps w:val="false"/>
      <w:smallCaps w:val="false"/>
      <w:strike w:val="false"/>
      <w:dstrike w:val="false"/>
      <w:color w:val="000000"/>
      <w:spacing w:val="0"/>
      <w:w w:val="100"/>
      <w:sz w:val="17"/>
      <w:szCs w:val="17"/>
      <w:u w:val="none"/>
      <w:shd w:fill="FFFFFF" w:val="clear"/>
      <w:lang w:val="ru-RU" w:eastAsia="ru-RU" w:bidi="ru-RU"/>
    </w:rPr>
  </w:style>
  <w:style w:type="character" w:styleId="8pt2" w:customStyle="1">
    <w:name w:val="Основной текст + 8 pt;Курсив"/>
    <w:qFormat/>
    <w:rsid w:val="000b487d"/>
    <w:rPr>
      <w:rFonts w:ascii="Arial" w:hAnsi="Arial" w:eastAsia="Arial" w:cs="Arial"/>
      <w:b w:val="false"/>
      <w:bCs w:val="false"/>
      <w:i/>
      <w:iCs/>
      <w:caps w:val="false"/>
      <w:smallCaps w:val="false"/>
      <w:strike w:val="false"/>
      <w:dstrike w:val="false"/>
      <w:color w:val="000000"/>
      <w:spacing w:val="0"/>
      <w:w w:val="100"/>
      <w:sz w:val="16"/>
      <w:szCs w:val="16"/>
      <w:u w:val="none"/>
      <w:shd w:fill="FFFFFF" w:val="clear"/>
      <w:lang w:val="ru-RU" w:eastAsia="ru-RU" w:bidi="ru-RU"/>
    </w:rPr>
  </w:style>
  <w:style w:type="character" w:styleId="Garamond12pt" w:customStyle="1">
    <w:name w:val="Основной текст + Garamond;12 pt;Полужирный;Курсив"/>
    <w:qFormat/>
    <w:rsid w:val="000b487d"/>
    <w:rPr>
      <w:rFonts w:ascii="Garamond" w:hAnsi="Garamond" w:eastAsia="Garamond" w:cs="Garamond"/>
      <w:b/>
      <w:bCs/>
      <w:i/>
      <w:iCs/>
      <w:caps w:val="false"/>
      <w:smallCaps w:val="false"/>
      <w:strike w:val="false"/>
      <w:dstrike w:val="false"/>
      <w:color w:val="000000"/>
      <w:spacing w:val="0"/>
      <w:w w:val="100"/>
      <w:sz w:val="24"/>
      <w:szCs w:val="24"/>
      <w:u w:val="none"/>
      <w:shd w:fill="FFFFFF" w:val="clear"/>
      <w:lang w:val="en-US" w:eastAsia="en-US" w:bidi="en-US"/>
    </w:rPr>
  </w:style>
  <w:style w:type="character" w:styleId="Style60" w:customStyle="1">
    <w:name w:val="АТаблицы Знак"/>
    <w:qFormat/>
    <w:rsid w:val="000b487d"/>
    <w:rPr>
      <w:rFonts w:ascii="Times New Roman" w:hAnsi="Times New Roman" w:eastAsia="Microsoft YaHei" w:cs="Times New Roman"/>
      <w:b/>
      <w:bCs/>
      <w:i/>
      <w:spacing w:val="-5"/>
      <w:sz w:val="24"/>
      <w:szCs w:val="24"/>
      <w:lang w:eastAsia="ru-RU"/>
    </w:rPr>
  </w:style>
  <w:style w:type="character" w:styleId="227" w:customStyle="1">
    <w:name w:val="Цитата 2 Знак"/>
    <w:basedOn w:val="DefaultParagraphFont"/>
    <w:uiPriority w:val="29"/>
    <w:qFormat/>
    <w:rsid w:val="000b487d"/>
    <w:rPr>
      <w:rFonts w:ascii="Times New Roman" w:hAnsi="Times New Roman" w:eastAsia="Times New Roman" w:cs="Times New Roman"/>
      <w:i/>
      <w:iCs/>
      <w:color w:val="000000"/>
      <w:sz w:val="28"/>
      <w:szCs w:val="28"/>
      <w:lang w:eastAsia="ru-RU"/>
    </w:rPr>
  </w:style>
  <w:style w:type="character" w:styleId="Style61" w:customStyle="1">
    <w:name w:val="Стиль таблица Знак"/>
    <w:qFormat/>
    <w:locked/>
    <w:rsid w:val="000b487d"/>
    <w:rPr>
      <w:rFonts w:eastAsia="Times New Roman"/>
      <w:color w:val="000000"/>
    </w:rPr>
  </w:style>
  <w:style w:type="character" w:styleId="FontStyle12" w:customStyle="1">
    <w:name w:val="Font Style12"/>
    <w:uiPriority w:val="99"/>
    <w:qFormat/>
    <w:rsid w:val="000b487d"/>
    <w:rPr>
      <w:rFonts w:ascii="Times New Roman" w:hAnsi="Times New Roman"/>
      <w:b/>
      <w:sz w:val="20"/>
    </w:rPr>
  </w:style>
  <w:style w:type="character" w:styleId="FontStyle11" w:customStyle="1">
    <w:name w:val="Font Style11"/>
    <w:uiPriority w:val="99"/>
    <w:qFormat/>
    <w:rsid w:val="000b487d"/>
    <w:rPr>
      <w:rFonts w:ascii="Times New Roman" w:hAnsi="Times New Roman"/>
      <w:sz w:val="18"/>
    </w:rPr>
  </w:style>
  <w:style w:type="character" w:styleId="FontStyle21" w:customStyle="1">
    <w:name w:val="Font Style21"/>
    <w:uiPriority w:val="99"/>
    <w:qFormat/>
    <w:rsid w:val="000b487d"/>
    <w:rPr>
      <w:rFonts w:ascii="Times New Roman" w:hAnsi="Times New Roman"/>
      <w:b/>
      <w:spacing w:val="-10"/>
      <w:sz w:val="16"/>
    </w:rPr>
  </w:style>
  <w:style w:type="character" w:styleId="FontStyle19" w:customStyle="1">
    <w:name w:val="Font Style19"/>
    <w:uiPriority w:val="99"/>
    <w:qFormat/>
    <w:rsid w:val="000b487d"/>
    <w:rPr>
      <w:rFonts w:ascii="Times New Roman" w:hAnsi="Times New Roman"/>
      <w:b/>
      <w:i/>
      <w:spacing w:val="10"/>
      <w:sz w:val="14"/>
    </w:rPr>
  </w:style>
  <w:style w:type="character" w:styleId="FontStyle14" w:customStyle="1">
    <w:name w:val="Font Style14"/>
    <w:qFormat/>
    <w:rsid w:val="000b487d"/>
    <w:rPr>
      <w:rFonts w:ascii="Times New Roman" w:hAnsi="Times New Roman"/>
      <w:b/>
      <w:i/>
      <w:sz w:val="18"/>
    </w:rPr>
  </w:style>
  <w:style w:type="character" w:styleId="FontStyle16" w:customStyle="1">
    <w:name w:val="Font Style16"/>
    <w:uiPriority w:val="99"/>
    <w:qFormat/>
    <w:rsid w:val="000b487d"/>
    <w:rPr>
      <w:rFonts w:ascii="Times New Roman" w:hAnsi="Times New Roman"/>
      <w:b/>
      <w:sz w:val="14"/>
    </w:rPr>
  </w:style>
  <w:style w:type="character" w:styleId="FontStyle17" w:customStyle="1">
    <w:name w:val="Font Style17"/>
    <w:uiPriority w:val="99"/>
    <w:qFormat/>
    <w:rsid w:val="000b487d"/>
    <w:rPr>
      <w:rFonts w:ascii="Times New Roman" w:hAnsi="Times New Roman"/>
      <w:b/>
      <w:sz w:val="14"/>
    </w:rPr>
  </w:style>
  <w:style w:type="character" w:styleId="FontStyle18" w:customStyle="1">
    <w:name w:val="Font Style18"/>
    <w:uiPriority w:val="99"/>
    <w:qFormat/>
    <w:rsid w:val="000b487d"/>
    <w:rPr>
      <w:rFonts w:ascii="Times New Roman" w:hAnsi="Times New Roman"/>
      <w:b/>
      <w:sz w:val="22"/>
    </w:rPr>
  </w:style>
  <w:style w:type="character" w:styleId="FontStyle20" w:customStyle="1">
    <w:name w:val="Font Style20"/>
    <w:uiPriority w:val="99"/>
    <w:qFormat/>
    <w:rsid w:val="000b487d"/>
    <w:rPr>
      <w:rFonts w:ascii="Palatino Linotype" w:hAnsi="Palatino Linotype"/>
      <w:i/>
      <w:spacing w:val="-20"/>
      <w:sz w:val="18"/>
    </w:rPr>
  </w:style>
  <w:style w:type="character" w:styleId="FontStyle22" w:customStyle="1">
    <w:name w:val="Font Style22"/>
    <w:uiPriority w:val="99"/>
    <w:qFormat/>
    <w:rsid w:val="000b487d"/>
    <w:rPr>
      <w:rFonts w:ascii="Times New Roman" w:hAnsi="Times New Roman"/>
      <w:b/>
      <w:i/>
      <w:sz w:val="20"/>
    </w:rPr>
  </w:style>
  <w:style w:type="character" w:styleId="FontStyle23" w:customStyle="1">
    <w:name w:val="Font Style23"/>
    <w:uiPriority w:val="99"/>
    <w:qFormat/>
    <w:rsid w:val="000b487d"/>
    <w:rPr>
      <w:rFonts w:ascii="Times New Roman" w:hAnsi="Times New Roman"/>
      <w:i/>
      <w:sz w:val="20"/>
    </w:rPr>
  </w:style>
  <w:style w:type="character" w:styleId="FontStyle125" w:customStyle="1">
    <w:name w:val="Font Style125"/>
    <w:uiPriority w:val="99"/>
    <w:qFormat/>
    <w:rsid w:val="000b487d"/>
    <w:rPr>
      <w:rFonts w:ascii="Times New Roman" w:hAnsi="Times New Roman"/>
      <w:sz w:val="18"/>
    </w:rPr>
  </w:style>
  <w:style w:type="character" w:styleId="FontStyle105" w:customStyle="1">
    <w:name w:val="Font Style105"/>
    <w:uiPriority w:val="99"/>
    <w:qFormat/>
    <w:rsid w:val="000b487d"/>
    <w:rPr>
      <w:rFonts w:ascii="Times New Roman" w:hAnsi="Times New Roman"/>
      <w:b/>
      <w:sz w:val="10"/>
    </w:rPr>
  </w:style>
  <w:style w:type="character" w:styleId="FontStyle106" w:customStyle="1">
    <w:name w:val="Font Style106"/>
    <w:uiPriority w:val="99"/>
    <w:qFormat/>
    <w:rsid w:val="000b487d"/>
    <w:rPr>
      <w:rFonts w:ascii="Times New Roman" w:hAnsi="Times New Roman"/>
      <w:b/>
      <w:sz w:val="16"/>
    </w:rPr>
  </w:style>
  <w:style w:type="character" w:styleId="FontStyle107" w:customStyle="1">
    <w:name w:val="Font Style107"/>
    <w:uiPriority w:val="99"/>
    <w:qFormat/>
    <w:rsid w:val="000b487d"/>
    <w:rPr>
      <w:rFonts w:ascii="Lucida Sans Unicode" w:hAnsi="Lucida Sans Unicode"/>
      <w:sz w:val="10"/>
    </w:rPr>
  </w:style>
  <w:style w:type="character" w:styleId="FontStyle108" w:customStyle="1">
    <w:name w:val="Font Style108"/>
    <w:uiPriority w:val="99"/>
    <w:qFormat/>
    <w:rsid w:val="000b487d"/>
    <w:rPr>
      <w:rFonts w:ascii="Century Gothic" w:hAnsi="Century Gothic"/>
      <w:b/>
      <w:sz w:val="14"/>
    </w:rPr>
  </w:style>
  <w:style w:type="character" w:styleId="FontStyle109" w:customStyle="1">
    <w:name w:val="Font Style109"/>
    <w:uiPriority w:val="99"/>
    <w:qFormat/>
    <w:rsid w:val="000b487d"/>
    <w:rPr>
      <w:rFonts w:ascii="Century Gothic" w:hAnsi="Century Gothic"/>
      <w:b/>
      <w:sz w:val="14"/>
    </w:rPr>
  </w:style>
  <w:style w:type="character" w:styleId="FontStyle110" w:customStyle="1">
    <w:name w:val="Font Style110"/>
    <w:uiPriority w:val="99"/>
    <w:qFormat/>
    <w:rsid w:val="000b487d"/>
    <w:rPr>
      <w:rFonts w:ascii="Cambria" w:hAnsi="Cambria"/>
      <w:b/>
      <w:sz w:val="14"/>
    </w:rPr>
  </w:style>
  <w:style w:type="character" w:styleId="FontStyle144" w:customStyle="1">
    <w:name w:val="Font Style144"/>
    <w:uiPriority w:val="99"/>
    <w:qFormat/>
    <w:rsid w:val="000b487d"/>
    <w:rPr>
      <w:rFonts w:ascii="Times New Roman" w:hAnsi="Times New Roman"/>
      <w:b/>
      <w:sz w:val="14"/>
    </w:rPr>
  </w:style>
  <w:style w:type="character" w:styleId="FontStyle170" w:customStyle="1">
    <w:name w:val="Font Style170"/>
    <w:uiPriority w:val="99"/>
    <w:qFormat/>
    <w:rsid w:val="000b487d"/>
    <w:rPr>
      <w:rFonts w:ascii="Times New Roman" w:hAnsi="Times New Roman"/>
      <w:w w:val="10"/>
      <w:sz w:val="22"/>
    </w:rPr>
  </w:style>
  <w:style w:type="character" w:styleId="FontStyle113" w:customStyle="1">
    <w:name w:val="Font Style113"/>
    <w:uiPriority w:val="99"/>
    <w:qFormat/>
    <w:rsid w:val="000b487d"/>
    <w:rPr>
      <w:rFonts w:ascii="Times New Roman" w:hAnsi="Times New Roman"/>
      <w:b/>
      <w:sz w:val="20"/>
    </w:rPr>
  </w:style>
  <w:style w:type="character" w:styleId="FontStyle124" w:customStyle="1">
    <w:name w:val="Font Style124"/>
    <w:uiPriority w:val="99"/>
    <w:qFormat/>
    <w:rsid w:val="000b487d"/>
    <w:rPr>
      <w:rFonts w:ascii="Times New Roman" w:hAnsi="Times New Roman"/>
      <w:b/>
      <w:i/>
      <w:sz w:val="16"/>
    </w:rPr>
  </w:style>
  <w:style w:type="character" w:styleId="FontStyle133" w:customStyle="1">
    <w:name w:val="Font Style133"/>
    <w:uiPriority w:val="99"/>
    <w:qFormat/>
    <w:rsid w:val="000b487d"/>
    <w:rPr>
      <w:rFonts w:ascii="Times New Roman" w:hAnsi="Times New Roman"/>
      <w:b/>
      <w:sz w:val="18"/>
    </w:rPr>
  </w:style>
  <w:style w:type="character" w:styleId="FontStyle126" w:customStyle="1">
    <w:name w:val="Font Style126"/>
    <w:uiPriority w:val="99"/>
    <w:qFormat/>
    <w:rsid w:val="000b487d"/>
    <w:rPr>
      <w:rFonts w:ascii="Century Gothic" w:hAnsi="Century Gothic"/>
      <w:b/>
      <w:sz w:val="14"/>
    </w:rPr>
  </w:style>
  <w:style w:type="character" w:styleId="FontStyle127" w:customStyle="1">
    <w:name w:val="Font Style127"/>
    <w:uiPriority w:val="99"/>
    <w:qFormat/>
    <w:rsid w:val="000b487d"/>
    <w:rPr>
      <w:rFonts w:ascii="Century Gothic" w:hAnsi="Century Gothic"/>
      <w:b/>
      <w:sz w:val="14"/>
    </w:rPr>
  </w:style>
  <w:style w:type="character" w:styleId="FontStyle128" w:customStyle="1">
    <w:name w:val="Font Style128"/>
    <w:uiPriority w:val="99"/>
    <w:qFormat/>
    <w:rsid w:val="000b487d"/>
    <w:rPr>
      <w:rFonts w:ascii="Times New Roman" w:hAnsi="Times New Roman"/>
      <w:b/>
      <w:sz w:val="16"/>
    </w:rPr>
  </w:style>
  <w:style w:type="character" w:styleId="FontStyle129" w:customStyle="1">
    <w:name w:val="Font Style129"/>
    <w:uiPriority w:val="99"/>
    <w:qFormat/>
    <w:rsid w:val="000b487d"/>
    <w:rPr>
      <w:rFonts w:ascii="Times New Roman" w:hAnsi="Times New Roman"/>
      <w:b/>
      <w:smallCaps/>
      <w:sz w:val="16"/>
    </w:rPr>
  </w:style>
  <w:style w:type="character" w:styleId="FontStyle135" w:customStyle="1">
    <w:name w:val="Font Style135"/>
    <w:uiPriority w:val="99"/>
    <w:qFormat/>
    <w:rsid w:val="000b487d"/>
    <w:rPr>
      <w:rFonts w:ascii="Times New Roman" w:hAnsi="Times New Roman"/>
      <w:b/>
      <w:sz w:val="14"/>
    </w:rPr>
  </w:style>
  <w:style w:type="character" w:styleId="FontStyle136" w:customStyle="1">
    <w:name w:val="Font Style136"/>
    <w:uiPriority w:val="99"/>
    <w:qFormat/>
    <w:rsid w:val="000b487d"/>
    <w:rPr>
      <w:rFonts w:ascii="Times New Roman" w:hAnsi="Times New Roman"/>
      <w:b/>
      <w:sz w:val="10"/>
    </w:rPr>
  </w:style>
  <w:style w:type="character" w:styleId="FontStyle137" w:customStyle="1">
    <w:name w:val="Font Style137"/>
    <w:uiPriority w:val="99"/>
    <w:qFormat/>
    <w:rsid w:val="000b487d"/>
    <w:rPr>
      <w:rFonts w:ascii="Arial Narrow" w:hAnsi="Arial Narrow"/>
      <w:sz w:val="30"/>
    </w:rPr>
  </w:style>
  <w:style w:type="character" w:styleId="FontStyle140" w:customStyle="1">
    <w:name w:val="Font Style140"/>
    <w:uiPriority w:val="99"/>
    <w:qFormat/>
    <w:rsid w:val="000b487d"/>
    <w:rPr>
      <w:rFonts w:ascii="Times New Roman" w:hAnsi="Times New Roman"/>
      <w:w w:val="30"/>
      <w:sz w:val="44"/>
    </w:rPr>
  </w:style>
  <w:style w:type="character" w:styleId="FontStyle178" w:customStyle="1">
    <w:name w:val="Font Style178"/>
    <w:uiPriority w:val="99"/>
    <w:qFormat/>
    <w:rsid w:val="000b487d"/>
    <w:rPr>
      <w:rFonts w:ascii="Times New Roman" w:hAnsi="Times New Roman"/>
      <w:b/>
      <w:i/>
      <w:sz w:val="14"/>
    </w:rPr>
  </w:style>
  <w:style w:type="character" w:styleId="FontStyle142" w:customStyle="1">
    <w:name w:val="Font Style142"/>
    <w:uiPriority w:val="99"/>
    <w:qFormat/>
    <w:rsid w:val="000b487d"/>
    <w:rPr>
      <w:rFonts w:ascii="Times New Roman" w:hAnsi="Times New Roman"/>
      <w:b/>
      <w:spacing w:val="10"/>
      <w:w w:val="20"/>
      <w:sz w:val="26"/>
    </w:rPr>
  </w:style>
  <w:style w:type="character" w:styleId="FontStyle143" w:customStyle="1">
    <w:name w:val="Font Style143"/>
    <w:uiPriority w:val="99"/>
    <w:qFormat/>
    <w:rsid w:val="000b487d"/>
    <w:rPr>
      <w:rFonts w:ascii="Times New Roman" w:hAnsi="Times New Roman"/>
      <w:sz w:val="14"/>
    </w:rPr>
  </w:style>
  <w:style w:type="character" w:styleId="FontStyle138" w:customStyle="1">
    <w:name w:val="Font Style138"/>
    <w:uiPriority w:val="99"/>
    <w:qFormat/>
    <w:rsid w:val="000b487d"/>
    <w:rPr>
      <w:rFonts w:ascii="Book Antiqua" w:hAnsi="Book Antiqua"/>
      <w:sz w:val="20"/>
    </w:rPr>
  </w:style>
  <w:style w:type="character" w:styleId="FontStyle139" w:customStyle="1">
    <w:name w:val="Font Style139"/>
    <w:uiPriority w:val="99"/>
    <w:qFormat/>
    <w:rsid w:val="000b487d"/>
    <w:rPr>
      <w:rFonts w:ascii="Times New Roman" w:hAnsi="Times New Roman"/>
      <w:sz w:val="8"/>
    </w:rPr>
  </w:style>
  <w:style w:type="character" w:styleId="FontStyle141" w:customStyle="1">
    <w:name w:val="Font Style141"/>
    <w:uiPriority w:val="99"/>
    <w:qFormat/>
    <w:rsid w:val="000b487d"/>
    <w:rPr>
      <w:rFonts w:ascii="Times New Roman" w:hAnsi="Times New Roman"/>
      <w:sz w:val="20"/>
    </w:rPr>
  </w:style>
  <w:style w:type="character" w:styleId="FontStyle146" w:customStyle="1">
    <w:name w:val="Font Style146"/>
    <w:uiPriority w:val="99"/>
    <w:qFormat/>
    <w:rsid w:val="000b487d"/>
    <w:rPr>
      <w:rFonts w:ascii="Times New Roman" w:hAnsi="Times New Roman"/>
      <w:b/>
      <w:sz w:val="16"/>
    </w:rPr>
  </w:style>
  <w:style w:type="character" w:styleId="FontStyle152" w:customStyle="1">
    <w:name w:val="Font Style152"/>
    <w:uiPriority w:val="99"/>
    <w:qFormat/>
    <w:rsid w:val="000b487d"/>
    <w:rPr>
      <w:rFonts w:ascii="Times New Roman" w:hAnsi="Times New Roman"/>
      <w:b/>
      <w:sz w:val="12"/>
    </w:rPr>
  </w:style>
  <w:style w:type="character" w:styleId="FontStyle111" w:customStyle="1">
    <w:name w:val="Font Style111"/>
    <w:uiPriority w:val="99"/>
    <w:qFormat/>
    <w:rsid w:val="000b487d"/>
    <w:rPr>
      <w:rFonts w:ascii="Times New Roman" w:hAnsi="Times New Roman"/>
      <w:b/>
      <w:spacing w:val="30"/>
      <w:w w:val="10"/>
      <w:sz w:val="26"/>
    </w:rPr>
  </w:style>
  <w:style w:type="character" w:styleId="FontStyle112" w:customStyle="1">
    <w:name w:val="Font Style112"/>
    <w:uiPriority w:val="99"/>
    <w:qFormat/>
    <w:rsid w:val="000b487d"/>
    <w:rPr>
      <w:rFonts w:ascii="Times New Roman" w:hAnsi="Times New Roman"/>
      <w:b/>
      <w:i/>
      <w:spacing w:val="-10"/>
      <w:sz w:val="10"/>
    </w:rPr>
  </w:style>
  <w:style w:type="character" w:styleId="FontStyle123" w:customStyle="1">
    <w:name w:val="Font Style123"/>
    <w:uiPriority w:val="99"/>
    <w:qFormat/>
    <w:rsid w:val="000b487d"/>
    <w:rPr>
      <w:rFonts w:ascii="Times New Roman" w:hAnsi="Times New Roman"/>
      <w:i/>
      <w:sz w:val="18"/>
    </w:rPr>
  </w:style>
  <w:style w:type="character" w:styleId="FontStyle117" w:customStyle="1">
    <w:name w:val="Font Style117"/>
    <w:uiPriority w:val="99"/>
    <w:qFormat/>
    <w:rsid w:val="000b487d"/>
    <w:rPr>
      <w:rFonts w:ascii="Times New Roman" w:hAnsi="Times New Roman"/>
      <w:b/>
      <w:sz w:val="14"/>
    </w:rPr>
  </w:style>
  <w:style w:type="character" w:styleId="FontStyle120" w:customStyle="1">
    <w:name w:val="Font Style120"/>
    <w:uiPriority w:val="99"/>
    <w:qFormat/>
    <w:rsid w:val="000b487d"/>
    <w:rPr>
      <w:rFonts w:ascii="Times New Roman" w:hAnsi="Times New Roman"/>
      <w:b/>
      <w:sz w:val="10"/>
    </w:rPr>
  </w:style>
  <w:style w:type="character" w:styleId="FontStyle121" w:customStyle="1">
    <w:name w:val="Font Style121"/>
    <w:uiPriority w:val="99"/>
    <w:qFormat/>
    <w:rsid w:val="000b487d"/>
    <w:rPr>
      <w:rFonts w:ascii="Times New Roman" w:hAnsi="Times New Roman"/>
      <w:b/>
      <w:w w:val="10"/>
      <w:sz w:val="20"/>
    </w:rPr>
  </w:style>
  <w:style w:type="character" w:styleId="FontStyle122" w:customStyle="1">
    <w:name w:val="Font Style122"/>
    <w:uiPriority w:val="99"/>
    <w:qFormat/>
    <w:rsid w:val="000b487d"/>
    <w:rPr>
      <w:rFonts w:ascii="Times New Roman" w:hAnsi="Times New Roman"/>
      <w:b/>
      <w:i/>
      <w:spacing w:val="-10"/>
      <w:sz w:val="10"/>
    </w:rPr>
  </w:style>
  <w:style w:type="character" w:styleId="FontStyle172" w:customStyle="1">
    <w:name w:val="Font Style172"/>
    <w:uiPriority w:val="99"/>
    <w:qFormat/>
    <w:rsid w:val="000b487d"/>
    <w:rPr>
      <w:rFonts w:ascii="Times New Roman" w:hAnsi="Times New Roman"/>
      <w:spacing w:val="120"/>
      <w:w w:val="20"/>
      <w:sz w:val="30"/>
    </w:rPr>
  </w:style>
  <w:style w:type="character" w:styleId="FontStyle114" w:customStyle="1">
    <w:name w:val="Font Style114"/>
    <w:uiPriority w:val="99"/>
    <w:qFormat/>
    <w:rsid w:val="000b487d"/>
    <w:rPr>
      <w:rFonts w:ascii="Times New Roman" w:hAnsi="Times New Roman"/>
      <w:b/>
      <w:w w:val="10"/>
      <w:sz w:val="26"/>
    </w:rPr>
  </w:style>
  <w:style w:type="character" w:styleId="FontStyle115" w:customStyle="1">
    <w:name w:val="Font Style115"/>
    <w:uiPriority w:val="99"/>
    <w:qFormat/>
    <w:rsid w:val="000b487d"/>
    <w:rPr>
      <w:rFonts w:ascii="Arial Narrow" w:hAnsi="Arial Narrow"/>
      <w:b/>
      <w:spacing w:val="-40"/>
      <w:sz w:val="50"/>
    </w:rPr>
  </w:style>
  <w:style w:type="character" w:styleId="FontStyle116" w:customStyle="1">
    <w:name w:val="Font Style116"/>
    <w:uiPriority w:val="99"/>
    <w:qFormat/>
    <w:rsid w:val="000b487d"/>
    <w:rPr>
      <w:rFonts w:ascii="Times New Roman" w:hAnsi="Times New Roman"/>
      <w:b/>
      <w:sz w:val="16"/>
    </w:rPr>
  </w:style>
  <w:style w:type="character" w:styleId="FontStyle118" w:customStyle="1">
    <w:name w:val="Font Style118"/>
    <w:uiPriority w:val="99"/>
    <w:qFormat/>
    <w:rsid w:val="000b487d"/>
    <w:rPr>
      <w:rFonts w:ascii="Times New Roman" w:hAnsi="Times New Roman"/>
      <w:b/>
      <w:sz w:val="8"/>
    </w:rPr>
  </w:style>
  <w:style w:type="character" w:styleId="FontStyle119" w:customStyle="1">
    <w:name w:val="Font Style119"/>
    <w:uiPriority w:val="99"/>
    <w:qFormat/>
    <w:rsid w:val="000b487d"/>
    <w:rPr>
      <w:rFonts w:ascii="Bookman Old Style" w:hAnsi="Bookman Old Style"/>
      <w:b/>
      <w:i/>
      <w:sz w:val="10"/>
    </w:rPr>
  </w:style>
  <w:style w:type="character" w:styleId="FontStyle177" w:customStyle="1">
    <w:name w:val="Font Style177"/>
    <w:uiPriority w:val="99"/>
    <w:qFormat/>
    <w:rsid w:val="000b487d"/>
    <w:rPr>
      <w:rFonts w:ascii="Times New Roman" w:hAnsi="Times New Roman"/>
      <w:b/>
      <w:i/>
      <w:sz w:val="14"/>
    </w:rPr>
  </w:style>
  <w:style w:type="character" w:styleId="FontStyle130" w:customStyle="1">
    <w:name w:val="Font Style130"/>
    <w:uiPriority w:val="99"/>
    <w:qFormat/>
    <w:rsid w:val="000b487d"/>
    <w:rPr>
      <w:rFonts w:ascii="Times New Roman" w:hAnsi="Times New Roman"/>
      <w:b/>
      <w:w w:val="10"/>
      <w:sz w:val="14"/>
    </w:rPr>
  </w:style>
  <w:style w:type="character" w:styleId="FontStyle131" w:customStyle="1">
    <w:name w:val="Font Style131"/>
    <w:uiPriority w:val="99"/>
    <w:qFormat/>
    <w:rsid w:val="000b487d"/>
    <w:rPr>
      <w:rFonts w:ascii="Lucida Sans Unicode" w:hAnsi="Lucida Sans Unicode"/>
      <w:sz w:val="24"/>
    </w:rPr>
  </w:style>
  <w:style w:type="character" w:styleId="FontStyle132" w:customStyle="1">
    <w:name w:val="Font Style132"/>
    <w:uiPriority w:val="99"/>
    <w:qFormat/>
    <w:rsid w:val="000b487d"/>
    <w:rPr>
      <w:rFonts w:ascii="Times New Roman" w:hAnsi="Times New Roman"/>
      <w:b/>
      <w:w w:val="10"/>
      <w:sz w:val="14"/>
    </w:rPr>
  </w:style>
  <w:style w:type="character" w:styleId="FontStyle134" w:customStyle="1">
    <w:name w:val="Font Style134"/>
    <w:uiPriority w:val="99"/>
    <w:qFormat/>
    <w:rsid w:val="000b487d"/>
    <w:rPr>
      <w:rFonts w:ascii="Book Antiqua" w:hAnsi="Book Antiqua"/>
      <w:sz w:val="20"/>
    </w:rPr>
  </w:style>
  <w:style w:type="character" w:styleId="FontStyle179" w:customStyle="1">
    <w:name w:val="Font Style179"/>
    <w:uiPriority w:val="99"/>
    <w:qFormat/>
    <w:rsid w:val="000b487d"/>
    <w:rPr>
      <w:rFonts w:ascii="Times New Roman" w:hAnsi="Times New Roman"/>
      <w:smallCaps/>
      <w:spacing w:val="10"/>
      <w:sz w:val="8"/>
    </w:rPr>
  </w:style>
  <w:style w:type="character" w:styleId="FontStyle150" w:customStyle="1">
    <w:name w:val="Font Style150"/>
    <w:uiPriority w:val="99"/>
    <w:qFormat/>
    <w:rsid w:val="000b487d"/>
    <w:rPr>
      <w:rFonts w:ascii="Lucida Sans Unicode" w:hAnsi="Lucida Sans Unicode"/>
      <w:b/>
      <w:i/>
      <w:sz w:val="8"/>
    </w:rPr>
  </w:style>
  <w:style w:type="character" w:styleId="FontStyle145" w:customStyle="1">
    <w:name w:val="Font Style145"/>
    <w:uiPriority w:val="99"/>
    <w:qFormat/>
    <w:rsid w:val="000b487d"/>
    <w:rPr>
      <w:rFonts w:ascii="Times New Roman" w:hAnsi="Times New Roman"/>
      <w:spacing w:val="10"/>
      <w:sz w:val="10"/>
    </w:rPr>
  </w:style>
  <w:style w:type="character" w:styleId="FontStyle147" w:customStyle="1">
    <w:name w:val="Font Style147"/>
    <w:uiPriority w:val="99"/>
    <w:qFormat/>
    <w:rsid w:val="000b487d"/>
    <w:rPr>
      <w:rFonts w:ascii="Book Antiqua" w:hAnsi="Book Antiqua"/>
      <w:sz w:val="18"/>
    </w:rPr>
  </w:style>
  <w:style w:type="character" w:styleId="FontStyle148" w:customStyle="1">
    <w:name w:val="Font Style148"/>
    <w:uiPriority w:val="99"/>
    <w:qFormat/>
    <w:rsid w:val="000b487d"/>
    <w:rPr>
      <w:rFonts w:ascii="Times New Roman" w:hAnsi="Times New Roman"/>
      <w:spacing w:val="40"/>
      <w:sz w:val="12"/>
    </w:rPr>
  </w:style>
  <w:style w:type="character" w:styleId="FontStyle149" w:customStyle="1">
    <w:name w:val="Font Style149"/>
    <w:uiPriority w:val="99"/>
    <w:qFormat/>
    <w:rsid w:val="000b487d"/>
    <w:rPr>
      <w:rFonts w:ascii="Courier New" w:hAnsi="Courier New"/>
      <w:b/>
      <w:i/>
      <w:spacing w:val="-10"/>
      <w:sz w:val="10"/>
    </w:rPr>
  </w:style>
  <w:style w:type="character" w:styleId="FontStyle153" w:customStyle="1">
    <w:name w:val="Font Style153"/>
    <w:uiPriority w:val="99"/>
    <w:qFormat/>
    <w:rsid w:val="000b487d"/>
    <w:rPr>
      <w:rFonts w:ascii="Lucida Sans Unicode" w:hAnsi="Lucida Sans Unicode"/>
      <w:sz w:val="32"/>
    </w:rPr>
  </w:style>
  <w:style w:type="character" w:styleId="FontStyle154" w:customStyle="1">
    <w:name w:val="Font Style154"/>
    <w:uiPriority w:val="99"/>
    <w:qFormat/>
    <w:rsid w:val="000b487d"/>
    <w:rPr>
      <w:rFonts w:ascii="Lucida Sans Unicode" w:hAnsi="Lucida Sans Unicode"/>
      <w:sz w:val="32"/>
    </w:rPr>
  </w:style>
  <w:style w:type="character" w:styleId="FontStyle155" w:customStyle="1">
    <w:name w:val="Font Style155"/>
    <w:uiPriority w:val="99"/>
    <w:qFormat/>
    <w:rsid w:val="000b487d"/>
    <w:rPr>
      <w:rFonts w:ascii="Times New Roman" w:hAnsi="Times New Roman"/>
      <w:sz w:val="20"/>
    </w:rPr>
  </w:style>
  <w:style w:type="character" w:styleId="FontStyle156" w:customStyle="1">
    <w:name w:val="Font Style156"/>
    <w:uiPriority w:val="99"/>
    <w:qFormat/>
    <w:rsid w:val="000b487d"/>
    <w:rPr>
      <w:rFonts w:ascii="Arial Narrow" w:hAnsi="Arial Narrow"/>
      <w:b/>
      <w:sz w:val="18"/>
    </w:rPr>
  </w:style>
  <w:style w:type="character" w:styleId="FontStyle157" w:customStyle="1">
    <w:name w:val="Font Style157"/>
    <w:uiPriority w:val="99"/>
    <w:qFormat/>
    <w:rsid w:val="000b487d"/>
    <w:rPr>
      <w:rFonts w:ascii="Times New Roman" w:hAnsi="Times New Roman"/>
      <w:sz w:val="16"/>
    </w:rPr>
  </w:style>
  <w:style w:type="character" w:styleId="FontStyle158" w:customStyle="1">
    <w:name w:val="Font Style158"/>
    <w:uiPriority w:val="99"/>
    <w:qFormat/>
    <w:rsid w:val="000b487d"/>
    <w:rPr>
      <w:rFonts w:ascii="Times New Roman" w:hAnsi="Times New Roman"/>
      <w:sz w:val="20"/>
    </w:rPr>
  </w:style>
  <w:style w:type="character" w:styleId="FontStyle159" w:customStyle="1">
    <w:name w:val="Font Style159"/>
    <w:uiPriority w:val="99"/>
    <w:qFormat/>
    <w:rsid w:val="000b487d"/>
    <w:rPr>
      <w:rFonts w:ascii="Times New Roman" w:hAnsi="Times New Roman"/>
      <w:w w:val="40"/>
      <w:sz w:val="32"/>
    </w:rPr>
  </w:style>
  <w:style w:type="character" w:styleId="FontStyle160" w:customStyle="1">
    <w:name w:val="Font Style160"/>
    <w:uiPriority w:val="99"/>
    <w:qFormat/>
    <w:rsid w:val="000b487d"/>
    <w:rPr>
      <w:rFonts w:ascii="Times New Roman" w:hAnsi="Times New Roman"/>
      <w:sz w:val="20"/>
    </w:rPr>
  </w:style>
  <w:style w:type="character" w:styleId="FontStyle161" w:customStyle="1">
    <w:name w:val="Font Style161"/>
    <w:uiPriority w:val="99"/>
    <w:qFormat/>
    <w:rsid w:val="000b487d"/>
    <w:rPr>
      <w:rFonts w:ascii="Lucida Sans Unicode" w:hAnsi="Lucida Sans Unicode"/>
      <w:sz w:val="32"/>
    </w:rPr>
  </w:style>
  <w:style w:type="character" w:styleId="FontStyle162" w:customStyle="1">
    <w:name w:val="Font Style162"/>
    <w:uiPriority w:val="99"/>
    <w:qFormat/>
    <w:rsid w:val="000b487d"/>
    <w:rPr>
      <w:rFonts w:ascii="Times New Roman" w:hAnsi="Times New Roman"/>
      <w:sz w:val="20"/>
    </w:rPr>
  </w:style>
  <w:style w:type="character" w:styleId="FontStyle163" w:customStyle="1">
    <w:name w:val="Font Style163"/>
    <w:uiPriority w:val="99"/>
    <w:qFormat/>
    <w:rsid w:val="000b487d"/>
    <w:rPr>
      <w:rFonts w:ascii="Times New Roman" w:hAnsi="Times New Roman"/>
      <w:sz w:val="20"/>
    </w:rPr>
  </w:style>
  <w:style w:type="character" w:styleId="FontStyle164" w:customStyle="1">
    <w:name w:val="Font Style164"/>
    <w:uiPriority w:val="99"/>
    <w:qFormat/>
    <w:rsid w:val="000b487d"/>
    <w:rPr>
      <w:rFonts w:ascii="Times New Roman" w:hAnsi="Times New Roman"/>
      <w:sz w:val="16"/>
    </w:rPr>
  </w:style>
  <w:style w:type="character" w:styleId="FontStyle165" w:customStyle="1">
    <w:name w:val="Font Style165"/>
    <w:uiPriority w:val="99"/>
    <w:qFormat/>
    <w:rsid w:val="000b487d"/>
    <w:rPr>
      <w:rFonts w:ascii="Times New Roman" w:hAnsi="Times New Roman"/>
      <w:b/>
      <w:i/>
      <w:sz w:val="18"/>
    </w:rPr>
  </w:style>
  <w:style w:type="character" w:styleId="FontStyle166" w:customStyle="1">
    <w:name w:val="Font Style166"/>
    <w:uiPriority w:val="99"/>
    <w:qFormat/>
    <w:rsid w:val="000b487d"/>
    <w:rPr>
      <w:rFonts w:ascii="Times New Roman" w:hAnsi="Times New Roman"/>
      <w:b/>
      <w:i/>
      <w:sz w:val="8"/>
    </w:rPr>
  </w:style>
  <w:style w:type="character" w:styleId="FontStyle167" w:customStyle="1">
    <w:name w:val="Font Style167"/>
    <w:uiPriority w:val="99"/>
    <w:qFormat/>
    <w:rsid w:val="000b487d"/>
    <w:rPr>
      <w:rFonts w:ascii="Sylfaen" w:hAnsi="Sylfaen"/>
      <w:b/>
      <w:i/>
      <w:sz w:val="8"/>
    </w:rPr>
  </w:style>
  <w:style w:type="character" w:styleId="FontStyle168" w:customStyle="1">
    <w:name w:val="Font Style168"/>
    <w:uiPriority w:val="99"/>
    <w:qFormat/>
    <w:rsid w:val="000b487d"/>
    <w:rPr>
      <w:rFonts w:ascii="Times New Roman" w:hAnsi="Times New Roman"/>
      <w:b/>
      <w:w w:val="200"/>
      <w:sz w:val="8"/>
    </w:rPr>
  </w:style>
  <w:style w:type="character" w:styleId="FontStyle169" w:customStyle="1">
    <w:name w:val="Font Style169"/>
    <w:uiPriority w:val="99"/>
    <w:qFormat/>
    <w:rsid w:val="000b487d"/>
    <w:rPr>
      <w:rFonts w:ascii="Franklin Gothic Medium" w:hAnsi="Franklin Gothic Medium"/>
      <w:b/>
      <w:spacing w:val="-50"/>
      <w:sz w:val="56"/>
    </w:rPr>
  </w:style>
  <w:style w:type="character" w:styleId="FontStyle171" w:customStyle="1">
    <w:name w:val="Font Style171"/>
    <w:uiPriority w:val="99"/>
    <w:qFormat/>
    <w:rsid w:val="000b487d"/>
    <w:rPr>
      <w:rFonts w:ascii="Times New Roman" w:hAnsi="Times New Roman"/>
      <w:b/>
      <w:sz w:val="16"/>
    </w:rPr>
  </w:style>
  <w:style w:type="character" w:styleId="FontStyle174" w:customStyle="1">
    <w:name w:val="Font Style174"/>
    <w:uiPriority w:val="99"/>
    <w:qFormat/>
    <w:rsid w:val="000b487d"/>
    <w:rPr>
      <w:rFonts w:ascii="Times New Roman" w:hAnsi="Times New Roman"/>
      <w:b/>
      <w:sz w:val="104"/>
    </w:rPr>
  </w:style>
  <w:style w:type="character" w:styleId="FontStyle175" w:customStyle="1">
    <w:name w:val="Font Style175"/>
    <w:uiPriority w:val="99"/>
    <w:qFormat/>
    <w:rsid w:val="000b487d"/>
    <w:rPr>
      <w:rFonts w:ascii="Times New Roman" w:hAnsi="Times New Roman"/>
      <w:b/>
      <w:sz w:val="10"/>
    </w:rPr>
  </w:style>
  <w:style w:type="character" w:styleId="FontStyle176" w:customStyle="1">
    <w:name w:val="Font Style176"/>
    <w:uiPriority w:val="99"/>
    <w:qFormat/>
    <w:rsid w:val="000b487d"/>
    <w:rPr>
      <w:rFonts w:ascii="Consolas" w:hAnsi="Consolas"/>
      <w:b/>
      <w:sz w:val="72"/>
    </w:rPr>
  </w:style>
  <w:style w:type="character" w:styleId="FontStyle173" w:customStyle="1">
    <w:name w:val="Font Style173"/>
    <w:uiPriority w:val="99"/>
    <w:qFormat/>
    <w:rsid w:val="000b487d"/>
    <w:rPr>
      <w:rFonts w:ascii="Times New Roman" w:hAnsi="Times New Roman"/>
      <w:sz w:val="24"/>
    </w:rPr>
  </w:style>
  <w:style w:type="character" w:styleId="128" w:customStyle="1">
    <w:name w:val="Заголовок 1 (без№) Знак"/>
    <w:qFormat/>
    <w:locked/>
    <w:rsid w:val="000b487d"/>
    <w:rPr>
      <w:rFonts w:ascii="Arial" w:hAnsi="Arial" w:eastAsia="Times New Roman" w:cs="Times New Roman"/>
      <w:b/>
      <w:bCs/>
      <w:sz w:val="28"/>
      <w:szCs w:val="28"/>
      <w:lang w:eastAsia="ru-RU"/>
    </w:rPr>
  </w:style>
  <w:style w:type="character" w:styleId="Style62" w:customStyle="1">
    <w:name w:val="Привязка концевой сноски"/>
    <w:rsid w:val="000b487d"/>
    <w:rPr>
      <w:vertAlign w:val="superscript"/>
    </w:rPr>
  </w:style>
  <w:style w:type="character" w:styleId="EndnoteCharacters" w:customStyle="1">
    <w:name w:val="Endnote Characters"/>
    <w:uiPriority w:val="99"/>
    <w:semiHidden/>
    <w:unhideWhenUsed/>
    <w:qFormat/>
    <w:rsid w:val="000b487d"/>
    <w:rPr>
      <w:vertAlign w:val="superscript"/>
    </w:rPr>
  </w:style>
  <w:style w:type="character" w:styleId="Mark" w:customStyle="1">
    <w:name w:val="mark"/>
    <w:basedOn w:val="DefaultParagraphFont"/>
    <w:qFormat/>
    <w:rsid w:val="000b487d"/>
    <w:rPr/>
  </w:style>
  <w:style w:type="character" w:styleId="Blk" w:customStyle="1">
    <w:name w:val="blk"/>
    <w:qFormat/>
    <w:rsid w:val="000b487d"/>
    <w:rPr/>
  </w:style>
  <w:style w:type="character" w:styleId="611" w:customStyle="1">
    <w:name w:val="Заголовок 6 Знак1"/>
    <w:uiPriority w:val="9"/>
    <w:semiHidden/>
    <w:qFormat/>
    <w:rsid w:val="000b487d"/>
    <w:rPr>
      <w:rFonts w:ascii="Cambria" w:hAnsi="Cambria" w:eastAsia="Times New Roman" w:cs="Times New Roman"/>
      <w:i/>
      <w:iCs/>
      <w:color w:val="243F60"/>
      <w:sz w:val="26"/>
      <w:szCs w:val="22"/>
    </w:rPr>
  </w:style>
  <w:style w:type="character" w:styleId="Style63" w:customStyle="1">
    <w:name w:val="Абзац Знак"/>
    <w:uiPriority w:val="99"/>
    <w:qFormat/>
    <w:locked/>
    <w:rsid w:val="000b487d"/>
    <w:rPr>
      <w:rFonts w:ascii="Times New Roman" w:hAnsi="Times New Roman" w:eastAsia="Times New Roman"/>
      <w:sz w:val="24"/>
      <w:szCs w:val="24"/>
    </w:rPr>
  </w:style>
  <w:style w:type="character" w:styleId="SubtleReference">
    <w:name w:val="Subtle Reference"/>
    <w:uiPriority w:val="31"/>
    <w:qFormat/>
    <w:rsid w:val="000b487d"/>
    <w:rPr>
      <w:rFonts w:ascii="Times New Roman" w:hAnsi="Times New Roman" w:cs="Times New Roman"/>
      <w:strike w:val="false"/>
      <w:dstrike w:val="false"/>
      <w:color w:val="auto"/>
      <w:position w:val="0"/>
      <w:sz w:val="24"/>
      <w:sz w:val="24"/>
      <w:u w:val="none"/>
      <w:effect w:val="none"/>
      <w:vertAlign w:val="baseline"/>
    </w:rPr>
  </w:style>
  <w:style w:type="character" w:styleId="S1" w:customStyle="1">
    <w:name w:val="S_Обычный жирный Знак"/>
    <w:uiPriority w:val="99"/>
    <w:qFormat/>
    <w:rsid w:val="000b487d"/>
    <w:rPr>
      <w:rFonts w:ascii="Times New Roman" w:hAnsi="Times New Roman" w:eastAsia="Times New Roman" w:cs="Times New Roman"/>
      <w:sz w:val="28"/>
      <w:szCs w:val="24"/>
      <w:lang w:eastAsia="ru-RU"/>
    </w:rPr>
  </w:style>
  <w:style w:type="character" w:styleId="Searchresult" w:customStyle="1">
    <w:name w:val="search_result"/>
    <w:qFormat/>
    <w:rsid w:val="000b487d"/>
    <w:rPr/>
  </w:style>
  <w:style w:type="character" w:styleId="Style64" w:customStyle="1">
    <w:name w:val="АРисун Знак"/>
    <w:qFormat/>
    <w:rsid w:val="000b487d"/>
    <w:rPr>
      <w:rFonts w:ascii="Times New Roman" w:hAnsi="Times New Roman" w:eastAsia="Microsoft YaHei" w:cs="Times New Roman"/>
      <w:b/>
      <w:bCs/>
      <w:i/>
      <w:spacing w:val="-5"/>
      <w:sz w:val="24"/>
      <w:szCs w:val="24"/>
      <w:lang w:eastAsia="ru-RU"/>
    </w:rPr>
  </w:style>
  <w:style w:type="character" w:styleId="Nowrap" w:customStyle="1">
    <w:name w:val="nowrap"/>
    <w:qFormat/>
    <w:rsid w:val="000b487d"/>
    <w:rPr/>
  </w:style>
  <w:style w:type="character" w:styleId="ListParagraph1" w:customStyle="1">
    <w:name w:val="List Paragraph1 Знак"/>
    <w:link w:val="ListParagraph1"/>
    <w:qFormat/>
    <w:rsid w:val="000b487d"/>
    <w:rPr>
      <w:rFonts w:ascii="Calibri" w:hAnsi="Calibri" w:eastAsia="Times New Roman" w:cs="Times New Roman"/>
      <w:szCs w:val="24"/>
      <w:lang w:val="en-US" w:eastAsia="ru-RU"/>
    </w:rPr>
  </w:style>
  <w:style w:type="character" w:styleId="295pt1" w:customStyle="1">
    <w:name w:val="Основной текст (2) + 9;5 pt;Полужирный"/>
    <w:qFormat/>
    <w:rsid w:val="000b487d"/>
    <w:rPr>
      <w:rFonts w:ascii="Times New Roman" w:hAnsi="Times New Roman" w:eastAsia="Times New Roman" w:cs="Times New Roman"/>
      <w:b/>
      <w:bCs/>
      <w:i w:val="false"/>
      <w:iCs w:val="false"/>
      <w:caps w:val="false"/>
      <w:smallCaps w:val="false"/>
      <w:strike w:val="false"/>
      <w:dstrike w:val="false"/>
      <w:color w:val="000000"/>
      <w:spacing w:val="0"/>
      <w:w w:val="100"/>
      <w:sz w:val="19"/>
      <w:szCs w:val="19"/>
      <w:u w:val="none"/>
      <w:lang w:val="ru-RU" w:eastAsia="ru-RU" w:bidi="ru-RU"/>
    </w:rPr>
  </w:style>
  <w:style w:type="character" w:styleId="Style65" w:customStyle="1">
    <w:name w:val="Другое_"/>
    <w:basedOn w:val="DefaultParagraphFont"/>
    <w:uiPriority w:val="99"/>
    <w:qFormat/>
    <w:rsid w:val="000b487d"/>
    <w:rPr>
      <w:rFonts w:ascii="Times New Roman" w:hAnsi="Times New Roman" w:eastAsia="Times New Roman"/>
      <w:sz w:val="28"/>
      <w:szCs w:val="28"/>
      <w:shd w:fill="FFFFFF" w:val="clear"/>
    </w:rPr>
  </w:style>
  <w:style w:type="character" w:styleId="Style66" w:customStyle="1">
    <w:name w:val="Обычн Знак"/>
    <w:qFormat/>
    <w:rsid w:val="000b487d"/>
    <w:rPr>
      <w:rFonts w:ascii="Times New Roman" w:hAnsi="Times New Roman" w:eastAsia="Times New Roman" w:cs="Times New Roman"/>
      <w:sz w:val="24"/>
      <w:szCs w:val="36"/>
      <w:lang w:eastAsia="ru-RU"/>
    </w:rPr>
  </w:style>
  <w:style w:type="character" w:styleId="44" w:customStyle="1">
    <w:name w:val="Основной текст4"/>
    <w:basedOn w:val="DefaultParagraphFont"/>
    <w:qFormat/>
    <w:rsid w:val="000b487d"/>
    <w:rPr>
      <w:rFonts w:ascii="Tahoma" w:hAnsi="Tahoma" w:eastAsia="Tahoma" w:cs="Tahoma"/>
      <w:b w:val="false"/>
      <w:bCs w:val="false"/>
      <w:i w:val="false"/>
      <w:iCs w:val="false"/>
      <w:caps w:val="false"/>
      <w:smallCaps w:val="false"/>
      <w:strike w:val="false"/>
      <w:dstrike w:val="false"/>
      <w:color w:val="000000"/>
      <w:spacing w:val="0"/>
      <w:w w:val="100"/>
      <w:sz w:val="18"/>
      <w:szCs w:val="18"/>
      <w:u w:val="none"/>
      <w:lang w:val="ru-RU" w:eastAsia="ru-RU" w:bidi="ru-RU"/>
    </w:rPr>
  </w:style>
  <w:style w:type="character" w:styleId="83" w:customStyle="1">
    <w:name w:val="Основной текст8"/>
    <w:basedOn w:val="DefaultParagraphFont"/>
    <w:qFormat/>
    <w:rsid w:val="000b487d"/>
    <w:rPr>
      <w:rFonts w:ascii="Tahoma" w:hAnsi="Tahoma" w:eastAsia="Tahoma" w:cs="Tahoma"/>
      <w:b w:val="false"/>
      <w:bCs w:val="false"/>
      <w:i w:val="false"/>
      <w:iCs w:val="false"/>
      <w:caps w:val="false"/>
      <w:smallCaps w:val="false"/>
      <w:strike w:val="false"/>
      <w:dstrike w:val="false"/>
      <w:color w:val="000000"/>
      <w:spacing w:val="0"/>
      <w:w w:val="100"/>
      <w:sz w:val="18"/>
      <w:szCs w:val="18"/>
      <w:u w:val="none"/>
      <w:lang w:val="ru-RU" w:eastAsia="ru-RU" w:bidi="ru-RU"/>
    </w:rPr>
  </w:style>
  <w:style w:type="character" w:styleId="Style67" w:customStyle="1">
    <w:name w:val="Таблица_название_таблицы Знак"/>
    <w:qFormat/>
    <w:rsid w:val="000b487d"/>
    <w:rPr>
      <w:rFonts w:ascii="GOST Type BU" w:hAnsi="GOST Type BU" w:eastAsia="Times New Roman" w:cs="Times New Roman"/>
      <w:bCs/>
      <w:color w:val="000000"/>
      <w:sz w:val="28"/>
      <w:szCs w:val="24"/>
      <w:lang w:eastAsia="ru-RU"/>
    </w:rPr>
  </w:style>
  <w:style w:type="character" w:styleId="E" w:customStyle="1">
    <w:name w:val="Основной тeкст Знак"/>
    <w:basedOn w:val="DefaultParagraphFont"/>
    <w:qFormat/>
    <w:locked/>
    <w:rsid w:val="000b487d"/>
    <w:rPr>
      <w:rFonts w:ascii="Times New Roman" w:hAnsi="Times New Roman" w:eastAsia="Times New Roman" w:cs="Times New Roman"/>
      <w:sz w:val="24"/>
      <w:szCs w:val="24"/>
      <w:lang w:eastAsia="ru-RU"/>
    </w:rPr>
  </w:style>
  <w:style w:type="character" w:styleId="310" w:customStyle="1">
    <w:name w:val="Обычный 3 Знак"/>
    <w:basedOn w:val="DefaultParagraphFont"/>
    <w:qFormat/>
    <w:rsid w:val="000b487d"/>
    <w:rPr>
      <w:rFonts w:ascii="Times New Roman" w:hAnsi="Times New Roman" w:eastAsia="Times New Roman" w:cs="Times New Roman"/>
      <w:sz w:val="24"/>
      <w:szCs w:val="24"/>
      <w:lang w:eastAsia="ar-SA"/>
    </w:rPr>
  </w:style>
  <w:style w:type="character" w:styleId="S31" w:customStyle="1">
    <w:name w:val="S_Нумерованный_3.1 Знак Знак Знак Знак"/>
    <w:basedOn w:val="DefaultParagraphFont"/>
    <w:link w:val="S31"/>
    <w:qFormat/>
    <w:rsid w:val="000b487d"/>
    <w:rPr>
      <w:rFonts w:ascii="Times New Roman" w:hAnsi="Times New Roman" w:eastAsia="Times New Roman" w:cs="Times New Roman"/>
      <w:color w:val="000000"/>
      <w:sz w:val="24"/>
      <w:szCs w:val="24"/>
      <w:lang w:eastAsia="ar-SA"/>
    </w:rPr>
  </w:style>
  <w:style w:type="character" w:styleId="1110" w:customStyle="1">
    <w:name w:val="Основной шрифт абзаца11"/>
    <w:link w:val="1d"/>
    <w:qFormat/>
    <w:rsid w:val="000b487d"/>
    <w:rPr/>
  </w:style>
  <w:style w:type="character" w:styleId="Style68" w:customStyle="1">
    <w:name w:val="Обычный текст Знак"/>
    <w:basedOn w:val="DefaultParagraphFont"/>
    <w:qFormat/>
    <w:rsid w:val="000b487d"/>
    <w:rPr>
      <w:rFonts w:ascii="Times New Roman" w:hAnsi="Times New Roman" w:eastAsia="Times New Roman" w:cs="Times New Roman"/>
      <w:sz w:val="24"/>
      <w:szCs w:val="24"/>
      <w:lang w:val="en-US" w:eastAsia="ar-SA" w:bidi="en-US"/>
    </w:rPr>
  </w:style>
  <w:style w:type="character" w:styleId="2110" w:customStyle="1">
    <w:name w:val="Цитата 2 Знак1"/>
    <w:basedOn w:val="DefaultParagraphFont"/>
    <w:uiPriority w:val="29"/>
    <w:qFormat/>
    <w:rsid w:val="000b487d"/>
    <w:rPr>
      <w:rFonts w:ascii="Times New Roman" w:hAnsi="Times New Roman" w:eastAsia="Times New Roman" w:cs="Times New Roman"/>
      <w:i/>
      <w:iCs/>
      <w:color w:val="000000"/>
      <w:sz w:val="28"/>
      <w:szCs w:val="28"/>
      <w:lang w:eastAsia="ru-RU" w:bidi="ar-SA"/>
    </w:rPr>
  </w:style>
  <w:style w:type="character" w:styleId="1112" w:customStyle="1">
    <w:name w:val="Заголовок 1 Знак1"/>
    <w:basedOn w:val="DefaultParagraphFont"/>
    <w:uiPriority w:val="9"/>
    <w:qFormat/>
    <w:rsid w:val="00115b42"/>
    <w:rPr>
      <w:rFonts w:ascii="Calibri Light" w:hAnsi="Calibri Light" w:eastAsia="" w:cs="" w:asciiTheme="majorHAnsi" w:cstheme="majorBidi" w:eastAsiaTheme="majorEastAsia" w:hAnsiTheme="majorHAnsi"/>
      <w:b/>
      <w:bCs/>
      <w:color w:val="2E74B5" w:themeColor="accent1" w:themeShade="bf"/>
      <w:sz w:val="28"/>
      <w:szCs w:val="28"/>
      <w:lang w:bidi="ar-SA"/>
    </w:rPr>
  </w:style>
  <w:style w:type="character" w:styleId="242" w:customStyle="1">
    <w:name w:val="Заголовок 2 Знак4"/>
    <w:basedOn w:val="DefaultParagraphFont"/>
    <w:uiPriority w:val="9"/>
    <w:semiHidden/>
    <w:qFormat/>
    <w:rsid w:val="00115b42"/>
    <w:rPr>
      <w:rFonts w:ascii="Calibri Light" w:hAnsi="Calibri Light" w:eastAsia="" w:cs="" w:asciiTheme="majorHAnsi" w:cstheme="majorBidi" w:eastAsiaTheme="majorEastAsia" w:hAnsiTheme="majorHAnsi"/>
      <w:b/>
      <w:bCs/>
      <w:color w:val="5B9BD5" w:themeColor="accent1"/>
      <w:sz w:val="26"/>
      <w:szCs w:val="26"/>
      <w:lang w:bidi="ar-SA"/>
    </w:rPr>
  </w:style>
  <w:style w:type="character" w:styleId="Style69" w:customStyle="1">
    <w:name w:val="Обычный (веб) Знак"/>
    <w:link w:val="affffe"/>
    <w:uiPriority w:val="99"/>
    <w:qFormat/>
    <w:locked/>
    <w:rsid w:val="006c5afd"/>
    <w:rPr>
      <w:rFonts w:ascii="Times New Roman" w:hAnsi="Times New Roman" w:eastAsia="Times New Roman" w:cs="Times New Roman"/>
      <w:sz w:val="24"/>
      <w:lang w:bidi="ar-SA"/>
    </w:rPr>
  </w:style>
  <w:style w:type="character" w:styleId="323" w:customStyle="1">
    <w:name w:val="Заголовок 3 Знак2"/>
    <w:basedOn w:val="DefaultParagraphFont"/>
    <w:link w:val="3"/>
    <w:uiPriority w:val="1"/>
    <w:qFormat/>
    <w:rsid w:val="0013426d"/>
    <w:rPr>
      <w:rFonts w:ascii="Calibri Light" w:hAnsi="Calibri Light" w:eastAsia="" w:cs="" w:asciiTheme="majorHAnsi" w:cstheme="majorBidi" w:eastAsiaTheme="majorEastAsia" w:hAnsiTheme="majorHAnsi"/>
      <w:b/>
      <w:bCs/>
      <w:color w:val="5B9BD5" w:themeColor="accent1"/>
      <w:sz w:val="24"/>
      <w:lang w:bidi="ar-SA"/>
    </w:rPr>
  </w:style>
  <w:style w:type="paragraph" w:styleId="Style70" w:customStyle="1">
    <w:name w:val="Заголовок"/>
    <w:basedOn w:val="Normal"/>
    <w:next w:val="Style71"/>
    <w:uiPriority w:val="99"/>
    <w:qFormat/>
    <w:rsid w:val="00f61309"/>
    <w:pPr>
      <w:keepNext w:val="true"/>
      <w:spacing w:before="240" w:after="120"/>
    </w:pPr>
    <w:rPr>
      <w:rFonts w:ascii="PT Astra Serif" w:hAnsi="PT Astra Serif" w:eastAsia="Tahoma" w:cs="Noto Sans Devanagari"/>
      <w:sz w:val="28"/>
      <w:szCs w:val="28"/>
    </w:rPr>
  </w:style>
  <w:style w:type="paragraph" w:styleId="Style71">
    <w:name w:val="Body Text"/>
    <w:basedOn w:val="Normal"/>
    <w:uiPriority w:val="1"/>
    <w:qFormat/>
    <w:rsid w:val="00f61309"/>
    <w:pPr>
      <w:spacing w:lineRule="auto" w:line="276" w:before="0" w:after="140"/>
    </w:pPr>
    <w:rPr/>
  </w:style>
  <w:style w:type="paragraph" w:styleId="Style72">
    <w:name w:val="List"/>
    <w:basedOn w:val="Style71"/>
    <w:rsid w:val="00f61309"/>
    <w:pPr/>
    <w:rPr>
      <w:rFonts w:ascii="PT Astra Serif" w:hAnsi="PT Astra Serif" w:cs="Noto Sans Devanagari"/>
    </w:rPr>
  </w:style>
  <w:style w:type="paragraph" w:styleId="Style73">
    <w:name w:val="Caption"/>
    <w:basedOn w:val="Normal"/>
    <w:qFormat/>
    <w:pPr>
      <w:suppressLineNumbers/>
      <w:spacing w:before="120" w:after="120"/>
    </w:pPr>
    <w:rPr>
      <w:rFonts w:ascii="PT Astra Serif" w:hAnsi="PT Astra Serif" w:cs="Noto Sans Devanagari"/>
      <w:i/>
      <w:iCs/>
      <w:sz w:val="24"/>
      <w:szCs w:val="24"/>
    </w:rPr>
  </w:style>
  <w:style w:type="paragraph" w:styleId="Style74">
    <w:name w:val="Указатель"/>
    <w:basedOn w:val="Normal"/>
    <w:qFormat/>
    <w:pPr>
      <w:suppressLineNumbers/>
    </w:pPr>
    <w:rPr>
      <w:rFonts w:ascii="PT Astra Serif" w:hAnsi="PT Astra Serif" w:cs="Noto Sans Devanagari"/>
    </w:rPr>
  </w:style>
  <w:style w:type="paragraph" w:styleId="1113" w:customStyle="1">
    <w:name w:val="Заголовок 11"/>
    <w:basedOn w:val="Normal"/>
    <w:next w:val="Normal"/>
    <w:uiPriority w:val="9"/>
    <w:qFormat/>
    <w:rsid w:val="00f61309"/>
    <w:pPr>
      <w:keepNext w:val="true"/>
      <w:jc w:val="center"/>
      <w:outlineLvl w:val="0"/>
    </w:pPr>
    <w:rPr>
      <w:rFonts w:eastAsia="Arial Unicode MS"/>
      <w:spacing w:val="40"/>
      <w:sz w:val="28"/>
      <w:szCs w:val="20"/>
    </w:rPr>
  </w:style>
  <w:style w:type="paragraph" w:styleId="2111" w:customStyle="1">
    <w:name w:val="Заголовок 21"/>
    <w:basedOn w:val="Normal"/>
    <w:next w:val="Normal"/>
    <w:link w:val="201"/>
    <w:unhideWhenUsed/>
    <w:qFormat/>
    <w:rsid w:val="00144a5a"/>
    <w:pPr>
      <w:keepNext w:val="true"/>
      <w:keepLines/>
      <w:spacing w:before="240" w:after="0"/>
      <w:ind w:firstLine="709"/>
      <w:jc w:val="both"/>
      <w:outlineLvl w:val="1"/>
    </w:pPr>
    <w:rPr>
      <w:rFonts w:eastAsia="" w:cs="" w:cstheme="majorBidi" w:eastAsiaTheme="majorEastAsia"/>
      <w:b/>
      <w:color w:val="000000" w:themeColor="text1"/>
      <w:szCs w:val="26"/>
      <w:lang w:eastAsia="en-US"/>
    </w:rPr>
  </w:style>
  <w:style w:type="paragraph" w:styleId="314" w:customStyle="1">
    <w:name w:val="Заголовок 31"/>
    <w:basedOn w:val="Normal"/>
    <w:next w:val="Normal"/>
    <w:uiPriority w:val="1"/>
    <w:unhideWhenUsed/>
    <w:qFormat/>
    <w:rsid w:val="000b487d"/>
    <w:pPr>
      <w:keepNext w:val="true"/>
      <w:keepLines/>
      <w:spacing w:before="40" w:after="0"/>
      <w:ind w:firstLine="709"/>
      <w:jc w:val="both"/>
      <w:outlineLvl w:val="2"/>
    </w:pPr>
    <w:rPr>
      <w:rFonts w:eastAsia="Calibri Light" w:cs="Calibri Light"/>
      <w:i/>
      <w:color w:val="000000"/>
      <w:lang w:eastAsia="en-US"/>
    </w:rPr>
  </w:style>
  <w:style w:type="paragraph" w:styleId="412" w:customStyle="1">
    <w:name w:val="Заголовок 41"/>
    <w:basedOn w:val="Normal"/>
    <w:next w:val="Normal"/>
    <w:unhideWhenUsed/>
    <w:qFormat/>
    <w:rsid w:val="000b487d"/>
    <w:pPr>
      <w:keepNext w:val="true"/>
      <w:keepLines/>
      <w:spacing w:before="40" w:after="0"/>
      <w:ind w:firstLine="709"/>
      <w:jc w:val="both"/>
      <w:outlineLvl w:val="3"/>
    </w:pPr>
    <w:rPr>
      <w:rFonts w:ascii="Calibri Light" w:hAnsi="Calibri Light" w:eastAsia="Calibri Light" w:cs="Calibri Light"/>
      <w:i/>
      <w:iCs/>
      <w:color w:val="2E74B5"/>
      <w:szCs w:val="22"/>
      <w:lang w:eastAsia="en-US"/>
    </w:rPr>
  </w:style>
  <w:style w:type="paragraph" w:styleId="511" w:customStyle="1">
    <w:name w:val="Заголовок 51"/>
    <w:basedOn w:val="Normal"/>
    <w:next w:val="Normal"/>
    <w:uiPriority w:val="1"/>
    <w:qFormat/>
    <w:rsid w:val="000b487d"/>
    <w:pPr>
      <w:tabs>
        <w:tab w:val="clear" w:pos="408"/>
        <w:tab w:val="left" w:pos="1008" w:leader="none"/>
      </w:tabs>
      <w:spacing w:before="240" w:after="60"/>
      <w:ind w:left="1008" w:hanging="1008"/>
      <w:jc w:val="both"/>
      <w:outlineLvl w:val="4"/>
    </w:pPr>
    <w:rPr>
      <w:b/>
      <w:bCs/>
      <w:iCs/>
      <w:sz w:val="26"/>
      <w:szCs w:val="26"/>
      <w:lang w:eastAsia="ru-RU"/>
    </w:rPr>
  </w:style>
  <w:style w:type="paragraph" w:styleId="612" w:customStyle="1">
    <w:name w:val="Заголовок 61"/>
    <w:basedOn w:val="Normal"/>
    <w:next w:val="Normal"/>
    <w:link w:val="6"/>
    <w:uiPriority w:val="1"/>
    <w:qFormat/>
    <w:rsid w:val="000b487d"/>
    <w:pPr>
      <w:tabs>
        <w:tab w:val="clear" w:pos="408"/>
        <w:tab w:val="left" w:pos="1152" w:leader="none"/>
      </w:tabs>
      <w:spacing w:lineRule="auto" w:line="360" w:before="60" w:after="60"/>
      <w:ind w:left="1152" w:hanging="1152"/>
      <w:jc w:val="both"/>
      <w:outlineLvl w:val="5"/>
    </w:pPr>
    <w:rPr>
      <w:b/>
      <w:bCs/>
      <w:i/>
      <w:sz w:val="20"/>
      <w:lang w:eastAsia="ru-RU"/>
    </w:rPr>
  </w:style>
  <w:style w:type="paragraph" w:styleId="712" w:customStyle="1">
    <w:name w:val="Заголовок 71"/>
    <w:basedOn w:val="Normal"/>
    <w:next w:val="Normal"/>
    <w:semiHidden/>
    <w:unhideWhenUsed/>
    <w:qFormat/>
    <w:rsid w:val="000b487d"/>
    <w:pPr>
      <w:keepNext w:val="true"/>
      <w:keepLines/>
      <w:spacing w:lineRule="auto" w:line="360" w:before="200" w:after="0"/>
      <w:ind w:firstLine="709"/>
      <w:jc w:val="both"/>
      <w:outlineLvl w:val="6"/>
    </w:pPr>
    <w:rPr>
      <w:rFonts w:ascii="Calibri Light" w:hAnsi="Calibri Light"/>
      <w:i/>
      <w:iCs/>
      <w:color w:val="404040"/>
      <w:lang w:eastAsia="ru-RU"/>
    </w:rPr>
  </w:style>
  <w:style w:type="paragraph" w:styleId="812" w:customStyle="1">
    <w:name w:val="Заголовок 81"/>
    <w:basedOn w:val="Normal"/>
    <w:next w:val="Normal"/>
    <w:unhideWhenUsed/>
    <w:qFormat/>
    <w:rsid w:val="000b487d"/>
    <w:pPr>
      <w:keepNext w:val="true"/>
      <w:keepLines/>
      <w:spacing w:before="40" w:after="0"/>
      <w:ind w:firstLine="709"/>
      <w:jc w:val="both"/>
      <w:outlineLvl w:val="7"/>
    </w:pPr>
    <w:rPr>
      <w:rFonts w:ascii="Calibri Light" w:hAnsi="Calibri Light" w:eastAsia="Calibri Light" w:cs="Calibri Light"/>
      <w:color w:val="272727"/>
      <w:sz w:val="21"/>
      <w:szCs w:val="21"/>
      <w:lang w:eastAsia="en-US"/>
    </w:rPr>
  </w:style>
  <w:style w:type="paragraph" w:styleId="911" w:customStyle="1">
    <w:name w:val="Заголовок 91"/>
    <w:basedOn w:val="Normal"/>
    <w:next w:val="Normal"/>
    <w:semiHidden/>
    <w:unhideWhenUsed/>
    <w:qFormat/>
    <w:rsid w:val="000b487d"/>
    <w:pPr>
      <w:keepNext w:val="true"/>
      <w:keepLines/>
      <w:spacing w:lineRule="auto" w:line="360" w:before="200" w:after="0"/>
      <w:ind w:firstLine="709"/>
      <w:jc w:val="both"/>
      <w:outlineLvl w:val="8"/>
    </w:pPr>
    <w:rPr>
      <w:rFonts w:ascii="Calibri Light" w:hAnsi="Calibri Light"/>
      <w:i/>
      <w:iCs/>
      <w:color w:val="404040"/>
      <w:sz w:val="20"/>
      <w:szCs w:val="20"/>
      <w:lang w:eastAsia="ru-RU"/>
    </w:rPr>
  </w:style>
  <w:style w:type="paragraph" w:styleId="129" w:customStyle="1">
    <w:name w:val="Название объекта1"/>
    <w:basedOn w:val="Normal"/>
    <w:next w:val="Normal"/>
    <w:uiPriority w:val="35"/>
    <w:unhideWhenUsed/>
    <w:qFormat/>
    <w:rsid w:val="000b487d"/>
    <w:pPr>
      <w:spacing w:before="0" w:after="200"/>
    </w:pPr>
    <w:rPr>
      <w:b/>
      <w:bCs/>
      <w:color w:val="4F81BD"/>
      <w:sz w:val="18"/>
      <w:szCs w:val="18"/>
      <w:lang w:eastAsia="ru-RU"/>
    </w:rPr>
  </w:style>
  <w:style w:type="paragraph" w:styleId="Indexheading">
    <w:name w:val="index heading"/>
    <w:basedOn w:val="Normal"/>
    <w:qFormat/>
    <w:rsid w:val="00f61309"/>
    <w:pPr>
      <w:suppressLineNumbers/>
    </w:pPr>
    <w:rPr>
      <w:rFonts w:ascii="PT Astra Serif" w:hAnsi="PT Astra Serif" w:cs="Noto Sans Devanagari"/>
    </w:rPr>
  </w:style>
  <w:style w:type="paragraph" w:styleId="Caption">
    <w:name w:val="caption"/>
    <w:basedOn w:val="Normal"/>
    <w:qFormat/>
    <w:rsid w:val="00f61309"/>
    <w:pPr>
      <w:suppressLineNumbers/>
      <w:spacing w:before="120" w:after="120"/>
    </w:pPr>
    <w:rPr>
      <w:rFonts w:ascii="PT Astra Serif" w:hAnsi="PT Astra Serif" w:cs="Noto Sans Devanagari"/>
      <w:i/>
      <w:iCs/>
    </w:rPr>
  </w:style>
  <w:style w:type="paragraph" w:styleId="Style75" w:customStyle="1">
    <w:name w:val="Верхний и нижний колонтитулы"/>
    <w:basedOn w:val="Normal"/>
    <w:qFormat/>
    <w:rsid w:val="00f61309"/>
    <w:pPr>
      <w:suppressLineNumbers/>
      <w:tabs>
        <w:tab w:val="clear" w:pos="408"/>
        <w:tab w:val="center" w:pos="4819" w:leader="none"/>
        <w:tab w:val="right" w:pos="9638" w:leader="none"/>
      </w:tabs>
    </w:pPr>
    <w:rPr/>
  </w:style>
  <w:style w:type="paragraph" w:styleId="130" w:customStyle="1">
    <w:name w:val="Нижний колонтитул1"/>
    <w:basedOn w:val="Normal"/>
    <w:uiPriority w:val="99"/>
    <w:qFormat/>
    <w:rsid w:val="000b487d"/>
    <w:pPr>
      <w:tabs>
        <w:tab w:val="clear" w:pos="408"/>
        <w:tab w:val="center" w:pos="4677" w:leader="none"/>
        <w:tab w:val="right" w:pos="9355" w:leader="none"/>
      </w:tabs>
    </w:pPr>
    <w:rPr>
      <w:rFonts w:ascii="Calibri" w:hAnsi="Calibri"/>
      <w:sz w:val="22"/>
      <w:lang w:eastAsia="ru-RU"/>
    </w:rPr>
  </w:style>
  <w:style w:type="paragraph" w:styleId="132" w:customStyle="1">
    <w:name w:val="Верхний колонтитул1"/>
    <w:basedOn w:val="Normal"/>
    <w:uiPriority w:val="99"/>
    <w:qFormat/>
    <w:rsid w:val="00f61309"/>
    <w:pPr>
      <w:tabs>
        <w:tab w:val="clear" w:pos="408"/>
        <w:tab w:val="center" w:pos="4677" w:leader="none"/>
        <w:tab w:val="right" w:pos="9355" w:leader="none"/>
      </w:tabs>
    </w:pPr>
    <w:rPr/>
  </w:style>
  <w:style w:type="paragraph" w:styleId="BodyTextIndent2">
    <w:name w:val="Body Text Indent 2"/>
    <w:basedOn w:val="Normal"/>
    <w:uiPriority w:val="99"/>
    <w:qFormat/>
    <w:rsid w:val="00f61309"/>
    <w:pPr>
      <w:tabs>
        <w:tab w:val="clear" w:pos="408"/>
        <w:tab w:val="right" w:pos="9923" w:leader="none"/>
      </w:tabs>
      <w:ind w:firstLine="567"/>
      <w:jc w:val="both"/>
    </w:pPr>
    <w:rPr/>
  </w:style>
  <w:style w:type="paragraph" w:styleId="ListParagraph">
    <w:name w:val="List Paragraph"/>
    <w:basedOn w:val="Normal"/>
    <w:uiPriority w:val="34"/>
    <w:qFormat/>
    <w:rsid w:val="00f61309"/>
    <w:pPr>
      <w:spacing w:lineRule="auto" w:line="276" w:before="0" w:after="200"/>
      <w:ind w:left="720" w:hanging="0"/>
    </w:pPr>
    <w:rPr>
      <w:rFonts w:ascii="Calibri" w:hAnsi="Calibri" w:cs="Calibri"/>
      <w:sz w:val="22"/>
      <w:szCs w:val="22"/>
    </w:rPr>
  </w:style>
  <w:style w:type="paragraph" w:styleId="ConsPlusTitle" w:customStyle="1">
    <w:name w:val="ConsPlusTitle"/>
    <w:qFormat/>
    <w:rsid w:val="00f61309"/>
    <w:pPr>
      <w:widowControl w:val="false"/>
      <w:suppressAutoHyphens w:val="true"/>
      <w:bidi w:val="0"/>
      <w:spacing w:before="0" w:after="0"/>
      <w:jc w:val="left"/>
    </w:pPr>
    <w:rPr>
      <w:rFonts w:ascii="Times New Roman" w:hAnsi="Times New Roman" w:eastAsia="Times New Roman" w:cs="Times New Roman"/>
      <w:b/>
      <w:bCs/>
      <w:color w:val="auto"/>
      <w:kern w:val="0"/>
      <w:sz w:val="24"/>
      <w:szCs w:val="24"/>
      <w:lang w:val="ru-RU" w:eastAsia="zh-CN" w:bidi="ar-SA"/>
    </w:rPr>
  </w:style>
  <w:style w:type="paragraph" w:styleId="BalloonText">
    <w:name w:val="Balloon Text"/>
    <w:basedOn w:val="Normal"/>
    <w:uiPriority w:val="99"/>
    <w:qFormat/>
    <w:rsid w:val="00f61309"/>
    <w:pPr/>
    <w:rPr>
      <w:rFonts w:ascii="Tahoma" w:hAnsi="Tahoma" w:cs="Tahoma"/>
      <w:sz w:val="16"/>
      <w:szCs w:val="16"/>
    </w:rPr>
  </w:style>
  <w:style w:type="paragraph" w:styleId="ConsPlusNonformat" w:customStyle="1">
    <w:name w:val="ConsPlusNonformat"/>
    <w:uiPriority w:val="99"/>
    <w:qFormat/>
    <w:rsid w:val="00f61309"/>
    <w:pPr>
      <w:widowControl w:val="false"/>
      <w:suppressAutoHyphens w:val="true"/>
      <w:bidi w:val="0"/>
      <w:spacing w:before="0" w:after="0"/>
      <w:jc w:val="left"/>
    </w:pPr>
    <w:rPr>
      <w:rFonts w:ascii="Courier New" w:hAnsi="Courier New" w:eastAsia="Times New Roman" w:cs="Courier New"/>
      <w:color w:val="auto"/>
      <w:kern w:val="0"/>
      <w:sz w:val="24"/>
      <w:szCs w:val="20"/>
      <w:lang w:val="ru-RU" w:eastAsia="zh-CN" w:bidi="ar-SA"/>
    </w:rPr>
  </w:style>
  <w:style w:type="paragraph" w:styleId="Style76" w:customStyle="1">
    <w:name w:val="Нормальный (таблица)"/>
    <w:basedOn w:val="Normal"/>
    <w:next w:val="Normal"/>
    <w:uiPriority w:val="99"/>
    <w:qFormat/>
    <w:rsid w:val="00f61309"/>
    <w:pPr>
      <w:widowControl w:val="false"/>
      <w:jc w:val="both"/>
    </w:pPr>
    <w:rPr>
      <w:rFonts w:ascii="Arial" w:hAnsi="Arial" w:cs="Arial"/>
    </w:rPr>
  </w:style>
  <w:style w:type="paragraph" w:styleId="Style77" w:customStyle="1">
    <w:name w:val="Прижатый влево"/>
    <w:basedOn w:val="Normal"/>
    <w:next w:val="Normal"/>
    <w:uiPriority w:val="99"/>
    <w:qFormat/>
    <w:rsid w:val="00f61309"/>
    <w:pPr>
      <w:widowControl w:val="false"/>
    </w:pPr>
    <w:rPr>
      <w:rFonts w:ascii="Arial" w:hAnsi="Arial" w:cs="Arial"/>
    </w:rPr>
  </w:style>
  <w:style w:type="paragraph" w:styleId="2112" w:customStyle="1">
    <w:name w:val="Основной текст 21"/>
    <w:basedOn w:val="Normal"/>
    <w:qFormat/>
    <w:rsid w:val="00f61309"/>
    <w:pPr/>
    <w:rPr>
      <w:sz w:val="28"/>
      <w:szCs w:val="20"/>
    </w:rPr>
  </w:style>
  <w:style w:type="paragraph" w:styleId="NormalWeb">
    <w:name w:val="Normal (Web)"/>
    <w:basedOn w:val="Normal"/>
    <w:link w:val="afffff"/>
    <w:qFormat/>
    <w:rsid w:val="00f61309"/>
    <w:pPr>
      <w:spacing w:before="100" w:after="100"/>
    </w:pPr>
    <w:rPr/>
  </w:style>
  <w:style w:type="paragraph" w:styleId="Style78" w:customStyle="1">
    <w:name w:val="Содержимое таблицы"/>
    <w:basedOn w:val="Normal"/>
    <w:qFormat/>
    <w:rsid w:val="00f61309"/>
    <w:pPr>
      <w:suppressLineNumbers/>
    </w:pPr>
    <w:rPr/>
  </w:style>
  <w:style w:type="paragraph" w:styleId="Style79" w:customStyle="1">
    <w:name w:val="Заголовок таблицы"/>
    <w:basedOn w:val="Style78"/>
    <w:qFormat/>
    <w:rsid w:val="00f61309"/>
    <w:pPr>
      <w:jc w:val="center"/>
    </w:pPr>
    <w:rPr>
      <w:b/>
      <w:bCs/>
    </w:rPr>
  </w:style>
  <w:style w:type="paragraph" w:styleId="133" w:customStyle="1">
    <w:name w:val="Название1"/>
    <w:basedOn w:val="Normal"/>
    <w:next w:val="Normal"/>
    <w:uiPriority w:val="10"/>
    <w:qFormat/>
    <w:rsid w:val="000b487d"/>
    <w:pPr>
      <w:spacing w:before="0" w:after="0"/>
      <w:ind w:firstLine="709"/>
      <w:contextualSpacing/>
      <w:jc w:val="both"/>
    </w:pPr>
    <w:rPr>
      <w:rFonts w:eastAsia="Calibri Light" w:cs="Calibri Light"/>
      <w:color w:val="000000"/>
      <w:spacing w:val="-10"/>
      <w:kern w:val="2"/>
      <w:sz w:val="28"/>
      <w:szCs w:val="56"/>
      <w:lang w:eastAsia="en-US"/>
    </w:rPr>
  </w:style>
  <w:style w:type="paragraph" w:styleId="Style80" w:customStyle="1">
    <w:name w:val="ЗЕЛЕНЫЙ ТЕКСТ"/>
    <w:basedOn w:val="Normal"/>
    <w:qFormat/>
    <w:rsid w:val="000b487d"/>
    <w:pPr>
      <w:spacing w:lineRule="auto" w:line="360"/>
      <w:ind w:firstLine="709"/>
      <w:jc w:val="both"/>
    </w:pPr>
    <w:rPr>
      <w:rFonts w:cs="Arial"/>
      <w:lang w:eastAsia="ru-RU"/>
    </w:rPr>
  </w:style>
  <w:style w:type="paragraph" w:styleId="228" w:customStyle="1">
    <w:name w:val="Основной текст (2)"/>
    <w:basedOn w:val="Normal"/>
    <w:qFormat/>
    <w:rsid w:val="000b487d"/>
    <w:pPr>
      <w:widowControl w:val="false"/>
      <w:shd w:val="clear" w:color="auto" w:fill="FFFFFF"/>
      <w:spacing w:lineRule="exact" w:line="298" w:before="420" w:after="0"/>
      <w:ind w:firstLine="709"/>
      <w:jc w:val="both"/>
    </w:pPr>
    <w:rPr>
      <w:sz w:val="26"/>
      <w:szCs w:val="26"/>
      <w:lang w:eastAsia="en-US"/>
    </w:rPr>
  </w:style>
  <w:style w:type="paragraph" w:styleId="Default" w:customStyle="1">
    <w:name w:val="Default"/>
    <w:uiPriority w:val="99"/>
    <w:qFormat/>
    <w:rsid w:val="000b487d"/>
    <w:pPr>
      <w:widowControl/>
      <w:suppressAutoHyphens w:val="true"/>
      <w:bidi w:val="0"/>
      <w:spacing w:before="0" w:after="0"/>
      <w:jc w:val="left"/>
    </w:pPr>
    <w:rPr>
      <w:rFonts w:ascii="Arial" w:hAnsi="Arial" w:eastAsia="Calibri" w:cs="Arial"/>
      <w:color w:val="000000"/>
      <w:kern w:val="0"/>
      <w:sz w:val="24"/>
      <w:szCs w:val="24"/>
      <w:lang w:val="ru-RU" w:eastAsia="en-US" w:bidi="ar-SA"/>
    </w:rPr>
  </w:style>
  <w:style w:type="paragraph" w:styleId="ConsPlusNormal" w:customStyle="1">
    <w:name w:val="ConsPlusNormal"/>
    <w:qFormat/>
    <w:rsid w:val="000b487d"/>
    <w:pPr>
      <w:widowControl w:val="false"/>
      <w:tabs>
        <w:tab w:val="clear" w:pos="408"/>
        <w:tab w:val="left" w:pos="1440" w:leader="none"/>
      </w:tabs>
      <w:suppressAutoHyphens w:val="true"/>
      <w:bidi w:val="0"/>
      <w:spacing w:before="0" w:after="0"/>
      <w:ind w:left="720" w:hanging="720"/>
      <w:jc w:val="left"/>
    </w:pPr>
    <w:rPr>
      <w:rFonts w:ascii="Arial" w:hAnsi="Arial" w:eastAsia="Times New Roman" w:cs="Arial"/>
      <w:color w:val="auto"/>
      <w:kern w:val="0"/>
      <w:sz w:val="24"/>
      <w:szCs w:val="20"/>
      <w:lang w:val="ru-RU" w:eastAsia="ru-RU" w:bidi="ar-SA"/>
    </w:rPr>
  </w:style>
  <w:style w:type="paragraph" w:styleId="TOCHeading">
    <w:name w:val="TOC Heading"/>
    <w:basedOn w:val="1113"/>
    <w:next w:val="Normal"/>
    <w:uiPriority w:val="39"/>
    <w:unhideWhenUsed/>
    <w:qFormat/>
    <w:rsid w:val="000b487d"/>
    <w:pPr>
      <w:keepLines/>
      <w:spacing w:lineRule="auto" w:line="276" w:before="120" w:after="120"/>
      <w:ind w:firstLine="709"/>
    </w:pPr>
    <w:rPr>
      <w:rFonts w:eastAsia="Calibri Light" w:cs="Calibri Light"/>
      <w:b/>
      <w:bCs/>
      <w:color w:val="365F91"/>
      <w:spacing w:val="0"/>
      <w:szCs w:val="28"/>
      <w:lang w:eastAsia="en-US"/>
    </w:rPr>
  </w:style>
  <w:style w:type="paragraph" w:styleId="1114" w:customStyle="1">
    <w:name w:val="Оглавление 11"/>
    <w:basedOn w:val="Normal"/>
    <w:next w:val="Normal"/>
    <w:autoRedefine/>
    <w:uiPriority w:val="39"/>
    <w:unhideWhenUsed/>
    <w:qFormat/>
    <w:rsid w:val="000b487d"/>
    <w:pPr>
      <w:spacing w:lineRule="auto" w:line="276" w:before="0" w:after="100"/>
      <w:ind w:firstLine="709"/>
      <w:jc w:val="both"/>
    </w:pPr>
    <w:rPr>
      <w:rFonts w:cs="Calibri"/>
      <w:szCs w:val="22"/>
      <w:lang w:eastAsia="ru-RU"/>
    </w:rPr>
  </w:style>
  <w:style w:type="paragraph" w:styleId="2113" w:customStyle="1">
    <w:name w:val="Оглавление 21"/>
    <w:basedOn w:val="Normal"/>
    <w:next w:val="Normal"/>
    <w:autoRedefine/>
    <w:uiPriority w:val="39"/>
    <w:unhideWhenUsed/>
    <w:qFormat/>
    <w:rsid w:val="000b487d"/>
    <w:pPr>
      <w:widowControl w:val="false"/>
      <w:tabs>
        <w:tab w:val="clear" w:pos="408"/>
        <w:tab w:val="left" w:pos="567" w:leader="none"/>
        <w:tab w:val="right" w:pos="9356" w:leader="dot"/>
      </w:tabs>
      <w:spacing w:lineRule="auto" w:line="276" w:before="120" w:after="120"/>
      <w:ind w:firstLine="709"/>
      <w:jc w:val="both"/>
    </w:pPr>
    <w:rPr>
      <w:rFonts w:eastAsia="Calibri"/>
      <w:szCs w:val="22"/>
      <w:lang w:val="en-US" w:eastAsia="en-US"/>
    </w:rPr>
  </w:style>
  <w:style w:type="paragraph" w:styleId="Menubasetext1" w:customStyle="1">
    <w:name w:val="menu_base_text1"/>
    <w:basedOn w:val="Normal"/>
    <w:qFormat/>
    <w:rsid w:val="000b487d"/>
    <w:pPr>
      <w:pBdr>
        <w:bottom w:val="single" w:sz="6" w:space="7" w:color="D7DBDF"/>
        <w:right w:val="single" w:sz="6" w:space="14" w:color="D7DBDF"/>
      </w:pBdr>
      <w:spacing w:beforeAutospacing="1" w:afterAutospacing="1"/>
      <w:ind w:firstLine="709"/>
      <w:jc w:val="both"/>
    </w:pPr>
    <w:rPr>
      <w:sz w:val="18"/>
      <w:szCs w:val="18"/>
      <w:lang w:eastAsia="ru-RU"/>
    </w:rPr>
  </w:style>
  <w:style w:type="paragraph" w:styleId="S13" w:customStyle="1">
    <w:name w:val="s_13"/>
    <w:basedOn w:val="Normal"/>
    <w:qFormat/>
    <w:rsid w:val="000b487d"/>
    <w:pPr>
      <w:ind w:firstLine="720"/>
      <w:jc w:val="both"/>
    </w:pPr>
    <w:rPr>
      <w:sz w:val="18"/>
      <w:szCs w:val="18"/>
      <w:lang w:eastAsia="ru-RU"/>
    </w:rPr>
  </w:style>
  <w:style w:type="paragraph" w:styleId="Style81">
    <w:name w:val="Body Text Indent"/>
    <w:basedOn w:val="Normal"/>
    <w:uiPriority w:val="99"/>
    <w:unhideWhenUsed/>
    <w:rsid w:val="000b487d"/>
    <w:pPr>
      <w:widowControl w:val="false"/>
      <w:spacing w:before="0" w:after="120"/>
      <w:ind w:left="283" w:firstLine="709"/>
      <w:jc w:val="both"/>
    </w:pPr>
    <w:rPr>
      <w:rFonts w:ascii="Calibri" w:hAnsi="Calibri" w:eastAsia="Calibri"/>
      <w:lang w:val="en-US" w:eastAsia="en-US"/>
    </w:rPr>
  </w:style>
  <w:style w:type="paragraph" w:styleId="Font5" w:customStyle="1">
    <w:name w:val="font5"/>
    <w:basedOn w:val="Normal"/>
    <w:uiPriority w:val="99"/>
    <w:qFormat/>
    <w:rsid w:val="000b487d"/>
    <w:pPr>
      <w:spacing w:beforeAutospacing="1" w:afterAutospacing="1"/>
      <w:ind w:firstLine="709"/>
      <w:jc w:val="both"/>
    </w:pPr>
    <w:rPr>
      <w:rFonts w:ascii="Tahoma" w:hAnsi="Tahoma" w:cs="Tahoma"/>
      <w:color w:val="000000"/>
      <w:sz w:val="18"/>
      <w:szCs w:val="18"/>
      <w:lang w:eastAsia="ru-RU"/>
    </w:rPr>
  </w:style>
  <w:style w:type="paragraph" w:styleId="Font6" w:customStyle="1">
    <w:name w:val="font6"/>
    <w:basedOn w:val="Normal"/>
    <w:uiPriority w:val="99"/>
    <w:qFormat/>
    <w:rsid w:val="000b487d"/>
    <w:pPr>
      <w:spacing w:beforeAutospacing="1" w:afterAutospacing="1"/>
      <w:ind w:firstLine="709"/>
      <w:jc w:val="both"/>
    </w:pPr>
    <w:rPr>
      <w:rFonts w:ascii="Tahoma" w:hAnsi="Tahoma" w:cs="Tahoma"/>
      <w:b/>
      <w:bCs/>
      <w:color w:val="000000"/>
      <w:sz w:val="18"/>
      <w:szCs w:val="18"/>
      <w:lang w:eastAsia="ru-RU"/>
    </w:rPr>
  </w:style>
  <w:style w:type="paragraph" w:styleId="Xl67" w:customStyle="1">
    <w:name w:val="xl67"/>
    <w:basedOn w:val="Normal"/>
    <w:qFormat/>
    <w:rsid w:val="000b487d"/>
    <w:pPr>
      <w:pBdr>
        <w:left w:val="single" w:sz="4" w:space="0" w:color="000000"/>
        <w:right w:val="single" w:sz="4" w:space="0" w:color="000000"/>
      </w:pBdr>
      <w:spacing w:beforeAutospacing="1" w:afterAutospacing="1"/>
      <w:ind w:firstLine="709"/>
      <w:jc w:val="right"/>
      <w:textAlignment w:val="center"/>
    </w:pPr>
    <w:rPr>
      <w:rFonts w:ascii="Arial" w:hAnsi="Arial" w:cs="Arial"/>
      <w:sz w:val="20"/>
      <w:szCs w:val="20"/>
      <w:lang w:eastAsia="ru-RU"/>
    </w:rPr>
  </w:style>
  <w:style w:type="paragraph" w:styleId="Xl68" w:customStyle="1">
    <w:name w:val="xl68"/>
    <w:basedOn w:val="Normal"/>
    <w:qFormat/>
    <w:rsid w:val="000b487d"/>
    <w:pPr>
      <w:pBdr>
        <w:top w:val="single" w:sz="4" w:space="0" w:color="000000"/>
        <w:left w:val="single" w:sz="4" w:space="0" w:color="000000"/>
        <w:bottom w:val="single" w:sz="4" w:space="0" w:color="000000"/>
        <w:right w:val="single" w:sz="4" w:space="0" w:color="000000"/>
      </w:pBdr>
      <w:shd w:val="clear" w:color="000000" w:fill="EBF1DE"/>
      <w:spacing w:beforeAutospacing="1" w:afterAutospacing="1"/>
      <w:ind w:firstLine="709"/>
      <w:jc w:val="center"/>
      <w:textAlignment w:val="center"/>
    </w:pPr>
    <w:rPr>
      <w:rFonts w:ascii="Arial" w:hAnsi="Arial" w:cs="Arial"/>
      <w:sz w:val="20"/>
      <w:szCs w:val="20"/>
      <w:lang w:eastAsia="ru-RU"/>
    </w:rPr>
  </w:style>
  <w:style w:type="paragraph" w:styleId="Xl69" w:customStyle="1">
    <w:name w:val="xl69"/>
    <w:basedOn w:val="Normal"/>
    <w:qFormat/>
    <w:rsid w:val="000b487d"/>
    <w:pPr>
      <w:pBdr>
        <w:top w:val="single" w:sz="4" w:space="0" w:color="000000"/>
        <w:left w:val="single" w:sz="4" w:space="0" w:color="000000"/>
        <w:right w:val="single" w:sz="4" w:space="0" w:color="000000"/>
      </w:pBdr>
      <w:shd w:val="clear" w:color="000000" w:fill="EBF1DE"/>
      <w:spacing w:beforeAutospacing="1" w:afterAutospacing="1"/>
      <w:ind w:firstLine="709"/>
      <w:jc w:val="center"/>
      <w:textAlignment w:val="center"/>
    </w:pPr>
    <w:rPr>
      <w:rFonts w:ascii="Arial" w:hAnsi="Arial" w:cs="Arial"/>
      <w:sz w:val="20"/>
      <w:szCs w:val="20"/>
      <w:lang w:eastAsia="ru-RU"/>
    </w:rPr>
  </w:style>
  <w:style w:type="paragraph" w:styleId="Xl70" w:customStyle="1">
    <w:name w:val="xl70"/>
    <w:basedOn w:val="Normal"/>
    <w:qFormat/>
    <w:rsid w:val="000b487d"/>
    <w:pPr>
      <w:pBdr>
        <w:left w:val="single" w:sz="4" w:space="0" w:color="000000"/>
        <w:right w:val="single" w:sz="4" w:space="0" w:color="000000"/>
      </w:pBdr>
      <w:shd w:val="clear" w:color="000000" w:fill="EBF1DE"/>
      <w:spacing w:beforeAutospacing="1" w:afterAutospacing="1"/>
      <w:ind w:firstLine="709"/>
      <w:jc w:val="center"/>
      <w:textAlignment w:val="center"/>
    </w:pPr>
    <w:rPr>
      <w:rFonts w:ascii="Arial" w:hAnsi="Arial" w:cs="Arial"/>
      <w:sz w:val="20"/>
      <w:szCs w:val="20"/>
      <w:lang w:eastAsia="ru-RU"/>
    </w:rPr>
  </w:style>
  <w:style w:type="paragraph" w:styleId="Xl71" w:customStyle="1">
    <w:name w:val="xl71"/>
    <w:basedOn w:val="Normal"/>
    <w:qFormat/>
    <w:rsid w:val="000b487d"/>
    <w:pPr>
      <w:pBdr>
        <w:left w:val="single" w:sz="4" w:space="0" w:color="000000"/>
        <w:right w:val="single" w:sz="4" w:space="0" w:color="000000"/>
      </w:pBdr>
      <w:spacing w:beforeAutospacing="1" w:afterAutospacing="1"/>
      <w:ind w:firstLine="709"/>
      <w:jc w:val="both"/>
      <w:textAlignment w:val="center"/>
    </w:pPr>
    <w:rPr>
      <w:rFonts w:ascii="Arial" w:hAnsi="Arial" w:cs="Arial"/>
      <w:sz w:val="20"/>
      <w:szCs w:val="20"/>
      <w:lang w:eastAsia="ru-RU"/>
    </w:rPr>
  </w:style>
  <w:style w:type="paragraph" w:styleId="Xl72" w:customStyle="1">
    <w:name w:val="xl72"/>
    <w:basedOn w:val="Normal"/>
    <w:qFormat/>
    <w:rsid w:val="000b487d"/>
    <w:pPr>
      <w:shd w:val="clear" w:color="000000" w:fill="FCD5B4"/>
      <w:spacing w:beforeAutospacing="1" w:afterAutospacing="1"/>
      <w:ind w:firstLine="709"/>
      <w:jc w:val="both"/>
    </w:pPr>
    <w:rPr>
      <w:lang w:eastAsia="ru-RU"/>
    </w:rPr>
  </w:style>
  <w:style w:type="paragraph" w:styleId="Xl73" w:customStyle="1">
    <w:name w:val="xl73"/>
    <w:basedOn w:val="Normal"/>
    <w:qFormat/>
    <w:rsid w:val="000b487d"/>
    <w:pPr>
      <w:pBdr>
        <w:top w:val="single" w:sz="4" w:space="0" w:color="000000"/>
        <w:left w:val="single" w:sz="4" w:space="0" w:color="000000"/>
        <w:right w:val="single" w:sz="4" w:space="0" w:color="000000"/>
      </w:pBdr>
      <w:shd w:val="clear" w:color="000000" w:fill="FCD5B4"/>
      <w:spacing w:beforeAutospacing="1" w:afterAutospacing="1"/>
      <w:ind w:firstLine="709"/>
      <w:jc w:val="both"/>
    </w:pPr>
    <w:rPr>
      <w:lang w:eastAsia="ru-RU"/>
    </w:rPr>
  </w:style>
  <w:style w:type="paragraph" w:styleId="Xl74" w:customStyle="1">
    <w:name w:val="xl74"/>
    <w:basedOn w:val="Normal"/>
    <w:qFormat/>
    <w:rsid w:val="000b487d"/>
    <w:pPr>
      <w:pBdr>
        <w:top w:val="single" w:sz="4" w:space="0" w:color="000000"/>
        <w:left w:val="single" w:sz="4" w:space="0" w:color="000000"/>
        <w:right w:val="single" w:sz="4" w:space="0" w:color="000000"/>
      </w:pBdr>
      <w:shd w:val="clear" w:color="000000" w:fill="FCD5B4"/>
      <w:spacing w:beforeAutospacing="1" w:afterAutospacing="1"/>
      <w:ind w:firstLine="709"/>
      <w:jc w:val="both"/>
    </w:pPr>
    <w:rPr>
      <w:rFonts w:ascii="Arial" w:hAnsi="Arial" w:cs="Arial"/>
      <w:sz w:val="20"/>
      <w:szCs w:val="20"/>
      <w:lang w:eastAsia="ru-RU"/>
    </w:rPr>
  </w:style>
  <w:style w:type="paragraph" w:styleId="Xl75" w:customStyle="1">
    <w:name w:val="xl75"/>
    <w:basedOn w:val="Normal"/>
    <w:qFormat/>
    <w:rsid w:val="000b487d"/>
    <w:pPr>
      <w:pBdr>
        <w:left w:val="single" w:sz="4" w:space="0" w:color="000000"/>
        <w:right w:val="single" w:sz="4" w:space="0" w:color="000000"/>
      </w:pBdr>
      <w:shd w:val="clear" w:color="000000" w:fill="EBF1DE"/>
      <w:spacing w:beforeAutospacing="1" w:afterAutospacing="1"/>
      <w:ind w:firstLine="709"/>
      <w:jc w:val="both"/>
    </w:pPr>
    <w:rPr>
      <w:rFonts w:ascii="Arial" w:hAnsi="Arial" w:cs="Arial"/>
      <w:sz w:val="20"/>
      <w:szCs w:val="20"/>
      <w:lang w:eastAsia="ru-RU"/>
    </w:rPr>
  </w:style>
  <w:style w:type="paragraph" w:styleId="Xl76" w:customStyle="1">
    <w:name w:val="xl76"/>
    <w:basedOn w:val="Normal"/>
    <w:qFormat/>
    <w:rsid w:val="000b487d"/>
    <w:pPr>
      <w:pBdr>
        <w:left w:val="single" w:sz="4" w:space="0" w:color="000000"/>
        <w:right w:val="single" w:sz="4" w:space="0" w:color="000000"/>
      </w:pBdr>
      <w:spacing w:beforeAutospacing="1" w:afterAutospacing="1"/>
      <w:ind w:firstLine="709"/>
      <w:jc w:val="center"/>
      <w:textAlignment w:val="center"/>
    </w:pPr>
    <w:rPr>
      <w:rFonts w:ascii="Arial" w:hAnsi="Arial" w:cs="Arial"/>
      <w:sz w:val="20"/>
      <w:szCs w:val="20"/>
      <w:lang w:eastAsia="ru-RU"/>
    </w:rPr>
  </w:style>
  <w:style w:type="paragraph" w:styleId="Xl77" w:customStyle="1">
    <w:name w:val="xl77"/>
    <w:basedOn w:val="Normal"/>
    <w:qFormat/>
    <w:rsid w:val="000b487d"/>
    <w:pPr>
      <w:pBdr>
        <w:top w:val="single" w:sz="4" w:space="0" w:color="000000"/>
        <w:left w:val="single" w:sz="4" w:space="0" w:color="000000"/>
        <w:right w:val="single" w:sz="4" w:space="0" w:color="000000"/>
      </w:pBdr>
      <w:shd w:val="clear" w:color="000000" w:fill="EBF1DE"/>
      <w:spacing w:beforeAutospacing="1" w:afterAutospacing="1"/>
      <w:ind w:firstLine="709"/>
      <w:jc w:val="center"/>
      <w:textAlignment w:val="center"/>
    </w:pPr>
    <w:rPr>
      <w:rFonts w:ascii="Arial" w:hAnsi="Arial" w:cs="Arial"/>
      <w:sz w:val="20"/>
      <w:szCs w:val="20"/>
      <w:lang w:eastAsia="ru-RU"/>
    </w:rPr>
  </w:style>
  <w:style w:type="paragraph" w:styleId="Xl78" w:customStyle="1">
    <w:name w:val="xl78"/>
    <w:basedOn w:val="Normal"/>
    <w:qFormat/>
    <w:rsid w:val="000b487d"/>
    <w:pPr>
      <w:pBdr>
        <w:top w:val="single" w:sz="4" w:space="0" w:color="000000"/>
        <w:left w:val="single" w:sz="4" w:space="0" w:color="000000"/>
        <w:right w:val="single" w:sz="4" w:space="0" w:color="000000"/>
      </w:pBdr>
      <w:shd w:val="clear" w:color="000000" w:fill="EBF1DE"/>
      <w:spacing w:beforeAutospacing="1" w:afterAutospacing="1"/>
      <w:ind w:firstLine="709"/>
      <w:jc w:val="both"/>
    </w:pPr>
    <w:rPr>
      <w:rFonts w:ascii="Arial" w:hAnsi="Arial" w:cs="Arial"/>
      <w:sz w:val="20"/>
      <w:szCs w:val="20"/>
      <w:lang w:eastAsia="ru-RU"/>
    </w:rPr>
  </w:style>
  <w:style w:type="paragraph" w:styleId="Xl79" w:customStyle="1">
    <w:name w:val="xl79"/>
    <w:basedOn w:val="Normal"/>
    <w:qFormat/>
    <w:rsid w:val="000b487d"/>
    <w:pPr>
      <w:pBdr>
        <w:top w:val="single" w:sz="4" w:space="0" w:color="000000"/>
        <w:left w:val="single" w:sz="4" w:space="0" w:color="000000"/>
        <w:right w:val="single" w:sz="4" w:space="0" w:color="000000"/>
      </w:pBdr>
      <w:shd w:val="clear" w:color="000000" w:fill="EBF1DE"/>
      <w:spacing w:beforeAutospacing="1" w:afterAutospacing="1"/>
      <w:ind w:firstLine="709"/>
      <w:jc w:val="right"/>
      <w:textAlignment w:val="center"/>
    </w:pPr>
    <w:rPr>
      <w:rFonts w:ascii="Arial" w:hAnsi="Arial" w:cs="Arial"/>
      <w:sz w:val="20"/>
      <w:szCs w:val="20"/>
      <w:lang w:eastAsia="ru-RU"/>
    </w:rPr>
  </w:style>
  <w:style w:type="paragraph" w:styleId="Xl80" w:customStyle="1">
    <w:name w:val="xl80"/>
    <w:basedOn w:val="Normal"/>
    <w:qFormat/>
    <w:rsid w:val="000b487d"/>
    <w:pPr>
      <w:pBdr>
        <w:left w:val="single" w:sz="4" w:space="0" w:color="000000"/>
        <w:right w:val="single" w:sz="4" w:space="0" w:color="000000"/>
      </w:pBdr>
      <w:shd w:val="clear" w:color="000000" w:fill="EBF1DE"/>
      <w:spacing w:beforeAutospacing="1" w:afterAutospacing="1"/>
      <w:ind w:firstLine="709"/>
      <w:jc w:val="right"/>
      <w:textAlignment w:val="center"/>
    </w:pPr>
    <w:rPr>
      <w:rFonts w:ascii="Arial" w:hAnsi="Arial" w:cs="Arial"/>
      <w:sz w:val="20"/>
      <w:szCs w:val="20"/>
      <w:lang w:eastAsia="ru-RU"/>
    </w:rPr>
  </w:style>
  <w:style w:type="paragraph" w:styleId="Xl81" w:customStyle="1">
    <w:name w:val="xl81"/>
    <w:basedOn w:val="Normal"/>
    <w:qFormat/>
    <w:rsid w:val="000b487d"/>
    <w:pPr>
      <w:pBdr>
        <w:top w:val="single" w:sz="4" w:space="0" w:color="000000"/>
        <w:left w:val="single" w:sz="4" w:space="0" w:color="000000"/>
        <w:right w:val="single" w:sz="4" w:space="0" w:color="000000"/>
      </w:pBdr>
      <w:shd w:val="clear" w:color="000000" w:fill="FCD5B4"/>
      <w:spacing w:beforeAutospacing="1" w:afterAutospacing="1"/>
      <w:ind w:firstLine="709"/>
      <w:jc w:val="right"/>
    </w:pPr>
    <w:rPr>
      <w:lang w:eastAsia="ru-RU"/>
    </w:rPr>
  </w:style>
  <w:style w:type="paragraph" w:styleId="Xl82" w:customStyle="1">
    <w:name w:val="xl82"/>
    <w:basedOn w:val="Normal"/>
    <w:qFormat/>
    <w:rsid w:val="000b487d"/>
    <w:pPr>
      <w:pBdr>
        <w:left w:val="single" w:sz="4" w:space="0" w:color="000000"/>
        <w:right w:val="single" w:sz="4" w:space="0" w:color="000000"/>
      </w:pBdr>
      <w:shd w:val="clear" w:color="000000" w:fill="92CDDC"/>
      <w:spacing w:beforeAutospacing="1" w:afterAutospacing="1"/>
      <w:ind w:firstLine="709"/>
      <w:jc w:val="right"/>
      <w:textAlignment w:val="center"/>
    </w:pPr>
    <w:rPr>
      <w:rFonts w:ascii="Arial" w:hAnsi="Arial" w:cs="Arial"/>
      <w:sz w:val="20"/>
      <w:szCs w:val="20"/>
      <w:lang w:eastAsia="ru-RU"/>
    </w:rPr>
  </w:style>
  <w:style w:type="paragraph" w:styleId="Xl83" w:customStyle="1">
    <w:name w:val="xl83"/>
    <w:basedOn w:val="Normal"/>
    <w:qFormat/>
    <w:rsid w:val="000b487d"/>
    <w:pPr>
      <w:pBdr>
        <w:top w:val="single" w:sz="4" w:space="0" w:color="000000"/>
        <w:left w:val="single" w:sz="4" w:space="0" w:color="000000"/>
        <w:bottom w:val="single" w:sz="4" w:space="0" w:color="000000"/>
        <w:right w:val="single" w:sz="4" w:space="0" w:color="000000"/>
      </w:pBdr>
      <w:spacing w:beforeAutospacing="1" w:afterAutospacing="1"/>
      <w:ind w:firstLine="709"/>
      <w:jc w:val="both"/>
    </w:pPr>
    <w:rPr>
      <w:lang w:eastAsia="ru-RU"/>
    </w:rPr>
  </w:style>
  <w:style w:type="paragraph" w:styleId="Xl84" w:customStyle="1">
    <w:name w:val="xl84"/>
    <w:basedOn w:val="Normal"/>
    <w:qFormat/>
    <w:rsid w:val="000b487d"/>
    <w:pPr>
      <w:pBdr>
        <w:left w:val="single" w:sz="4" w:space="0" w:color="000000"/>
        <w:right w:val="single" w:sz="4" w:space="0" w:color="000000"/>
      </w:pBdr>
      <w:spacing w:beforeAutospacing="1" w:afterAutospacing="1"/>
      <w:ind w:firstLine="709"/>
      <w:jc w:val="both"/>
      <w:textAlignment w:val="center"/>
    </w:pPr>
    <w:rPr>
      <w:rFonts w:ascii="Arial" w:hAnsi="Arial" w:cs="Arial"/>
      <w:sz w:val="20"/>
      <w:szCs w:val="20"/>
      <w:lang w:eastAsia="ru-RU"/>
    </w:rPr>
  </w:style>
  <w:style w:type="paragraph" w:styleId="Xl85" w:customStyle="1">
    <w:name w:val="xl85"/>
    <w:basedOn w:val="Normal"/>
    <w:qFormat/>
    <w:rsid w:val="000b487d"/>
    <w:pPr>
      <w:pBdr>
        <w:left w:val="single" w:sz="4" w:space="0" w:color="000000"/>
        <w:right w:val="single" w:sz="4" w:space="0" w:color="000000"/>
      </w:pBdr>
      <w:spacing w:beforeAutospacing="1" w:afterAutospacing="1"/>
      <w:ind w:firstLine="709"/>
      <w:jc w:val="both"/>
    </w:pPr>
    <w:rPr>
      <w:rFonts w:ascii="Arial" w:hAnsi="Arial" w:cs="Arial"/>
      <w:sz w:val="20"/>
      <w:szCs w:val="20"/>
      <w:lang w:eastAsia="ru-RU"/>
    </w:rPr>
  </w:style>
  <w:style w:type="paragraph" w:styleId="Xl86" w:customStyle="1">
    <w:name w:val="xl86"/>
    <w:basedOn w:val="Normal"/>
    <w:qFormat/>
    <w:rsid w:val="000b487d"/>
    <w:pPr>
      <w:pBdr>
        <w:top w:val="single" w:sz="4" w:space="0" w:color="000000"/>
        <w:left w:val="single" w:sz="4" w:space="0" w:color="000000"/>
        <w:bottom w:val="single" w:sz="4" w:space="0" w:color="000000"/>
        <w:right w:val="single" w:sz="4" w:space="0" w:color="000000"/>
      </w:pBdr>
      <w:spacing w:beforeAutospacing="1" w:afterAutospacing="1"/>
      <w:ind w:firstLine="709"/>
      <w:jc w:val="both"/>
      <w:textAlignment w:val="center"/>
    </w:pPr>
    <w:rPr>
      <w:rFonts w:ascii="Arial" w:hAnsi="Arial" w:cs="Arial"/>
      <w:sz w:val="20"/>
      <w:szCs w:val="20"/>
      <w:lang w:eastAsia="ru-RU"/>
    </w:rPr>
  </w:style>
  <w:style w:type="paragraph" w:styleId="Xl87" w:customStyle="1">
    <w:name w:val="xl87"/>
    <w:basedOn w:val="Normal"/>
    <w:qFormat/>
    <w:rsid w:val="000b487d"/>
    <w:pPr>
      <w:pBdr>
        <w:top w:val="single" w:sz="4" w:space="0" w:color="000000"/>
        <w:left w:val="single" w:sz="4" w:space="0" w:color="000000"/>
        <w:bottom w:val="single" w:sz="4" w:space="0" w:color="000000"/>
        <w:right w:val="single" w:sz="4" w:space="0" w:color="000000"/>
      </w:pBdr>
      <w:spacing w:beforeAutospacing="1" w:afterAutospacing="1"/>
      <w:ind w:firstLine="709"/>
      <w:jc w:val="right"/>
    </w:pPr>
    <w:rPr>
      <w:lang w:eastAsia="ru-RU"/>
    </w:rPr>
  </w:style>
  <w:style w:type="paragraph" w:styleId="Xl88" w:customStyle="1">
    <w:name w:val="xl88"/>
    <w:basedOn w:val="Normal"/>
    <w:qFormat/>
    <w:rsid w:val="000b487d"/>
    <w:pPr>
      <w:pBdr>
        <w:top w:val="single" w:sz="4" w:space="0" w:color="000000"/>
        <w:left w:val="single" w:sz="4" w:space="0" w:color="000000"/>
        <w:bottom w:val="single" w:sz="4" w:space="0" w:color="000000"/>
        <w:right w:val="single" w:sz="4" w:space="0" w:color="000000"/>
      </w:pBdr>
      <w:spacing w:beforeAutospacing="1" w:afterAutospacing="1"/>
      <w:ind w:firstLine="709"/>
      <w:jc w:val="both"/>
      <w:textAlignment w:val="center"/>
    </w:pPr>
    <w:rPr>
      <w:rFonts w:ascii="Arial" w:hAnsi="Arial" w:cs="Arial"/>
      <w:sz w:val="20"/>
      <w:szCs w:val="20"/>
      <w:lang w:eastAsia="ru-RU"/>
    </w:rPr>
  </w:style>
  <w:style w:type="paragraph" w:styleId="Xl89" w:customStyle="1">
    <w:name w:val="xl89"/>
    <w:basedOn w:val="Normal"/>
    <w:qFormat/>
    <w:rsid w:val="000b487d"/>
    <w:pPr>
      <w:pBdr>
        <w:top w:val="single" w:sz="4" w:space="0" w:color="000000"/>
        <w:left w:val="single" w:sz="4" w:space="0" w:color="000000"/>
        <w:bottom w:val="single" w:sz="4" w:space="0" w:color="000000"/>
        <w:right w:val="single" w:sz="4" w:space="0" w:color="000000"/>
      </w:pBdr>
      <w:shd w:val="clear" w:color="000000" w:fill="EBF1DE"/>
      <w:spacing w:beforeAutospacing="1" w:afterAutospacing="1"/>
      <w:ind w:firstLine="709"/>
      <w:jc w:val="center"/>
      <w:textAlignment w:val="center"/>
    </w:pPr>
    <w:rPr>
      <w:rFonts w:ascii="Arial" w:hAnsi="Arial" w:cs="Arial"/>
      <w:sz w:val="20"/>
      <w:szCs w:val="20"/>
      <w:lang w:eastAsia="ru-RU"/>
    </w:rPr>
  </w:style>
  <w:style w:type="paragraph" w:styleId="Xl90" w:customStyle="1">
    <w:name w:val="xl90"/>
    <w:basedOn w:val="Normal"/>
    <w:qFormat/>
    <w:rsid w:val="000b487d"/>
    <w:pPr>
      <w:pBdr>
        <w:top w:val="single" w:sz="4" w:space="0" w:color="000000"/>
        <w:left w:val="single" w:sz="4" w:space="0" w:color="000000"/>
        <w:bottom w:val="single" w:sz="4" w:space="0" w:color="000000"/>
        <w:right w:val="single" w:sz="4" w:space="0" w:color="000000"/>
      </w:pBdr>
      <w:shd w:val="clear" w:color="000000" w:fill="FABF8F"/>
      <w:spacing w:beforeAutospacing="1" w:afterAutospacing="1"/>
      <w:ind w:firstLine="709"/>
      <w:jc w:val="center"/>
      <w:textAlignment w:val="center"/>
    </w:pPr>
    <w:rPr>
      <w:rFonts w:ascii="Arial" w:hAnsi="Arial" w:cs="Arial"/>
      <w:sz w:val="20"/>
      <w:szCs w:val="20"/>
      <w:lang w:eastAsia="ru-RU"/>
    </w:rPr>
  </w:style>
  <w:style w:type="paragraph" w:styleId="Xl91" w:customStyle="1">
    <w:name w:val="xl91"/>
    <w:basedOn w:val="Normal"/>
    <w:qFormat/>
    <w:rsid w:val="000b487d"/>
    <w:pPr>
      <w:pBdr>
        <w:top w:val="single" w:sz="4" w:space="0" w:color="000000"/>
        <w:left w:val="single" w:sz="4" w:space="0" w:color="000000"/>
        <w:bottom w:val="single" w:sz="4" w:space="0" w:color="000000"/>
        <w:right w:val="single" w:sz="4" w:space="0" w:color="000000"/>
      </w:pBdr>
      <w:shd w:val="clear" w:color="000000" w:fill="FABF8F"/>
      <w:spacing w:beforeAutospacing="1" w:afterAutospacing="1"/>
      <w:ind w:firstLine="709"/>
      <w:jc w:val="both"/>
    </w:pPr>
    <w:rPr>
      <w:lang w:eastAsia="ru-RU"/>
    </w:rPr>
  </w:style>
  <w:style w:type="paragraph" w:styleId="Xl92" w:customStyle="1">
    <w:name w:val="xl92"/>
    <w:basedOn w:val="Normal"/>
    <w:qFormat/>
    <w:rsid w:val="000b487d"/>
    <w:pPr>
      <w:pBdr>
        <w:top w:val="single" w:sz="4" w:space="0" w:color="000000"/>
        <w:left w:val="single" w:sz="4" w:space="0" w:color="000000"/>
        <w:bottom w:val="single" w:sz="4" w:space="0" w:color="000000"/>
        <w:right w:val="single" w:sz="4" w:space="0" w:color="000000"/>
      </w:pBdr>
      <w:shd w:val="clear" w:color="000000" w:fill="EBF1DE"/>
      <w:spacing w:beforeAutospacing="1" w:afterAutospacing="1"/>
      <w:ind w:firstLine="709"/>
      <w:jc w:val="center"/>
      <w:textAlignment w:val="center"/>
    </w:pPr>
    <w:rPr>
      <w:rFonts w:ascii="Arial" w:hAnsi="Arial" w:cs="Arial"/>
      <w:sz w:val="20"/>
      <w:szCs w:val="20"/>
      <w:lang w:eastAsia="ru-RU"/>
    </w:rPr>
  </w:style>
  <w:style w:type="paragraph" w:styleId="Xl93" w:customStyle="1">
    <w:name w:val="xl93"/>
    <w:basedOn w:val="Normal"/>
    <w:qFormat/>
    <w:rsid w:val="000b487d"/>
    <w:pPr>
      <w:pBdr>
        <w:top w:val="single" w:sz="4" w:space="0" w:color="000000"/>
        <w:left w:val="single" w:sz="4" w:space="0" w:color="000000"/>
        <w:bottom w:val="single" w:sz="4" w:space="0" w:color="000000"/>
        <w:right w:val="single" w:sz="4" w:space="0" w:color="000000"/>
      </w:pBdr>
      <w:shd w:val="clear" w:color="000000" w:fill="EBF1DE"/>
      <w:spacing w:beforeAutospacing="1" w:afterAutospacing="1"/>
      <w:ind w:firstLine="709"/>
      <w:jc w:val="both"/>
    </w:pPr>
    <w:rPr>
      <w:lang w:eastAsia="ru-RU"/>
    </w:rPr>
  </w:style>
  <w:style w:type="paragraph" w:styleId="Xl94" w:customStyle="1">
    <w:name w:val="xl94"/>
    <w:basedOn w:val="Normal"/>
    <w:qFormat/>
    <w:rsid w:val="000b487d"/>
    <w:pPr>
      <w:pBdr>
        <w:left w:val="single" w:sz="4" w:space="0" w:color="000000"/>
        <w:right w:val="single" w:sz="4" w:space="0" w:color="000000"/>
      </w:pBdr>
      <w:shd w:val="clear" w:color="000000" w:fill="C4D79B"/>
      <w:spacing w:beforeAutospacing="1" w:afterAutospacing="1"/>
      <w:ind w:firstLine="709"/>
      <w:jc w:val="right"/>
      <w:textAlignment w:val="center"/>
    </w:pPr>
    <w:rPr>
      <w:rFonts w:ascii="Arial" w:hAnsi="Arial" w:cs="Arial"/>
      <w:lang w:eastAsia="ru-RU"/>
    </w:rPr>
  </w:style>
  <w:style w:type="paragraph" w:styleId="Xl95" w:customStyle="1">
    <w:name w:val="xl95"/>
    <w:basedOn w:val="Normal"/>
    <w:qFormat/>
    <w:rsid w:val="000b487d"/>
    <w:pPr>
      <w:pBdr>
        <w:left w:val="single" w:sz="4" w:space="0" w:color="000000"/>
        <w:right w:val="single" w:sz="4" w:space="0" w:color="000000"/>
      </w:pBdr>
      <w:shd w:val="clear" w:color="000000" w:fill="DCE6F1"/>
      <w:spacing w:beforeAutospacing="1" w:afterAutospacing="1"/>
      <w:ind w:firstLine="709"/>
      <w:jc w:val="right"/>
      <w:textAlignment w:val="center"/>
    </w:pPr>
    <w:rPr>
      <w:rFonts w:ascii="Arial" w:hAnsi="Arial" w:cs="Arial"/>
      <w:lang w:eastAsia="ru-RU"/>
    </w:rPr>
  </w:style>
  <w:style w:type="paragraph" w:styleId="Xl96" w:customStyle="1">
    <w:name w:val="xl96"/>
    <w:basedOn w:val="Normal"/>
    <w:qFormat/>
    <w:rsid w:val="000b487d"/>
    <w:pPr>
      <w:pBdr>
        <w:left w:val="single" w:sz="4" w:space="0" w:color="000000"/>
        <w:bottom w:val="single" w:sz="4" w:space="0" w:color="000000"/>
        <w:right w:val="single" w:sz="4" w:space="0" w:color="000000"/>
      </w:pBdr>
      <w:shd w:val="clear" w:color="000000" w:fill="C4D79B"/>
      <w:spacing w:beforeAutospacing="1" w:afterAutospacing="1"/>
      <w:ind w:firstLine="709"/>
      <w:jc w:val="right"/>
      <w:textAlignment w:val="center"/>
    </w:pPr>
    <w:rPr>
      <w:rFonts w:ascii="Arial" w:hAnsi="Arial" w:cs="Arial"/>
      <w:lang w:eastAsia="ru-RU"/>
    </w:rPr>
  </w:style>
  <w:style w:type="paragraph" w:styleId="Xl97" w:customStyle="1">
    <w:name w:val="xl97"/>
    <w:basedOn w:val="Normal"/>
    <w:qFormat/>
    <w:rsid w:val="000b487d"/>
    <w:pPr>
      <w:pBdr>
        <w:left w:val="single" w:sz="4" w:space="0" w:color="000000"/>
        <w:bottom w:val="single" w:sz="4" w:space="0" w:color="000000"/>
        <w:right w:val="single" w:sz="4" w:space="0" w:color="000000"/>
      </w:pBdr>
      <w:shd w:val="clear" w:color="000000" w:fill="C4D79B"/>
      <w:spacing w:beforeAutospacing="1" w:afterAutospacing="1"/>
      <w:ind w:firstLine="709"/>
      <w:jc w:val="right"/>
      <w:textAlignment w:val="center"/>
    </w:pPr>
    <w:rPr>
      <w:rFonts w:ascii="Arial" w:hAnsi="Arial" w:cs="Arial"/>
      <w:lang w:eastAsia="ru-RU"/>
    </w:rPr>
  </w:style>
  <w:style w:type="paragraph" w:styleId="Xl98" w:customStyle="1">
    <w:name w:val="xl98"/>
    <w:basedOn w:val="Normal"/>
    <w:qFormat/>
    <w:rsid w:val="000b487d"/>
    <w:pPr>
      <w:pBdr>
        <w:left w:val="single" w:sz="4" w:space="0" w:color="000000"/>
        <w:bottom w:val="single" w:sz="4" w:space="0" w:color="000000"/>
        <w:right w:val="single" w:sz="4" w:space="0" w:color="000000"/>
      </w:pBdr>
      <w:spacing w:beforeAutospacing="1" w:afterAutospacing="1"/>
      <w:ind w:firstLine="709"/>
      <w:jc w:val="both"/>
      <w:textAlignment w:val="center"/>
    </w:pPr>
    <w:rPr>
      <w:rFonts w:ascii="Arial" w:hAnsi="Arial" w:cs="Arial"/>
      <w:lang w:eastAsia="ru-RU"/>
    </w:rPr>
  </w:style>
  <w:style w:type="paragraph" w:styleId="Xl99" w:customStyle="1">
    <w:name w:val="xl99"/>
    <w:basedOn w:val="Normal"/>
    <w:qFormat/>
    <w:rsid w:val="000b487d"/>
    <w:pPr>
      <w:pBdr>
        <w:left w:val="single" w:sz="4" w:space="0" w:color="000000"/>
        <w:bottom w:val="single" w:sz="4" w:space="0" w:color="000000"/>
        <w:right w:val="single" w:sz="4" w:space="0" w:color="000000"/>
      </w:pBdr>
      <w:shd w:val="clear" w:color="000000" w:fill="948A54"/>
      <w:spacing w:beforeAutospacing="1" w:afterAutospacing="1"/>
      <w:ind w:firstLine="709"/>
      <w:jc w:val="both"/>
      <w:textAlignment w:val="center"/>
    </w:pPr>
    <w:rPr>
      <w:rFonts w:ascii="Arial" w:hAnsi="Arial" w:cs="Arial"/>
      <w:lang w:eastAsia="ru-RU"/>
    </w:rPr>
  </w:style>
  <w:style w:type="paragraph" w:styleId="Xl100" w:customStyle="1">
    <w:name w:val="xl100"/>
    <w:basedOn w:val="Normal"/>
    <w:qFormat/>
    <w:rsid w:val="000b487d"/>
    <w:pPr>
      <w:pBdr>
        <w:top w:val="single" w:sz="4" w:space="0" w:color="000000"/>
        <w:left w:val="single" w:sz="4" w:space="0" w:color="000000"/>
        <w:right w:val="single" w:sz="4" w:space="0" w:color="000000"/>
      </w:pBdr>
      <w:spacing w:beforeAutospacing="1" w:afterAutospacing="1"/>
      <w:ind w:firstLine="709"/>
      <w:jc w:val="both"/>
      <w:textAlignment w:val="center"/>
    </w:pPr>
    <w:rPr>
      <w:rFonts w:ascii="Arial" w:hAnsi="Arial" w:cs="Arial"/>
      <w:lang w:eastAsia="ru-RU"/>
    </w:rPr>
  </w:style>
  <w:style w:type="paragraph" w:styleId="Xl101" w:customStyle="1">
    <w:name w:val="xl101"/>
    <w:basedOn w:val="Normal"/>
    <w:qFormat/>
    <w:rsid w:val="000b487d"/>
    <w:pPr>
      <w:pBdr>
        <w:left w:val="single" w:sz="4" w:space="0" w:color="000000"/>
        <w:bottom w:val="single" w:sz="4" w:space="0" w:color="000000"/>
        <w:right w:val="single" w:sz="4" w:space="0" w:color="000000"/>
      </w:pBdr>
      <w:spacing w:beforeAutospacing="1" w:afterAutospacing="1"/>
      <w:ind w:firstLine="709"/>
      <w:jc w:val="both"/>
      <w:textAlignment w:val="center"/>
    </w:pPr>
    <w:rPr>
      <w:rFonts w:ascii="Arial" w:hAnsi="Arial" w:cs="Arial"/>
      <w:lang w:eastAsia="ru-RU"/>
    </w:rPr>
  </w:style>
  <w:style w:type="paragraph" w:styleId="Xl102" w:customStyle="1">
    <w:name w:val="xl102"/>
    <w:basedOn w:val="Normal"/>
    <w:qFormat/>
    <w:rsid w:val="000b487d"/>
    <w:pPr>
      <w:pBdr>
        <w:left w:val="single" w:sz="4" w:space="0" w:color="000000"/>
        <w:bottom w:val="single" w:sz="4" w:space="0" w:color="000000"/>
        <w:right w:val="single" w:sz="4" w:space="0" w:color="000000"/>
      </w:pBdr>
      <w:shd w:val="clear" w:color="000000" w:fill="C4D79B"/>
      <w:spacing w:beforeAutospacing="1" w:afterAutospacing="1"/>
      <w:ind w:firstLine="709"/>
      <w:jc w:val="right"/>
      <w:textAlignment w:val="center"/>
    </w:pPr>
    <w:rPr>
      <w:rFonts w:ascii="Arial" w:hAnsi="Arial" w:cs="Arial"/>
      <w:lang w:eastAsia="ru-RU"/>
    </w:rPr>
  </w:style>
  <w:style w:type="paragraph" w:styleId="Xl103" w:customStyle="1">
    <w:name w:val="xl103"/>
    <w:basedOn w:val="Normal"/>
    <w:qFormat/>
    <w:rsid w:val="000b487d"/>
    <w:pPr>
      <w:pBdr>
        <w:top w:val="single" w:sz="4" w:space="0" w:color="000000"/>
        <w:left w:val="single" w:sz="4" w:space="0" w:color="000000"/>
        <w:bottom w:val="single" w:sz="4" w:space="0" w:color="000000"/>
        <w:right w:val="single" w:sz="4" w:space="0" w:color="000000"/>
      </w:pBdr>
      <w:spacing w:beforeAutospacing="1" w:afterAutospacing="1"/>
      <w:ind w:firstLine="709"/>
      <w:jc w:val="center"/>
      <w:textAlignment w:val="center"/>
    </w:pPr>
    <w:rPr>
      <w:rFonts w:ascii="Arial" w:hAnsi="Arial" w:cs="Arial"/>
      <w:lang w:eastAsia="ru-RU"/>
    </w:rPr>
  </w:style>
  <w:style w:type="paragraph" w:styleId="Xl104" w:customStyle="1">
    <w:name w:val="xl104"/>
    <w:basedOn w:val="Normal"/>
    <w:qFormat/>
    <w:rsid w:val="000b487d"/>
    <w:pPr>
      <w:pBdr>
        <w:top w:val="single" w:sz="4" w:space="0" w:color="000000"/>
        <w:left w:val="single" w:sz="4" w:space="0" w:color="000000"/>
        <w:right w:val="single" w:sz="4" w:space="0" w:color="000000"/>
      </w:pBdr>
      <w:shd w:val="clear" w:color="000000" w:fill="DA9694"/>
      <w:spacing w:beforeAutospacing="1" w:afterAutospacing="1"/>
      <w:ind w:firstLine="709"/>
      <w:jc w:val="center"/>
      <w:textAlignment w:val="center"/>
    </w:pPr>
    <w:rPr>
      <w:rFonts w:ascii="Arial" w:hAnsi="Arial" w:cs="Arial"/>
      <w:lang w:eastAsia="ru-RU"/>
    </w:rPr>
  </w:style>
  <w:style w:type="paragraph" w:styleId="Xl105" w:customStyle="1">
    <w:name w:val="xl105"/>
    <w:basedOn w:val="Normal"/>
    <w:qFormat/>
    <w:rsid w:val="000b487d"/>
    <w:pPr>
      <w:pBdr>
        <w:left w:val="single" w:sz="4" w:space="0" w:color="000000"/>
        <w:right w:val="single" w:sz="4" w:space="0" w:color="000000"/>
      </w:pBdr>
      <w:shd w:val="clear" w:color="000000" w:fill="DA9694"/>
      <w:spacing w:beforeAutospacing="1" w:afterAutospacing="1"/>
      <w:ind w:firstLine="709"/>
      <w:jc w:val="center"/>
      <w:textAlignment w:val="center"/>
    </w:pPr>
    <w:rPr>
      <w:rFonts w:ascii="Arial" w:hAnsi="Arial" w:cs="Arial"/>
      <w:lang w:eastAsia="ru-RU"/>
    </w:rPr>
  </w:style>
  <w:style w:type="paragraph" w:styleId="Xl106" w:customStyle="1">
    <w:name w:val="xl106"/>
    <w:basedOn w:val="Normal"/>
    <w:qFormat/>
    <w:rsid w:val="000b487d"/>
    <w:pPr>
      <w:pBdr>
        <w:top w:val="single" w:sz="4" w:space="0" w:color="000000"/>
        <w:left w:val="single" w:sz="4" w:space="0" w:color="000000"/>
        <w:bottom w:val="single" w:sz="4" w:space="0" w:color="000000"/>
        <w:right w:val="single" w:sz="4" w:space="0" w:color="000000"/>
      </w:pBdr>
      <w:spacing w:beforeAutospacing="1" w:afterAutospacing="1"/>
      <w:ind w:firstLine="709"/>
      <w:jc w:val="center"/>
      <w:textAlignment w:val="center"/>
    </w:pPr>
    <w:rPr>
      <w:rFonts w:ascii="Arial" w:hAnsi="Arial" w:cs="Arial"/>
      <w:lang w:eastAsia="ru-RU"/>
    </w:rPr>
  </w:style>
  <w:style w:type="paragraph" w:styleId="Xl107" w:customStyle="1">
    <w:name w:val="xl107"/>
    <w:basedOn w:val="Normal"/>
    <w:qFormat/>
    <w:rsid w:val="000b487d"/>
    <w:pPr>
      <w:pBdr>
        <w:left w:val="single" w:sz="4" w:space="0" w:color="000000"/>
        <w:right w:val="single" w:sz="4" w:space="0" w:color="000000"/>
      </w:pBdr>
      <w:spacing w:beforeAutospacing="1" w:afterAutospacing="1"/>
      <w:ind w:firstLine="709"/>
      <w:jc w:val="center"/>
      <w:textAlignment w:val="center"/>
    </w:pPr>
    <w:rPr>
      <w:rFonts w:ascii="Arial" w:hAnsi="Arial" w:cs="Arial"/>
      <w:lang w:eastAsia="ru-RU"/>
    </w:rPr>
  </w:style>
  <w:style w:type="paragraph" w:styleId="Xl108" w:customStyle="1">
    <w:name w:val="xl108"/>
    <w:basedOn w:val="Normal"/>
    <w:qFormat/>
    <w:rsid w:val="000b487d"/>
    <w:pPr>
      <w:pBdr>
        <w:left w:val="single" w:sz="4" w:space="0" w:color="000000"/>
        <w:right w:val="single" w:sz="4" w:space="0" w:color="000000"/>
      </w:pBdr>
      <w:spacing w:beforeAutospacing="1" w:afterAutospacing="1"/>
      <w:ind w:firstLine="709"/>
      <w:jc w:val="center"/>
      <w:textAlignment w:val="center"/>
    </w:pPr>
    <w:rPr>
      <w:rFonts w:ascii="Arial" w:hAnsi="Arial" w:cs="Arial"/>
      <w:lang w:eastAsia="ru-RU"/>
    </w:rPr>
  </w:style>
  <w:style w:type="paragraph" w:styleId="Xl109" w:customStyle="1">
    <w:name w:val="xl109"/>
    <w:basedOn w:val="Normal"/>
    <w:qFormat/>
    <w:rsid w:val="000b487d"/>
    <w:pPr>
      <w:pBdr>
        <w:top w:val="single" w:sz="4" w:space="0" w:color="000000"/>
        <w:left w:val="single" w:sz="4" w:space="0" w:color="000000"/>
        <w:right w:val="single" w:sz="4" w:space="0" w:color="000000"/>
      </w:pBdr>
      <w:shd w:val="clear" w:color="000000" w:fill="FABF8F"/>
      <w:spacing w:beforeAutospacing="1" w:afterAutospacing="1"/>
      <w:ind w:firstLine="709"/>
      <w:jc w:val="center"/>
      <w:textAlignment w:val="center"/>
    </w:pPr>
    <w:rPr>
      <w:rFonts w:ascii="Arial" w:hAnsi="Arial" w:cs="Arial"/>
      <w:lang w:eastAsia="ru-RU"/>
    </w:rPr>
  </w:style>
  <w:style w:type="paragraph" w:styleId="Xl110" w:customStyle="1">
    <w:name w:val="xl110"/>
    <w:basedOn w:val="Normal"/>
    <w:qFormat/>
    <w:rsid w:val="000b487d"/>
    <w:pPr>
      <w:pBdr>
        <w:left w:val="single" w:sz="4" w:space="0" w:color="000000"/>
        <w:right w:val="single" w:sz="4" w:space="0" w:color="000000"/>
      </w:pBdr>
      <w:shd w:val="clear" w:color="000000" w:fill="FABF8F"/>
      <w:spacing w:beforeAutospacing="1" w:afterAutospacing="1"/>
      <w:ind w:firstLine="709"/>
      <w:jc w:val="center"/>
      <w:textAlignment w:val="center"/>
    </w:pPr>
    <w:rPr>
      <w:rFonts w:ascii="Arial" w:hAnsi="Arial" w:cs="Arial"/>
      <w:lang w:eastAsia="ru-RU"/>
    </w:rPr>
  </w:style>
  <w:style w:type="paragraph" w:styleId="Xl111" w:customStyle="1">
    <w:name w:val="xl111"/>
    <w:basedOn w:val="Normal"/>
    <w:qFormat/>
    <w:rsid w:val="000b487d"/>
    <w:pPr>
      <w:pBdr>
        <w:top w:val="single" w:sz="4" w:space="0" w:color="000000"/>
        <w:left w:val="single" w:sz="4" w:space="0" w:color="000000"/>
        <w:bottom w:val="single" w:sz="4" w:space="0" w:color="000000"/>
      </w:pBdr>
      <w:spacing w:beforeAutospacing="1" w:afterAutospacing="1"/>
      <w:ind w:firstLine="709"/>
      <w:jc w:val="center"/>
      <w:textAlignment w:val="center"/>
    </w:pPr>
    <w:rPr>
      <w:rFonts w:ascii="Arial" w:hAnsi="Arial" w:cs="Arial"/>
      <w:lang w:eastAsia="ru-RU"/>
    </w:rPr>
  </w:style>
  <w:style w:type="paragraph" w:styleId="Xl112" w:customStyle="1">
    <w:name w:val="xl112"/>
    <w:basedOn w:val="Normal"/>
    <w:qFormat/>
    <w:rsid w:val="000b487d"/>
    <w:pPr>
      <w:pBdr>
        <w:top w:val="single" w:sz="4" w:space="0" w:color="000000"/>
        <w:bottom w:val="single" w:sz="4" w:space="0" w:color="000000"/>
      </w:pBdr>
      <w:spacing w:beforeAutospacing="1" w:afterAutospacing="1"/>
      <w:ind w:firstLine="709"/>
      <w:jc w:val="center"/>
      <w:textAlignment w:val="center"/>
    </w:pPr>
    <w:rPr>
      <w:rFonts w:ascii="Arial" w:hAnsi="Arial" w:cs="Arial"/>
      <w:lang w:eastAsia="ru-RU"/>
    </w:rPr>
  </w:style>
  <w:style w:type="paragraph" w:styleId="Xl113" w:customStyle="1">
    <w:name w:val="xl113"/>
    <w:basedOn w:val="Normal"/>
    <w:qFormat/>
    <w:rsid w:val="000b487d"/>
    <w:pPr>
      <w:pBdr>
        <w:top w:val="single" w:sz="4" w:space="0" w:color="000000"/>
        <w:bottom w:val="single" w:sz="4" w:space="0" w:color="000000"/>
        <w:right w:val="single" w:sz="4" w:space="0" w:color="000000"/>
      </w:pBdr>
      <w:spacing w:beforeAutospacing="1" w:afterAutospacing="1"/>
      <w:ind w:firstLine="709"/>
      <w:jc w:val="center"/>
      <w:textAlignment w:val="center"/>
    </w:pPr>
    <w:rPr>
      <w:rFonts w:ascii="Arial" w:hAnsi="Arial" w:cs="Arial"/>
      <w:lang w:eastAsia="ru-RU"/>
    </w:rPr>
  </w:style>
  <w:style w:type="paragraph" w:styleId="Xl114" w:customStyle="1">
    <w:name w:val="xl114"/>
    <w:basedOn w:val="Normal"/>
    <w:qFormat/>
    <w:rsid w:val="000b487d"/>
    <w:pPr>
      <w:pBdr>
        <w:top w:val="single" w:sz="4" w:space="0" w:color="000000"/>
        <w:left w:val="single" w:sz="4" w:space="0" w:color="000000"/>
        <w:bottom w:val="single" w:sz="4" w:space="0" w:color="000000"/>
      </w:pBdr>
      <w:spacing w:beforeAutospacing="1" w:afterAutospacing="1"/>
      <w:ind w:firstLine="709"/>
      <w:jc w:val="both"/>
      <w:textAlignment w:val="center"/>
    </w:pPr>
    <w:rPr>
      <w:rFonts w:ascii="Arial" w:hAnsi="Arial" w:cs="Arial"/>
      <w:lang w:eastAsia="ru-RU"/>
    </w:rPr>
  </w:style>
  <w:style w:type="paragraph" w:styleId="Xl115" w:customStyle="1">
    <w:name w:val="xl115"/>
    <w:basedOn w:val="Normal"/>
    <w:qFormat/>
    <w:rsid w:val="000b487d"/>
    <w:pPr>
      <w:pBdr>
        <w:top w:val="single" w:sz="4" w:space="0" w:color="000000"/>
        <w:right w:val="single" w:sz="4" w:space="0" w:color="000000"/>
      </w:pBdr>
      <w:spacing w:beforeAutospacing="1" w:afterAutospacing="1"/>
      <w:ind w:firstLine="709"/>
      <w:jc w:val="center"/>
      <w:textAlignment w:val="center"/>
    </w:pPr>
    <w:rPr>
      <w:rFonts w:ascii="Arial" w:hAnsi="Arial" w:cs="Arial"/>
      <w:lang w:eastAsia="ru-RU"/>
    </w:rPr>
  </w:style>
  <w:style w:type="paragraph" w:styleId="Xl116" w:customStyle="1">
    <w:name w:val="xl116"/>
    <w:basedOn w:val="Normal"/>
    <w:qFormat/>
    <w:rsid w:val="000b487d"/>
    <w:pPr>
      <w:pBdr>
        <w:bottom w:val="single" w:sz="4" w:space="0" w:color="000000"/>
        <w:right w:val="single" w:sz="4" w:space="0" w:color="000000"/>
      </w:pBdr>
      <w:spacing w:beforeAutospacing="1" w:afterAutospacing="1"/>
      <w:ind w:firstLine="709"/>
      <w:jc w:val="center"/>
      <w:textAlignment w:val="center"/>
    </w:pPr>
    <w:rPr>
      <w:rFonts w:ascii="Arial" w:hAnsi="Arial" w:cs="Arial"/>
      <w:lang w:eastAsia="ru-RU"/>
    </w:rPr>
  </w:style>
  <w:style w:type="paragraph" w:styleId="134" w:customStyle="1">
    <w:name w:val="Рецензия1"/>
    <w:next w:val="Revision"/>
    <w:uiPriority w:val="99"/>
    <w:semiHidden/>
    <w:qFormat/>
    <w:rsid w:val="000b487d"/>
    <w:pPr>
      <w:widowControl/>
      <w:suppressAutoHyphens w:val="true"/>
      <w:bidi w:val="0"/>
      <w:spacing w:before="0" w:after="0"/>
      <w:jc w:val="left"/>
    </w:pPr>
    <w:rPr>
      <w:rFonts w:ascii="Calibri" w:hAnsi="Calibri" w:eastAsia="Calibri" w:cs="Times New Roman"/>
      <w:color w:val="auto"/>
      <w:kern w:val="0"/>
      <w:sz w:val="24"/>
      <w:szCs w:val="22"/>
      <w:lang w:val="en-US" w:eastAsia="en-US" w:bidi="ar-SA"/>
    </w:rPr>
  </w:style>
  <w:style w:type="paragraph" w:styleId="DocumentMap">
    <w:name w:val="Document Map"/>
    <w:basedOn w:val="Normal"/>
    <w:uiPriority w:val="99"/>
    <w:unhideWhenUsed/>
    <w:qFormat/>
    <w:rsid w:val="000b487d"/>
    <w:pPr>
      <w:ind w:firstLine="709"/>
      <w:jc w:val="both"/>
    </w:pPr>
    <w:rPr>
      <w:rFonts w:ascii="Tahoma" w:hAnsi="Tahoma" w:cs="Tahoma"/>
      <w:sz w:val="16"/>
      <w:szCs w:val="16"/>
      <w:lang w:eastAsia="ru-RU"/>
    </w:rPr>
  </w:style>
  <w:style w:type="paragraph" w:styleId="Style82" w:customStyle="1">
    <w:name w:val="Название таблицы"/>
    <w:basedOn w:val="Normal"/>
    <w:qFormat/>
    <w:rsid w:val="000b487d"/>
    <w:pPr>
      <w:spacing w:lineRule="auto" w:line="360"/>
      <w:ind w:firstLine="709"/>
      <w:jc w:val="center"/>
    </w:pPr>
    <w:rPr>
      <w:lang w:eastAsia="en-US"/>
    </w:rPr>
  </w:style>
  <w:style w:type="paragraph" w:styleId="135" w:customStyle="1">
    <w:name w:val="1"/>
    <w:basedOn w:val="Normal"/>
    <w:qFormat/>
    <w:rsid w:val="000b487d"/>
    <w:pPr>
      <w:spacing w:lineRule="exact" w:line="240"/>
      <w:ind w:firstLine="709"/>
      <w:jc w:val="both"/>
    </w:pPr>
    <w:rPr>
      <w:rFonts w:ascii="PT Astra Serif" w:hAnsi="PT Astra Serif" w:eastAsia="Tahoma" w:cs="Noto Sans Devanagari"/>
      <w:sz w:val="20"/>
      <w:lang w:bidi="hi-IN"/>
    </w:rPr>
  </w:style>
  <w:style w:type="paragraph" w:styleId="Font7" w:customStyle="1">
    <w:name w:val="font7"/>
    <w:basedOn w:val="Normal"/>
    <w:qFormat/>
    <w:rsid w:val="000b487d"/>
    <w:pPr>
      <w:spacing w:beforeAutospacing="1" w:afterAutospacing="1"/>
      <w:ind w:firstLine="709"/>
      <w:jc w:val="both"/>
    </w:pPr>
    <w:rPr>
      <w:rFonts w:ascii="Tahoma" w:hAnsi="Tahoma" w:cs="Tahoma"/>
      <w:color w:val="000000"/>
      <w:sz w:val="18"/>
      <w:szCs w:val="18"/>
      <w:lang w:eastAsia="ru-RU"/>
    </w:rPr>
  </w:style>
  <w:style w:type="paragraph" w:styleId="Font8" w:customStyle="1">
    <w:name w:val="font8"/>
    <w:basedOn w:val="Normal"/>
    <w:qFormat/>
    <w:rsid w:val="000b487d"/>
    <w:pPr>
      <w:spacing w:beforeAutospacing="1" w:afterAutospacing="1"/>
      <w:ind w:firstLine="709"/>
      <w:jc w:val="both"/>
    </w:pPr>
    <w:rPr>
      <w:rFonts w:ascii="Tahoma" w:hAnsi="Tahoma" w:cs="Tahoma"/>
      <w:b/>
      <w:bCs/>
      <w:color w:val="000000"/>
      <w:sz w:val="18"/>
      <w:szCs w:val="18"/>
      <w:lang w:eastAsia="ru-RU"/>
    </w:rPr>
  </w:style>
  <w:style w:type="paragraph" w:styleId="Font9" w:customStyle="1">
    <w:name w:val="font9"/>
    <w:basedOn w:val="Normal"/>
    <w:qFormat/>
    <w:rsid w:val="000b487d"/>
    <w:pPr>
      <w:spacing w:beforeAutospacing="1" w:afterAutospacing="1"/>
      <w:ind w:firstLine="709"/>
      <w:jc w:val="both"/>
    </w:pPr>
    <w:rPr>
      <w:rFonts w:ascii="Tahoma" w:hAnsi="Tahoma" w:cs="Tahoma"/>
      <w:color w:val="000000"/>
      <w:sz w:val="20"/>
      <w:szCs w:val="20"/>
      <w:lang w:eastAsia="ru-RU"/>
    </w:rPr>
  </w:style>
  <w:style w:type="paragraph" w:styleId="Font10" w:customStyle="1">
    <w:name w:val="font10"/>
    <w:basedOn w:val="Normal"/>
    <w:qFormat/>
    <w:rsid w:val="000b487d"/>
    <w:pPr>
      <w:spacing w:beforeAutospacing="1" w:afterAutospacing="1"/>
      <w:ind w:firstLine="709"/>
      <w:jc w:val="both"/>
    </w:pPr>
    <w:rPr>
      <w:rFonts w:ascii="Tahoma" w:hAnsi="Tahoma" w:cs="Tahoma"/>
      <w:b/>
      <w:bCs/>
      <w:color w:val="000000"/>
      <w:sz w:val="20"/>
      <w:szCs w:val="20"/>
      <w:lang w:eastAsia="ru-RU"/>
    </w:rPr>
  </w:style>
  <w:style w:type="paragraph" w:styleId="Xl63" w:customStyle="1">
    <w:name w:val="xl63"/>
    <w:basedOn w:val="Normal"/>
    <w:qFormat/>
    <w:rsid w:val="000b487d"/>
    <w:pPr>
      <w:spacing w:beforeAutospacing="1" w:afterAutospacing="1"/>
      <w:ind w:firstLine="709"/>
      <w:jc w:val="both"/>
    </w:pPr>
    <w:rPr>
      <w:lang w:eastAsia="ru-RU"/>
    </w:rPr>
  </w:style>
  <w:style w:type="paragraph" w:styleId="Xl64" w:customStyle="1">
    <w:name w:val="xl64"/>
    <w:basedOn w:val="Normal"/>
    <w:qFormat/>
    <w:rsid w:val="000b487d"/>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ind w:firstLine="709"/>
      <w:jc w:val="center"/>
    </w:pPr>
    <w:rPr>
      <w:color w:val="000000"/>
      <w:sz w:val="20"/>
      <w:szCs w:val="20"/>
      <w:lang w:eastAsia="ru-RU"/>
    </w:rPr>
  </w:style>
  <w:style w:type="paragraph" w:styleId="Xl65" w:customStyle="1">
    <w:name w:val="xl65"/>
    <w:basedOn w:val="Normal"/>
    <w:qFormat/>
    <w:rsid w:val="000b487d"/>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ind w:firstLine="709"/>
      <w:jc w:val="center"/>
    </w:pPr>
    <w:rPr>
      <w:color w:val="000000"/>
      <w:sz w:val="20"/>
      <w:szCs w:val="20"/>
      <w:lang w:eastAsia="ru-RU"/>
    </w:rPr>
  </w:style>
  <w:style w:type="paragraph" w:styleId="Xl66" w:customStyle="1">
    <w:name w:val="xl66"/>
    <w:basedOn w:val="Normal"/>
    <w:qFormat/>
    <w:rsid w:val="000b487d"/>
    <w:pPr>
      <w:pBdr>
        <w:top w:val="single" w:sz="4" w:space="0" w:color="000000"/>
        <w:left w:val="single" w:sz="4" w:space="0" w:color="000000"/>
        <w:bottom w:val="single" w:sz="4" w:space="0" w:color="000000"/>
        <w:right w:val="single" w:sz="4" w:space="0" w:color="000000"/>
      </w:pBdr>
      <w:shd w:val="clear" w:color="000000" w:fill="C0C0C0"/>
      <w:spacing w:beforeAutospacing="1" w:afterAutospacing="1"/>
      <w:ind w:firstLine="709"/>
      <w:jc w:val="center"/>
      <w:textAlignment w:val="center"/>
    </w:pPr>
    <w:rPr>
      <w:b/>
      <w:bCs/>
      <w:color w:val="000000"/>
      <w:sz w:val="20"/>
      <w:szCs w:val="20"/>
      <w:lang w:eastAsia="ru-RU"/>
    </w:rPr>
  </w:style>
  <w:style w:type="paragraph" w:styleId="FORMATTEXT" w:customStyle="1">
    <w:name w:val=".FORMATTEXT"/>
    <w:uiPriority w:val="99"/>
    <w:qFormat/>
    <w:rsid w:val="000b487d"/>
    <w:pPr>
      <w:widowControl w:val="false"/>
      <w:suppressAutoHyphens w:val="true"/>
      <w:bidi w:val="0"/>
      <w:spacing w:before="0" w:after="0"/>
      <w:jc w:val="left"/>
    </w:pPr>
    <w:rPr>
      <w:rFonts w:ascii="Times New Roman" w:hAnsi="Times New Roman" w:eastAsia="Times New Roman" w:cs="Times New Roman"/>
      <w:color w:val="auto"/>
      <w:kern w:val="0"/>
      <w:sz w:val="24"/>
      <w:szCs w:val="24"/>
      <w:lang w:val="ru-RU" w:eastAsia="ru-RU" w:bidi="ar-SA"/>
    </w:rPr>
  </w:style>
  <w:style w:type="paragraph" w:styleId="136" w:customStyle="1">
    <w:name w:val="Красная строка1"/>
    <w:basedOn w:val="Style71"/>
    <w:qFormat/>
    <w:rsid w:val="000b487d"/>
    <w:pPr>
      <w:spacing w:lineRule="auto" w:line="240" w:before="0" w:after="120"/>
      <w:ind w:firstLine="210"/>
      <w:jc w:val="both"/>
    </w:pPr>
    <w:rPr>
      <w:sz w:val="20"/>
      <w:szCs w:val="20"/>
      <w:lang w:eastAsia="ar-SA"/>
    </w:rPr>
  </w:style>
  <w:style w:type="paragraph" w:styleId="Xl117" w:customStyle="1">
    <w:name w:val="xl117"/>
    <w:basedOn w:val="Normal"/>
    <w:qFormat/>
    <w:rsid w:val="000b487d"/>
    <w:pPr>
      <w:pBdr>
        <w:left w:val="single" w:sz="4" w:space="0" w:color="000000"/>
        <w:right w:val="single" w:sz="4" w:space="0" w:color="000000"/>
      </w:pBdr>
      <w:spacing w:beforeAutospacing="1" w:afterAutospacing="1"/>
      <w:ind w:firstLine="709"/>
      <w:jc w:val="center"/>
      <w:textAlignment w:val="center"/>
    </w:pPr>
    <w:rPr>
      <w:rFonts w:ascii="Arial" w:hAnsi="Arial" w:cs="Arial"/>
      <w:lang w:eastAsia="ru-RU"/>
    </w:rPr>
  </w:style>
  <w:style w:type="paragraph" w:styleId="Xl118" w:customStyle="1">
    <w:name w:val="xl118"/>
    <w:basedOn w:val="Normal"/>
    <w:qFormat/>
    <w:rsid w:val="000b487d"/>
    <w:pPr>
      <w:pBdr>
        <w:top w:val="single" w:sz="4" w:space="0" w:color="000000"/>
        <w:left w:val="single" w:sz="4" w:space="0" w:color="000000"/>
        <w:bottom w:val="single" w:sz="4" w:space="0" w:color="000000"/>
      </w:pBdr>
      <w:spacing w:beforeAutospacing="1" w:afterAutospacing="1"/>
      <w:ind w:firstLine="709"/>
      <w:jc w:val="right"/>
    </w:pPr>
    <w:rPr>
      <w:rFonts w:ascii="Arial" w:hAnsi="Arial" w:cs="Arial"/>
      <w:lang w:eastAsia="ru-RU"/>
    </w:rPr>
  </w:style>
  <w:style w:type="paragraph" w:styleId="Xl119" w:customStyle="1">
    <w:name w:val="xl119"/>
    <w:basedOn w:val="Normal"/>
    <w:qFormat/>
    <w:rsid w:val="000b487d"/>
    <w:pPr>
      <w:pBdr>
        <w:top w:val="single" w:sz="4" w:space="0" w:color="000000"/>
        <w:left w:val="single" w:sz="4" w:space="0" w:color="000000"/>
        <w:bottom w:val="single" w:sz="4" w:space="0" w:color="000000"/>
        <w:right w:val="single" w:sz="4" w:space="0" w:color="000000"/>
      </w:pBdr>
      <w:spacing w:beforeAutospacing="1" w:afterAutospacing="1"/>
      <w:ind w:firstLine="709"/>
      <w:jc w:val="right"/>
    </w:pPr>
    <w:rPr>
      <w:rFonts w:ascii="Arial" w:hAnsi="Arial" w:cs="Arial"/>
      <w:b/>
      <w:bCs/>
      <w:lang w:eastAsia="ru-RU"/>
    </w:rPr>
  </w:style>
  <w:style w:type="paragraph" w:styleId="Xl120" w:customStyle="1">
    <w:name w:val="xl120"/>
    <w:basedOn w:val="Normal"/>
    <w:qFormat/>
    <w:rsid w:val="000b487d"/>
    <w:pPr>
      <w:pBdr>
        <w:top w:val="single" w:sz="4" w:space="0" w:color="000000"/>
        <w:left w:val="single" w:sz="4" w:space="0" w:color="000000"/>
        <w:bottom w:val="single" w:sz="4" w:space="0" w:color="000000"/>
      </w:pBdr>
      <w:spacing w:beforeAutospacing="1" w:afterAutospacing="1"/>
      <w:ind w:firstLine="709"/>
      <w:jc w:val="right"/>
    </w:pPr>
    <w:rPr>
      <w:rFonts w:ascii="Arial" w:hAnsi="Arial" w:cs="Arial"/>
      <w:b/>
      <w:bCs/>
      <w:lang w:eastAsia="ru-RU"/>
    </w:rPr>
  </w:style>
  <w:style w:type="paragraph" w:styleId="Xl121" w:customStyle="1">
    <w:name w:val="xl121"/>
    <w:basedOn w:val="Normal"/>
    <w:qFormat/>
    <w:rsid w:val="000b487d"/>
    <w:pPr>
      <w:pBdr>
        <w:top w:val="single" w:sz="4" w:space="0" w:color="000000"/>
        <w:left w:val="single" w:sz="4" w:space="0" w:color="000000"/>
        <w:bottom w:val="single" w:sz="4" w:space="0" w:color="000000"/>
        <w:right w:val="single" w:sz="4" w:space="0" w:color="000000"/>
      </w:pBdr>
      <w:spacing w:beforeAutospacing="1" w:afterAutospacing="1"/>
      <w:ind w:firstLine="709"/>
      <w:jc w:val="right"/>
      <w:textAlignment w:val="top"/>
    </w:pPr>
    <w:rPr>
      <w:rFonts w:ascii="Arial" w:hAnsi="Arial" w:cs="Arial"/>
      <w:lang w:eastAsia="ru-RU"/>
    </w:rPr>
  </w:style>
  <w:style w:type="paragraph" w:styleId="Xl122" w:customStyle="1">
    <w:name w:val="xl122"/>
    <w:basedOn w:val="Normal"/>
    <w:qFormat/>
    <w:rsid w:val="000b487d"/>
    <w:pPr>
      <w:spacing w:beforeAutospacing="1" w:afterAutospacing="1"/>
      <w:ind w:firstLine="709"/>
      <w:jc w:val="right"/>
      <w:textAlignment w:val="top"/>
    </w:pPr>
    <w:rPr>
      <w:rFonts w:ascii="Arial" w:hAnsi="Arial" w:cs="Arial"/>
      <w:b/>
      <w:bCs/>
      <w:i/>
      <w:iCs/>
      <w:lang w:eastAsia="ru-RU"/>
    </w:rPr>
  </w:style>
  <w:style w:type="paragraph" w:styleId="Xl123" w:customStyle="1">
    <w:name w:val="xl123"/>
    <w:basedOn w:val="Normal"/>
    <w:qFormat/>
    <w:rsid w:val="000b487d"/>
    <w:pPr>
      <w:spacing w:beforeAutospacing="1" w:afterAutospacing="1"/>
      <w:ind w:firstLine="709"/>
      <w:jc w:val="right"/>
    </w:pPr>
    <w:rPr>
      <w:rFonts w:ascii="Arial" w:hAnsi="Arial" w:cs="Arial"/>
      <w:lang w:eastAsia="ru-RU"/>
    </w:rPr>
  </w:style>
  <w:style w:type="paragraph" w:styleId="HEADERTEXT" w:customStyle="1">
    <w:name w:val=".HEADERTEXT"/>
    <w:uiPriority w:val="99"/>
    <w:qFormat/>
    <w:rsid w:val="000b487d"/>
    <w:pPr>
      <w:widowControl w:val="false"/>
      <w:suppressAutoHyphens w:val="true"/>
      <w:bidi w:val="0"/>
      <w:spacing w:before="0" w:after="0"/>
      <w:jc w:val="left"/>
    </w:pPr>
    <w:rPr>
      <w:rFonts w:ascii="Times New Roman" w:hAnsi="Times New Roman" w:eastAsia="Times New Roman" w:cs="Times New Roman"/>
      <w:color w:val="2B4279"/>
      <w:kern w:val="0"/>
      <w:sz w:val="24"/>
      <w:szCs w:val="24"/>
      <w:lang w:val="ru-RU" w:eastAsia="ru-RU" w:bidi="ar-SA"/>
    </w:rPr>
  </w:style>
  <w:style w:type="paragraph" w:styleId="Xl124" w:customStyle="1">
    <w:name w:val="xl124"/>
    <w:basedOn w:val="Normal"/>
    <w:qFormat/>
    <w:rsid w:val="000b487d"/>
    <w:pPr>
      <w:pBdr>
        <w:bottom w:val="single" w:sz="4" w:space="0" w:color="000000"/>
        <w:right w:val="single" w:sz="4" w:space="0" w:color="000000"/>
      </w:pBdr>
      <w:shd w:val="clear" w:color="000000" w:fill="EBF1DE"/>
      <w:spacing w:beforeAutospacing="1" w:afterAutospacing="1"/>
      <w:ind w:firstLine="709"/>
      <w:jc w:val="center"/>
      <w:textAlignment w:val="center"/>
    </w:pPr>
    <w:rPr>
      <w:rFonts w:ascii="Arial" w:hAnsi="Arial" w:cs="Arial"/>
      <w:sz w:val="20"/>
      <w:szCs w:val="20"/>
      <w:lang w:eastAsia="ru-RU"/>
    </w:rPr>
  </w:style>
  <w:style w:type="paragraph" w:styleId="Xl125" w:customStyle="1">
    <w:name w:val="xl125"/>
    <w:basedOn w:val="Normal"/>
    <w:qFormat/>
    <w:rsid w:val="000b487d"/>
    <w:pPr>
      <w:pBdr>
        <w:left w:val="single" w:sz="4" w:space="0" w:color="000000"/>
        <w:right w:val="single" w:sz="4" w:space="0" w:color="000000"/>
      </w:pBdr>
      <w:shd w:val="clear" w:color="000000" w:fill="EBF1DE"/>
      <w:spacing w:beforeAutospacing="1" w:afterAutospacing="1"/>
      <w:ind w:firstLine="709"/>
      <w:jc w:val="center"/>
      <w:textAlignment w:val="center"/>
    </w:pPr>
    <w:rPr>
      <w:rFonts w:ascii="Arial" w:hAnsi="Arial" w:cs="Arial"/>
      <w:sz w:val="20"/>
      <w:szCs w:val="20"/>
      <w:lang w:eastAsia="ru-RU"/>
    </w:rPr>
  </w:style>
  <w:style w:type="paragraph" w:styleId="Xl126" w:customStyle="1">
    <w:name w:val="xl126"/>
    <w:basedOn w:val="Normal"/>
    <w:qFormat/>
    <w:rsid w:val="000b487d"/>
    <w:pPr>
      <w:pBdr>
        <w:left w:val="single" w:sz="4" w:space="0" w:color="000000"/>
        <w:bottom w:val="single" w:sz="4" w:space="0" w:color="000000"/>
        <w:right w:val="single" w:sz="4" w:space="0" w:color="000000"/>
      </w:pBdr>
      <w:shd w:val="clear" w:color="000000" w:fill="EBF1DE"/>
      <w:spacing w:beforeAutospacing="1" w:afterAutospacing="1"/>
      <w:ind w:firstLine="709"/>
      <w:jc w:val="center"/>
      <w:textAlignment w:val="center"/>
    </w:pPr>
    <w:rPr>
      <w:rFonts w:ascii="Arial" w:hAnsi="Arial" w:cs="Arial"/>
      <w:sz w:val="20"/>
      <w:szCs w:val="20"/>
      <w:lang w:eastAsia="ru-RU"/>
    </w:rPr>
  </w:style>
  <w:style w:type="paragraph" w:styleId="Xl127" w:customStyle="1">
    <w:name w:val="xl127"/>
    <w:basedOn w:val="Normal"/>
    <w:qFormat/>
    <w:rsid w:val="000b487d"/>
    <w:pPr>
      <w:pBdr>
        <w:top w:val="single" w:sz="4" w:space="0" w:color="000000"/>
        <w:left w:val="single" w:sz="4" w:space="0" w:color="000000"/>
        <w:right w:val="single" w:sz="4" w:space="0" w:color="000000"/>
      </w:pBdr>
      <w:shd w:val="clear" w:color="000000" w:fill="EBF1DE"/>
      <w:spacing w:beforeAutospacing="1" w:afterAutospacing="1"/>
      <w:ind w:firstLine="709"/>
      <w:jc w:val="center"/>
      <w:textAlignment w:val="center"/>
    </w:pPr>
    <w:rPr>
      <w:rFonts w:ascii="Arial" w:hAnsi="Arial" w:cs="Arial"/>
      <w:sz w:val="20"/>
      <w:szCs w:val="20"/>
      <w:lang w:eastAsia="ru-RU"/>
    </w:rPr>
  </w:style>
  <w:style w:type="paragraph" w:styleId="Xl128" w:customStyle="1">
    <w:name w:val="xl128"/>
    <w:basedOn w:val="Normal"/>
    <w:qFormat/>
    <w:rsid w:val="000b487d"/>
    <w:pPr>
      <w:pBdr>
        <w:left w:val="single" w:sz="4" w:space="0" w:color="000000"/>
        <w:right w:val="single" w:sz="4" w:space="0" w:color="000000"/>
      </w:pBdr>
      <w:shd w:val="clear" w:color="000000" w:fill="EBF1DE"/>
      <w:spacing w:beforeAutospacing="1" w:afterAutospacing="1"/>
      <w:ind w:firstLine="709"/>
      <w:jc w:val="center"/>
      <w:textAlignment w:val="center"/>
    </w:pPr>
    <w:rPr>
      <w:rFonts w:ascii="Arial" w:hAnsi="Arial" w:cs="Arial"/>
      <w:sz w:val="20"/>
      <w:szCs w:val="20"/>
      <w:lang w:eastAsia="ru-RU"/>
    </w:rPr>
  </w:style>
  <w:style w:type="paragraph" w:styleId="Xl129" w:customStyle="1">
    <w:name w:val="xl129"/>
    <w:basedOn w:val="Normal"/>
    <w:qFormat/>
    <w:rsid w:val="000b487d"/>
    <w:pPr>
      <w:pBdr>
        <w:left w:val="single" w:sz="4" w:space="0" w:color="000000"/>
        <w:bottom w:val="single" w:sz="4" w:space="0" w:color="000000"/>
        <w:right w:val="single" w:sz="4" w:space="0" w:color="000000"/>
      </w:pBdr>
      <w:shd w:val="clear" w:color="000000" w:fill="EBF1DE"/>
      <w:spacing w:beforeAutospacing="1" w:afterAutospacing="1"/>
      <w:ind w:firstLine="709"/>
      <w:jc w:val="center"/>
      <w:textAlignment w:val="center"/>
    </w:pPr>
    <w:rPr>
      <w:rFonts w:ascii="Arial" w:hAnsi="Arial" w:cs="Arial"/>
      <w:sz w:val="20"/>
      <w:szCs w:val="20"/>
      <w:lang w:eastAsia="ru-RU"/>
    </w:rPr>
  </w:style>
  <w:style w:type="paragraph" w:styleId="Xl130" w:customStyle="1">
    <w:name w:val="xl130"/>
    <w:basedOn w:val="Normal"/>
    <w:qFormat/>
    <w:rsid w:val="000b487d"/>
    <w:pPr>
      <w:pBdr>
        <w:top w:val="single" w:sz="4" w:space="0" w:color="000000"/>
        <w:left w:val="single" w:sz="4" w:space="0" w:color="000000"/>
      </w:pBdr>
      <w:shd w:val="clear" w:color="000000" w:fill="EBF1DE"/>
      <w:spacing w:beforeAutospacing="1" w:afterAutospacing="1"/>
      <w:ind w:firstLine="709"/>
      <w:jc w:val="center"/>
      <w:textAlignment w:val="center"/>
    </w:pPr>
    <w:rPr>
      <w:rFonts w:ascii="Arial" w:hAnsi="Arial" w:cs="Arial"/>
      <w:sz w:val="20"/>
      <w:szCs w:val="20"/>
      <w:lang w:eastAsia="ru-RU"/>
    </w:rPr>
  </w:style>
  <w:style w:type="paragraph" w:styleId="Xl131" w:customStyle="1">
    <w:name w:val="xl131"/>
    <w:basedOn w:val="Normal"/>
    <w:qFormat/>
    <w:rsid w:val="000b487d"/>
    <w:pPr>
      <w:pBdr>
        <w:left w:val="single" w:sz="4" w:space="0" w:color="000000"/>
        <w:right w:val="single" w:sz="4" w:space="0" w:color="000000"/>
      </w:pBdr>
      <w:shd w:val="clear" w:color="000000" w:fill="EBF1DE"/>
      <w:spacing w:beforeAutospacing="1" w:afterAutospacing="1"/>
      <w:ind w:firstLine="709"/>
      <w:jc w:val="center"/>
      <w:textAlignment w:val="center"/>
    </w:pPr>
    <w:rPr>
      <w:rFonts w:ascii="Arial" w:hAnsi="Arial" w:cs="Arial"/>
      <w:sz w:val="20"/>
      <w:szCs w:val="20"/>
      <w:lang w:eastAsia="ru-RU"/>
    </w:rPr>
  </w:style>
  <w:style w:type="paragraph" w:styleId="Xl132" w:customStyle="1">
    <w:name w:val="xl132"/>
    <w:basedOn w:val="Normal"/>
    <w:qFormat/>
    <w:rsid w:val="000b487d"/>
    <w:pPr>
      <w:pBdr>
        <w:left w:val="single" w:sz="4" w:space="0" w:color="000000"/>
        <w:bottom w:val="single" w:sz="4" w:space="0" w:color="000000"/>
        <w:right w:val="single" w:sz="4" w:space="0" w:color="000000"/>
      </w:pBdr>
      <w:shd w:val="clear" w:color="000000" w:fill="EBF1DE"/>
      <w:spacing w:beforeAutospacing="1" w:afterAutospacing="1"/>
      <w:ind w:firstLine="709"/>
      <w:jc w:val="center"/>
      <w:textAlignment w:val="center"/>
    </w:pPr>
    <w:rPr>
      <w:rFonts w:ascii="Arial" w:hAnsi="Arial" w:cs="Arial"/>
      <w:sz w:val="20"/>
      <w:szCs w:val="20"/>
      <w:lang w:eastAsia="ru-RU"/>
    </w:rPr>
  </w:style>
  <w:style w:type="paragraph" w:styleId="Style83" w:customStyle="1">
    <w:name w:val="Назв частей"/>
    <w:basedOn w:val="1113"/>
    <w:qFormat/>
    <w:rsid w:val="000b487d"/>
    <w:pPr>
      <w:keepLines/>
      <w:spacing w:lineRule="auto" w:line="276" w:before="120" w:after="120"/>
      <w:ind w:firstLine="709"/>
    </w:pPr>
    <w:rPr>
      <w:rFonts w:eastAsia="Calibri Light" w:cs="Calibri Light"/>
      <w:b/>
      <w:bCs/>
      <w:caps/>
      <w:color w:val="365F91"/>
      <w:spacing w:val="0"/>
      <w:szCs w:val="28"/>
      <w:lang w:eastAsia="en-US"/>
    </w:rPr>
  </w:style>
  <w:style w:type="paragraph" w:styleId="Style84" w:customStyle="1">
    <w:name w:val="."/>
    <w:uiPriority w:val="99"/>
    <w:qFormat/>
    <w:rsid w:val="000b487d"/>
    <w:pPr>
      <w:widowControl w:val="false"/>
      <w:suppressAutoHyphens w:val="true"/>
      <w:bidi w:val="0"/>
      <w:spacing w:before="0" w:after="0"/>
      <w:jc w:val="left"/>
    </w:pPr>
    <w:rPr>
      <w:rFonts w:ascii="Courier New" w:hAnsi="Courier New" w:eastAsia="Times New Roman" w:cs="Courier New"/>
      <w:color w:val="auto"/>
      <w:kern w:val="0"/>
      <w:sz w:val="24"/>
      <w:szCs w:val="24"/>
      <w:lang w:val="ru-RU" w:eastAsia="ru-RU" w:bidi="ar-SA"/>
    </w:rPr>
  </w:style>
  <w:style w:type="paragraph" w:styleId="229" w:customStyle="1">
    <w:name w:val="Заголовок №2"/>
    <w:basedOn w:val="Normal"/>
    <w:qFormat/>
    <w:rsid w:val="000b487d"/>
    <w:pPr>
      <w:widowControl w:val="false"/>
      <w:shd w:val="clear" w:color="auto" w:fill="FFFFFF"/>
      <w:spacing w:lineRule="exact" w:line="326" w:before="640" w:after="420"/>
      <w:ind w:firstLine="709"/>
      <w:jc w:val="center"/>
      <w:outlineLvl w:val="1"/>
    </w:pPr>
    <w:rPr>
      <w:rFonts w:ascii="PT Astra Serif" w:hAnsi="PT Astra Serif" w:eastAsia="Tahoma" w:cs="Noto Sans Devanagari"/>
      <w:lang w:bidi="hi-IN"/>
    </w:rPr>
  </w:style>
  <w:style w:type="paragraph" w:styleId="54" w:customStyle="1">
    <w:name w:val="Основной текст (5)"/>
    <w:basedOn w:val="Normal"/>
    <w:qFormat/>
    <w:rsid w:val="000b487d"/>
    <w:pPr>
      <w:widowControl w:val="false"/>
      <w:shd w:val="clear" w:color="auto" w:fill="FFFFFF"/>
      <w:spacing w:lineRule="exact" w:line="310" w:before="180" w:after="560"/>
      <w:ind w:firstLine="709"/>
      <w:jc w:val="both"/>
    </w:pPr>
    <w:rPr>
      <w:b/>
      <w:bCs/>
      <w:sz w:val="28"/>
      <w:szCs w:val="28"/>
      <w:lang w:bidi="hi-IN"/>
    </w:rPr>
  </w:style>
  <w:style w:type="paragraph" w:styleId="Msonormal" w:customStyle="1">
    <w:name w:val="msonormal"/>
    <w:basedOn w:val="Normal"/>
    <w:qFormat/>
    <w:rsid w:val="000b487d"/>
    <w:pPr>
      <w:spacing w:beforeAutospacing="1" w:afterAutospacing="1"/>
      <w:ind w:firstLine="709"/>
      <w:jc w:val="both"/>
    </w:pPr>
    <w:rPr>
      <w:lang w:eastAsia="ru-RU"/>
    </w:rPr>
  </w:style>
  <w:style w:type="paragraph" w:styleId="Style85" w:customStyle="1">
    <w:name w:val="Комментарий"/>
    <w:basedOn w:val="Normal"/>
    <w:next w:val="Normal"/>
    <w:uiPriority w:val="99"/>
    <w:qFormat/>
    <w:rsid w:val="000b487d"/>
    <w:pPr>
      <w:widowControl w:val="false"/>
      <w:spacing w:before="75" w:after="0"/>
      <w:ind w:left="170" w:firstLine="709"/>
      <w:jc w:val="both"/>
    </w:pPr>
    <w:rPr>
      <w:rFonts w:ascii="Times New Roman CYR" w:hAnsi="Times New Roman CYR" w:cs="Times New Roman CYR"/>
      <w:color w:val="353842"/>
      <w:shd w:fill="F0F0F0" w:val="clear"/>
      <w:lang w:eastAsia="ru-RU"/>
    </w:rPr>
  </w:style>
  <w:style w:type="paragraph" w:styleId="Style86" w:customStyle="1">
    <w:name w:val="обыч"/>
    <w:basedOn w:val="Normal"/>
    <w:qFormat/>
    <w:rsid w:val="000b487d"/>
    <w:pPr>
      <w:spacing w:lineRule="auto" w:line="360"/>
      <w:ind w:firstLine="567"/>
      <w:jc w:val="both"/>
    </w:pPr>
    <w:rPr>
      <w:rFonts w:ascii="Arial" w:hAnsi="Arial" w:cs="Arial"/>
      <w:lang w:eastAsia="ru-RU"/>
    </w:rPr>
  </w:style>
  <w:style w:type="paragraph" w:styleId="Headertext1" w:customStyle="1">
    <w:name w:val="headertext"/>
    <w:basedOn w:val="Normal"/>
    <w:qFormat/>
    <w:rsid w:val="000b487d"/>
    <w:pPr>
      <w:spacing w:beforeAutospacing="1" w:afterAutospacing="1"/>
      <w:ind w:firstLine="709"/>
      <w:jc w:val="both"/>
    </w:pPr>
    <w:rPr>
      <w:lang w:eastAsia="ru-RU"/>
    </w:rPr>
  </w:style>
  <w:style w:type="paragraph" w:styleId="Formattext1" w:customStyle="1">
    <w:name w:val="formattext"/>
    <w:basedOn w:val="Normal"/>
    <w:qFormat/>
    <w:rsid w:val="000b487d"/>
    <w:pPr>
      <w:spacing w:beforeAutospacing="1" w:afterAutospacing="1"/>
      <w:ind w:firstLine="709"/>
      <w:jc w:val="both"/>
    </w:pPr>
    <w:rPr>
      <w:lang w:eastAsia="ru-RU"/>
    </w:rPr>
  </w:style>
  <w:style w:type="paragraph" w:styleId="Annotationtext">
    <w:name w:val="annotation text"/>
    <w:basedOn w:val="Normal"/>
    <w:uiPriority w:val="99"/>
    <w:unhideWhenUsed/>
    <w:qFormat/>
    <w:rsid w:val="000b487d"/>
    <w:pPr>
      <w:ind w:firstLine="709"/>
      <w:jc w:val="both"/>
    </w:pPr>
    <w:rPr>
      <w:sz w:val="20"/>
      <w:szCs w:val="20"/>
      <w:lang w:eastAsia="ru-RU"/>
    </w:rPr>
  </w:style>
  <w:style w:type="paragraph" w:styleId="Annotationsubject">
    <w:name w:val="annotation subject"/>
    <w:basedOn w:val="Annotationtext"/>
    <w:next w:val="Annotationtext"/>
    <w:uiPriority w:val="99"/>
    <w:semiHidden/>
    <w:unhideWhenUsed/>
    <w:qFormat/>
    <w:rsid w:val="000b487d"/>
    <w:pPr/>
    <w:rPr>
      <w:b/>
      <w:bCs/>
    </w:rPr>
  </w:style>
  <w:style w:type="paragraph" w:styleId="Style87" w:customStyle="1">
    <w:name w:val="Подпись к таблице"/>
    <w:basedOn w:val="Normal"/>
    <w:qFormat/>
    <w:rsid w:val="000b487d"/>
    <w:pPr>
      <w:shd w:val="clear" w:color="auto" w:fill="FFFFFF"/>
      <w:spacing w:lineRule="exact" w:line="310"/>
      <w:ind w:firstLine="709"/>
      <w:jc w:val="both"/>
    </w:pPr>
    <w:rPr>
      <w:rFonts w:cs="Calibri"/>
      <w:b/>
      <w:bCs/>
      <w:sz w:val="28"/>
      <w:szCs w:val="28"/>
      <w:lang w:eastAsia="en-US"/>
    </w:rPr>
  </w:style>
  <w:style w:type="paragraph" w:styleId="1210" w:customStyle="1">
    <w:name w:val="Оглавление 12"/>
    <w:basedOn w:val="Normal"/>
    <w:next w:val="Normal"/>
    <w:autoRedefine/>
    <w:uiPriority w:val="39"/>
    <w:unhideWhenUsed/>
    <w:qFormat/>
    <w:rsid w:val="000b487d"/>
    <w:pPr>
      <w:spacing w:lineRule="auto" w:line="276" w:before="0" w:after="100"/>
      <w:ind w:firstLine="709"/>
      <w:jc w:val="both"/>
    </w:pPr>
    <w:rPr>
      <w:rFonts w:eastAsia="Calibri" w:cs="Calibri"/>
      <w:szCs w:val="22"/>
      <w:lang w:eastAsia="ru-RU"/>
    </w:rPr>
  </w:style>
  <w:style w:type="paragraph" w:styleId="315" w:customStyle="1">
    <w:name w:val="Оглавление 31"/>
    <w:basedOn w:val="Normal"/>
    <w:next w:val="Normal"/>
    <w:autoRedefine/>
    <w:uiPriority w:val="39"/>
    <w:unhideWhenUsed/>
    <w:qFormat/>
    <w:rsid w:val="000b487d"/>
    <w:pPr>
      <w:tabs>
        <w:tab w:val="clear" w:pos="408"/>
        <w:tab w:val="right" w:pos="9629" w:leader="dot"/>
      </w:tabs>
      <w:spacing w:before="0" w:after="100"/>
      <w:ind w:left="440" w:firstLine="709"/>
      <w:jc w:val="both"/>
    </w:pPr>
    <w:rPr>
      <w:rFonts w:eastAsia="Calibri" w:cs="Calibri"/>
      <w:szCs w:val="22"/>
      <w:lang w:eastAsia="en-US"/>
    </w:rPr>
  </w:style>
  <w:style w:type="paragraph" w:styleId="413" w:customStyle="1">
    <w:name w:val="Оглавление 41"/>
    <w:basedOn w:val="Normal"/>
    <w:next w:val="Normal"/>
    <w:autoRedefine/>
    <w:uiPriority w:val="39"/>
    <w:unhideWhenUsed/>
    <w:qFormat/>
    <w:rsid w:val="000b487d"/>
    <w:pPr>
      <w:spacing w:before="0" w:after="100"/>
      <w:ind w:left="660" w:firstLine="709"/>
      <w:jc w:val="both"/>
    </w:pPr>
    <w:rPr>
      <w:rFonts w:eastAsia="Calibri" w:cs="Calibri"/>
      <w:szCs w:val="22"/>
      <w:lang w:eastAsia="ru-RU"/>
    </w:rPr>
  </w:style>
  <w:style w:type="paragraph" w:styleId="512" w:customStyle="1">
    <w:name w:val="Оглавление 51"/>
    <w:basedOn w:val="Normal"/>
    <w:next w:val="Normal"/>
    <w:autoRedefine/>
    <w:uiPriority w:val="39"/>
    <w:unhideWhenUsed/>
    <w:qFormat/>
    <w:rsid w:val="000b487d"/>
    <w:pPr>
      <w:spacing w:before="0" w:after="100"/>
      <w:ind w:left="880" w:firstLine="709"/>
      <w:jc w:val="both"/>
    </w:pPr>
    <w:rPr>
      <w:rFonts w:eastAsia="Calibri" w:cs="Calibri"/>
      <w:szCs w:val="22"/>
      <w:lang w:eastAsia="ru-RU"/>
    </w:rPr>
  </w:style>
  <w:style w:type="paragraph" w:styleId="613" w:customStyle="1">
    <w:name w:val="Оглавление 61"/>
    <w:basedOn w:val="Normal"/>
    <w:next w:val="Normal"/>
    <w:autoRedefine/>
    <w:uiPriority w:val="39"/>
    <w:unhideWhenUsed/>
    <w:qFormat/>
    <w:rsid w:val="000b487d"/>
    <w:pPr>
      <w:spacing w:before="0" w:after="100"/>
      <w:ind w:left="1100" w:firstLine="709"/>
      <w:jc w:val="both"/>
    </w:pPr>
    <w:rPr>
      <w:rFonts w:eastAsia="Calibri" w:cs="Calibri"/>
      <w:szCs w:val="22"/>
      <w:lang w:eastAsia="ru-RU"/>
    </w:rPr>
  </w:style>
  <w:style w:type="paragraph" w:styleId="713" w:customStyle="1">
    <w:name w:val="Оглавление 71"/>
    <w:basedOn w:val="Normal"/>
    <w:next w:val="Normal"/>
    <w:autoRedefine/>
    <w:uiPriority w:val="39"/>
    <w:unhideWhenUsed/>
    <w:qFormat/>
    <w:rsid w:val="000b487d"/>
    <w:pPr>
      <w:spacing w:before="0" w:after="100"/>
      <w:ind w:left="1320" w:firstLine="709"/>
      <w:jc w:val="both"/>
    </w:pPr>
    <w:rPr>
      <w:rFonts w:eastAsia="Calibri" w:cs="Calibri"/>
      <w:szCs w:val="22"/>
      <w:lang w:eastAsia="ru-RU"/>
    </w:rPr>
  </w:style>
  <w:style w:type="paragraph" w:styleId="813" w:customStyle="1">
    <w:name w:val="Оглавление 81"/>
    <w:basedOn w:val="Normal"/>
    <w:next w:val="Normal"/>
    <w:autoRedefine/>
    <w:uiPriority w:val="39"/>
    <w:unhideWhenUsed/>
    <w:qFormat/>
    <w:rsid w:val="000b487d"/>
    <w:pPr>
      <w:spacing w:before="0" w:after="100"/>
      <w:ind w:left="1540" w:firstLine="709"/>
      <w:jc w:val="both"/>
    </w:pPr>
    <w:rPr>
      <w:rFonts w:eastAsia="Calibri" w:cs="Calibri"/>
      <w:szCs w:val="22"/>
      <w:lang w:eastAsia="ru-RU"/>
    </w:rPr>
  </w:style>
  <w:style w:type="paragraph" w:styleId="912" w:customStyle="1">
    <w:name w:val="Оглавление 91"/>
    <w:basedOn w:val="Normal"/>
    <w:next w:val="Normal"/>
    <w:autoRedefine/>
    <w:uiPriority w:val="39"/>
    <w:unhideWhenUsed/>
    <w:qFormat/>
    <w:rsid w:val="000b487d"/>
    <w:pPr>
      <w:spacing w:before="0" w:after="100"/>
      <w:ind w:left="1760" w:firstLine="709"/>
      <w:jc w:val="both"/>
    </w:pPr>
    <w:rPr>
      <w:rFonts w:eastAsia="Calibri" w:cs="Calibri"/>
      <w:szCs w:val="22"/>
      <w:lang w:eastAsia="ru-RU"/>
    </w:rPr>
  </w:style>
  <w:style w:type="paragraph" w:styleId="Style88" w:customStyle="1">
    <w:name w:val="_Обычный"/>
    <w:qFormat/>
    <w:rsid w:val="000b487d"/>
    <w:pPr>
      <w:widowControl/>
      <w:suppressAutoHyphens w:val="true"/>
      <w:bidi w:val="0"/>
      <w:spacing w:lineRule="auto" w:line="360" w:before="0" w:after="0"/>
      <w:ind w:firstLine="709"/>
      <w:jc w:val="both"/>
    </w:pPr>
    <w:rPr>
      <w:rFonts w:ascii="Arial" w:hAnsi="Arial" w:eastAsia="Calibri" w:cs="Times New Roman"/>
      <w:iCs/>
      <w:color w:val="auto"/>
      <w:kern w:val="0"/>
      <w:sz w:val="24"/>
      <w:szCs w:val="26"/>
      <w:lang w:val="ru-RU" w:eastAsia="en-US" w:bidi="ar-SA"/>
    </w:rPr>
  </w:style>
  <w:style w:type="paragraph" w:styleId="101" w:customStyle="1">
    <w:name w:val="Знак101"/>
    <w:basedOn w:val="Normal"/>
    <w:next w:val="132"/>
    <w:uiPriority w:val="99"/>
    <w:unhideWhenUsed/>
    <w:qFormat/>
    <w:rsid w:val="000b487d"/>
    <w:pPr>
      <w:tabs>
        <w:tab w:val="clear" w:pos="408"/>
        <w:tab w:val="center" w:pos="4677" w:leader="none"/>
        <w:tab w:val="right" w:pos="9355" w:leader="none"/>
      </w:tabs>
      <w:ind w:firstLine="709"/>
      <w:jc w:val="both"/>
    </w:pPr>
    <w:rPr>
      <w:rFonts w:eastAsia="Calibri" w:cs="Calibri"/>
      <w:szCs w:val="22"/>
      <w:lang w:eastAsia="en-US"/>
    </w:rPr>
  </w:style>
  <w:style w:type="paragraph" w:styleId="137" w:customStyle="1">
    <w:name w:val="Заголовок1"/>
    <w:basedOn w:val="Normal"/>
    <w:next w:val="Normal"/>
    <w:qFormat/>
    <w:rsid w:val="000b487d"/>
    <w:pPr>
      <w:spacing w:before="0" w:after="0"/>
      <w:ind w:firstLine="709"/>
      <w:contextualSpacing/>
      <w:jc w:val="both"/>
    </w:pPr>
    <w:rPr>
      <w:rFonts w:ascii="Cambria" w:hAnsi="Cambria"/>
      <w:spacing w:val="-10"/>
      <w:kern w:val="2"/>
      <w:sz w:val="56"/>
      <w:szCs w:val="56"/>
      <w:lang w:eastAsia="ru-RU"/>
    </w:rPr>
  </w:style>
  <w:style w:type="paragraph" w:styleId="138" w:customStyle="1">
    <w:name w:val="Оглавление 13"/>
    <w:basedOn w:val="Normal"/>
    <w:next w:val="Normal"/>
    <w:autoRedefine/>
    <w:uiPriority w:val="39"/>
    <w:unhideWhenUsed/>
    <w:qFormat/>
    <w:rsid w:val="000b487d"/>
    <w:pPr>
      <w:spacing w:lineRule="auto" w:line="276" w:before="0" w:after="100"/>
      <w:ind w:firstLine="709"/>
      <w:jc w:val="both"/>
    </w:pPr>
    <w:rPr>
      <w:rFonts w:cs="Calibri"/>
      <w:szCs w:val="22"/>
      <w:lang w:eastAsia="ru-RU"/>
    </w:rPr>
  </w:style>
  <w:style w:type="paragraph" w:styleId="142" w:customStyle="1">
    <w:name w:val="Оглавление 14"/>
    <w:basedOn w:val="Normal"/>
    <w:next w:val="Normal"/>
    <w:autoRedefine/>
    <w:uiPriority w:val="39"/>
    <w:unhideWhenUsed/>
    <w:qFormat/>
    <w:rsid w:val="000b487d"/>
    <w:pPr>
      <w:spacing w:lineRule="auto" w:line="276" w:before="0" w:after="100"/>
      <w:ind w:firstLine="709"/>
      <w:jc w:val="both"/>
    </w:pPr>
    <w:rPr>
      <w:rFonts w:cs="Calibri"/>
      <w:szCs w:val="22"/>
      <w:lang w:eastAsia="ru-RU"/>
    </w:rPr>
  </w:style>
  <w:style w:type="paragraph" w:styleId="151" w:customStyle="1">
    <w:name w:val="Оглавление 15"/>
    <w:basedOn w:val="Normal"/>
    <w:next w:val="Normal"/>
    <w:autoRedefine/>
    <w:uiPriority w:val="39"/>
    <w:unhideWhenUsed/>
    <w:qFormat/>
    <w:rsid w:val="000b487d"/>
    <w:pPr>
      <w:spacing w:lineRule="auto" w:line="276" w:before="0" w:after="100"/>
      <w:ind w:firstLine="709"/>
      <w:jc w:val="both"/>
    </w:pPr>
    <w:rPr>
      <w:rFonts w:cs="Calibri"/>
      <w:szCs w:val="22"/>
      <w:lang w:eastAsia="ru-RU"/>
    </w:rPr>
  </w:style>
  <w:style w:type="paragraph" w:styleId="161" w:customStyle="1">
    <w:name w:val="Оглавление 16"/>
    <w:basedOn w:val="Normal"/>
    <w:next w:val="Normal"/>
    <w:autoRedefine/>
    <w:uiPriority w:val="39"/>
    <w:unhideWhenUsed/>
    <w:qFormat/>
    <w:rsid w:val="000b487d"/>
    <w:pPr>
      <w:spacing w:lineRule="auto" w:line="276" w:before="0" w:after="100"/>
      <w:ind w:firstLine="709"/>
      <w:jc w:val="both"/>
    </w:pPr>
    <w:rPr>
      <w:rFonts w:cs="Calibri"/>
      <w:szCs w:val="22"/>
      <w:lang w:eastAsia="ru-RU"/>
    </w:rPr>
  </w:style>
  <w:style w:type="paragraph" w:styleId="Style89" w:customStyle="1">
    <w:name w:val="Знак"/>
    <w:basedOn w:val="Normal"/>
    <w:qFormat/>
    <w:rsid w:val="000b487d"/>
    <w:pPr>
      <w:spacing w:lineRule="exact" w:line="240"/>
      <w:ind w:firstLine="709"/>
      <w:jc w:val="both"/>
    </w:pPr>
    <w:rPr>
      <w:rFonts w:ascii="Verdana" w:hAnsi="Verdana" w:cs="Verdana"/>
      <w:lang w:val="en-US" w:eastAsia="en-US"/>
    </w:rPr>
  </w:style>
  <w:style w:type="paragraph" w:styleId="Xl133" w:customStyle="1">
    <w:name w:val="xl133"/>
    <w:basedOn w:val="Normal"/>
    <w:qFormat/>
    <w:rsid w:val="000b487d"/>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ind w:firstLine="709"/>
      <w:jc w:val="both"/>
    </w:pPr>
    <w:rPr>
      <w:sz w:val="20"/>
      <w:szCs w:val="20"/>
      <w:lang w:eastAsia="ru-RU"/>
    </w:rPr>
  </w:style>
  <w:style w:type="paragraph" w:styleId="Xl134" w:customStyle="1">
    <w:name w:val="xl134"/>
    <w:basedOn w:val="Normal"/>
    <w:qFormat/>
    <w:rsid w:val="000b487d"/>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ind w:firstLine="709"/>
      <w:jc w:val="both"/>
    </w:pPr>
    <w:rPr>
      <w:sz w:val="20"/>
      <w:szCs w:val="20"/>
      <w:lang w:eastAsia="ru-RU"/>
    </w:rPr>
  </w:style>
  <w:style w:type="paragraph" w:styleId="Xl135" w:customStyle="1">
    <w:name w:val="xl135"/>
    <w:basedOn w:val="Normal"/>
    <w:qFormat/>
    <w:rsid w:val="000b487d"/>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ind w:firstLine="709"/>
      <w:jc w:val="both"/>
    </w:pPr>
    <w:rPr>
      <w:sz w:val="20"/>
      <w:szCs w:val="20"/>
      <w:lang w:eastAsia="ru-RU"/>
    </w:rPr>
  </w:style>
  <w:style w:type="paragraph" w:styleId="Xl136" w:customStyle="1">
    <w:name w:val="xl136"/>
    <w:basedOn w:val="Normal"/>
    <w:qFormat/>
    <w:rsid w:val="000b487d"/>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ind w:firstLine="709"/>
      <w:jc w:val="center"/>
    </w:pPr>
    <w:rPr>
      <w:sz w:val="20"/>
      <w:szCs w:val="20"/>
      <w:lang w:eastAsia="ru-RU"/>
    </w:rPr>
  </w:style>
  <w:style w:type="paragraph" w:styleId="Xl137" w:customStyle="1">
    <w:name w:val="xl137"/>
    <w:basedOn w:val="Normal"/>
    <w:qFormat/>
    <w:rsid w:val="000b487d"/>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ind w:firstLine="709"/>
      <w:jc w:val="both"/>
    </w:pPr>
    <w:rPr>
      <w:sz w:val="20"/>
      <w:szCs w:val="20"/>
      <w:lang w:eastAsia="ru-RU"/>
    </w:rPr>
  </w:style>
  <w:style w:type="paragraph" w:styleId="Xl138" w:customStyle="1">
    <w:name w:val="xl138"/>
    <w:basedOn w:val="Normal"/>
    <w:qFormat/>
    <w:rsid w:val="000b487d"/>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ind w:firstLine="709"/>
      <w:jc w:val="center"/>
      <w:textAlignment w:val="center"/>
    </w:pPr>
    <w:rPr>
      <w:sz w:val="20"/>
      <w:szCs w:val="20"/>
      <w:lang w:eastAsia="ru-RU"/>
    </w:rPr>
  </w:style>
  <w:style w:type="paragraph" w:styleId="Xl139" w:customStyle="1">
    <w:name w:val="xl139"/>
    <w:basedOn w:val="Normal"/>
    <w:qFormat/>
    <w:rsid w:val="000b487d"/>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ind w:firstLine="709"/>
      <w:jc w:val="center"/>
    </w:pPr>
    <w:rPr>
      <w:sz w:val="20"/>
      <w:szCs w:val="20"/>
      <w:lang w:eastAsia="ru-RU"/>
    </w:rPr>
  </w:style>
  <w:style w:type="paragraph" w:styleId="Xl140" w:customStyle="1">
    <w:name w:val="xl140"/>
    <w:basedOn w:val="Normal"/>
    <w:qFormat/>
    <w:rsid w:val="000b487d"/>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ind w:firstLine="709"/>
      <w:jc w:val="center"/>
      <w:textAlignment w:val="center"/>
    </w:pPr>
    <w:rPr>
      <w:sz w:val="20"/>
      <w:szCs w:val="20"/>
      <w:lang w:eastAsia="ru-RU"/>
    </w:rPr>
  </w:style>
  <w:style w:type="paragraph" w:styleId="Xl141" w:customStyle="1">
    <w:name w:val="xl141"/>
    <w:basedOn w:val="Normal"/>
    <w:qFormat/>
    <w:rsid w:val="000b487d"/>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ind w:firstLine="709"/>
      <w:jc w:val="both"/>
      <w:textAlignment w:val="center"/>
    </w:pPr>
    <w:rPr>
      <w:sz w:val="20"/>
      <w:szCs w:val="20"/>
      <w:lang w:eastAsia="ru-RU"/>
    </w:rPr>
  </w:style>
  <w:style w:type="paragraph" w:styleId="Xl142" w:customStyle="1">
    <w:name w:val="xl142"/>
    <w:basedOn w:val="Normal"/>
    <w:qFormat/>
    <w:rsid w:val="000b487d"/>
    <w:pPr>
      <w:pBdr>
        <w:top w:val="single" w:sz="4" w:space="0" w:color="000000"/>
        <w:left w:val="single" w:sz="4" w:space="0" w:color="000000"/>
        <w:bottom w:val="single" w:sz="4" w:space="0" w:color="000000"/>
        <w:right w:val="single" w:sz="4" w:space="0" w:color="000000"/>
      </w:pBdr>
      <w:shd w:val="clear" w:color="000000" w:fill="B7DEE8"/>
      <w:spacing w:beforeAutospacing="1" w:afterAutospacing="1"/>
      <w:ind w:firstLine="709"/>
      <w:jc w:val="both"/>
      <w:textAlignment w:val="center"/>
    </w:pPr>
    <w:rPr>
      <w:sz w:val="20"/>
      <w:szCs w:val="20"/>
      <w:lang w:eastAsia="ru-RU"/>
    </w:rPr>
  </w:style>
  <w:style w:type="paragraph" w:styleId="Xl143" w:customStyle="1">
    <w:name w:val="xl143"/>
    <w:basedOn w:val="Normal"/>
    <w:qFormat/>
    <w:rsid w:val="000b487d"/>
    <w:pPr>
      <w:pBdr>
        <w:top w:val="single" w:sz="4" w:space="0" w:color="000000"/>
        <w:left w:val="single" w:sz="4" w:space="0" w:color="000000"/>
        <w:bottom w:val="single" w:sz="4" w:space="0" w:color="000000"/>
        <w:right w:val="single" w:sz="4" w:space="0" w:color="000000"/>
      </w:pBdr>
      <w:shd w:val="clear" w:color="000000" w:fill="B7DEE8"/>
      <w:spacing w:beforeAutospacing="1" w:afterAutospacing="1"/>
      <w:ind w:firstLine="709"/>
      <w:jc w:val="center"/>
      <w:textAlignment w:val="center"/>
    </w:pPr>
    <w:rPr>
      <w:sz w:val="20"/>
      <w:szCs w:val="20"/>
      <w:lang w:eastAsia="ru-RU"/>
    </w:rPr>
  </w:style>
  <w:style w:type="paragraph" w:styleId="Xl144" w:customStyle="1">
    <w:name w:val="xl144"/>
    <w:basedOn w:val="Normal"/>
    <w:qFormat/>
    <w:rsid w:val="000b487d"/>
    <w:pPr>
      <w:pBdr>
        <w:top w:val="single" w:sz="4" w:space="0" w:color="000000"/>
        <w:left w:val="single" w:sz="4" w:space="0" w:color="000000"/>
        <w:bottom w:val="single" w:sz="4" w:space="0" w:color="000000"/>
        <w:right w:val="single" w:sz="4" w:space="0" w:color="000000"/>
      </w:pBdr>
      <w:shd w:val="clear" w:color="000000" w:fill="B7DEE8"/>
      <w:spacing w:beforeAutospacing="1" w:afterAutospacing="1"/>
      <w:ind w:firstLine="709"/>
      <w:jc w:val="center"/>
      <w:textAlignment w:val="center"/>
    </w:pPr>
    <w:rPr>
      <w:sz w:val="20"/>
      <w:szCs w:val="20"/>
      <w:lang w:eastAsia="ru-RU"/>
    </w:rPr>
  </w:style>
  <w:style w:type="paragraph" w:styleId="Xl145" w:customStyle="1">
    <w:name w:val="xl145"/>
    <w:basedOn w:val="Normal"/>
    <w:qFormat/>
    <w:rsid w:val="000b487d"/>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ind w:firstLine="709"/>
      <w:jc w:val="center"/>
      <w:textAlignment w:val="center"/>
    </w:pPr>
    <w:rPr>
      <w:sz w:val="16"/>
      <w:szCs w:val="16"/>
      <w:lang w:eastAsia="ru-RU"/>
    </w:rPr>
  </w:style>
  <w:style w:type="paragraph" w:styleId="Xl146" w:customStyle="1">
    <w:name w:val="xl146"/>
    <w:basedOn w:val="Normal"/>
    <w:qFormat/>
    <w:rsid w:val="000b487d"/>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ind w:firstLine="709"/>
      <w:jc w:val="center"/>
    </w:pPr>
    <w:rPr>
      <w:sz w:val="20"/>
      <w:szCs w:val="20"/>
      <w:lang w:eastAsia="ru-RU"/>
    </w:rPr>
  </w:style>
  <w:style w:type="paragraph" w:styleId="Xl147" w:customStyle="1">
    <w:name w:val="xl147"/>
    <w:basedOn w:val="Normal"/>
    <w:qFormat/>
    <w:rsid w:val="000b487d"/>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ind w:firstLine="709"/>
      <w:jc w:val="center"/>
    </w:pPr>
    <w:rPr>
      <w:sz w:val="20"/>
      <w:szCs w:val="20"/>
      <w:lang w:eastAsia="ru-RU"/>
    </w:rPr>
  </w:style>
  <w:style w:type="paragraph" w:styleId="Xl148" w:customStyle="1">
    <w:name w:val="xl148"/>
    <w:basedOn w:val="Normal"/>
    <w:qFormat/>
    <w:rsid w:val="000b487d"/>
    <w:pPr>
      <w:pBdr>
        <w:top w:val="single" w:sz="4" w:space="0" w:color="000000"/>
        <w:left w:val="single" w:sz="4" w:space="0" w:color="000000"/>
        <w:bottom w:val="single" w:sz="4" w:space="0" w:color="000000"/>
        <w:right w:val="single" w:sz="4" w:space="0" w:color="000000"/>
      </w:pBdr>
      <w:shd w:val="clear" w:color="000000" w:fill="FABF8F"/>
      <w:spacing w:beforeAutospacing="1" w:afterAutospacing="1"/>
      <w:ind w:firstLine="709"/>
      <w:jc w:val="center"/>
      <w:textAlignment w:val="center"/>
    </w:pPr>
    <w:rPr>
      <w:sz w:val="16"/>
      <w:szCs w:val="16"/>
      <w:lang w:eastAsia="ru-RU"/>
    </w:rPr>
  </w:style>
  <w:style w:type="paragraph" w:styleId="Xl149" w:customStyle="1">
    <w:name w:val="xl149"/>
    <w:basedOn w:val="Normal"/>
    <w:qFormat/>
    <w:rsid w:val="000b487d"/>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ind w:firstLine="709"/>
      <w:jc w:val="center"/>
      <w:textAlignment w:val="center"/>
    </w:pPr>
    <w:rPr>
      <w:sz w:val="20"/>
      <w:szCs w:val="20"/>
      <w:lang w:eastAsia="ru-RU"/>
    </w:rPr>
  </w:style>
  <w:style w:type="paragraph" w:styleId="Xl150" w:customStyle="1">
    <w:name w:val="xl150"/>
    <w:basedOn w:val="Normal"/>
    <w:qFormat/>
    <w:rsid w:val="000b487d"/>
    <w:pPr>
      <w:pBdr>
        <w:top w:val="single" w:sz="4" w:space="0" w:color="000000"/>
        <w:left w:val="single" w:sz="4" w:space="0" w:color="000000"/>
        <w:right w:val="single" w:sz="4" w:space="0" w:color="000000"/>
      </w:pBdr>
      <w:spacing w:beforeAutospacing="1" w:afterAutospacing="1"/>
      <w:ind w:firstLine="709"/>
      <w:jc w:val="center"/>
      <w:textAlignment w:val="center"/>
    </w:pPr>
    <w:rPr>
      <w:sz w:val="20"/>
      <w:szCs w:val="20"/>
      <w:lang w:eastAsia="ru-RU"/>
    </w:rPr>
  </w:style>
  <w:style w:type="paragraph" w:styleId="Xl151" w:customStyle="1">
    <w:name w:val="xl151"/>
    <w:basedOn w:val="Normal"/>
    <w:qFormat/>
    <w:rsid w:val="000b487d"/>
    <w:pPr>
      <w:spacing w:beforeAutospacing="1" w:afterAutospacing="1"/>
      <w:ind w:firstLine="709"/>
      <w:jc w:val="center"/>
      <w:textAlignment w:val="center"/>
    </w:pPr>
    <w:rPr>
      <w:sz w:val="20"/>
      <w:szCs w:val="20"/>
      <w:lang w:eastAsia="ru-RU"/>
    </w:rPr>
  </w:style>
  <w:style w:type="paragraph" w:styleId="Xl152" w:customStyle="1">
    <w:name w:val="xl152"/>
    <w:basedOn w:val="Normal"/>
    <w:qFormat/>
    <w:rsid w:val="000b487d"/>
    <w:pPr>
      <w:pBdr>
        <w:top w:val="single" w:sz="4" w:space="0" w:color="000000"/>
        <w:left w:val="single" w:sz="4" w:space="0" w:color="000000"/>
        <w:bottom w:val="single" w:sz="4" w:space="0" w:color="000000"/>
        <w:right w:val="single" w:sz="4" w:space="0" w:color="000000"/>
      </w:pBdr>
      <w:shd w:val="clear" w:color="000000" w:fill="B7DEE8"/>
      <w:spacing w:beforeAutospacing="1" w:afterAutospacing="1"/>
      <w:ind w:firstLine="709"/>
      <w:jc w:val="both"/>
    </w:pPr>
    <w:rPr>
      <w:b/>
      <w:bCs/>
      <w:sz w:val="20"/>
      <w:szCs w:val="20"/>
      <w:lang w:eastAsia="ru-RU"/>
    </w:rPr>
  </w:style>
  <w:style w:type="paragraph" w:styleId="Xl153" w:customStyle="1">
    <w:name w:val="xl153"/>
    <w:basedOn w:val="Normal"/>
    <w:qFormat/>
    <w:rsid w:val="000b487d"/>
    <w:pPr>
      <w:pBdr>
        <w:top w:val="single" w:sz="4" w:space="0" w:color="000000"/>
        <w:left w:val="single" w:sz="4" w:space="0" w:color="000000"/>
        <w:bottom w:val="single" w:sz="4" w:space="0" w:color="000000"/>
        <w:right w:val="single" w:sz="4" w:space="0" w:color="000000"/>
      </w:pBdr>
      <w:spacing w:beforeAutospacing="1" w:afterAutospacing="1"/>
      <w:ind w:firstLine="709"/>
      <w:jc w:val="center"/>
    </w:pPr>
    <w:rPr>
      <w:b/>
      <w:bCs/>
      <w:sz w:val="20"/>
      <w:szCs w:val="20"/>
      <w:lang w:eastAsia="ru-RU"/>
    </w:rPr>
  </w:style>
  <w:style w:type="paragraph" w:styleId="Xl154" w:customStyle="1">
    <w:name w:val="xl154"/>
    <w:basedOn w:val="Normal"/>
    <w:qFormat/>
    <w:rsid w:val="000b487d"/>
    <w:pPr>
      <w:pBdr>
        <w:top w:val="single" w:sz="4" w:space="0" w:color="000000"/>
        <w:left w:val="single" w:sz="4" w:space="0" w:color="000000"/>
        <w:bottom w:val="single" w:sz="4" w:space="0" w:color="000000"/>
        <w:right w:val="single" w:sz="4" w:space="0" w:color="000000"/>
      </w:pBdr>
      <w:spacing w:beforeAutospacing="1" w:afterAutospacing="1"/>
      <w:ind w:firstLine="709"/>
      <w:jc w:val="center"/>
      <w:textAlignment w:val="center"/>
    </w:pPr>
    <w:rPr>
      <w:b/>
      <w:bCs/>
      <w:sz w:val="20"/>
      <w:szCs w:val="20"/>
      <w:lang w:eastAsia="ru-RU"/>
    </w:rPr>
  </w:style>
  <w:style w:type="paragraph" w:styleId="Xl155" w:customStyle="1">
    <w:name w:val="xl155"/>
    <w:basedOn w:val="Normal"/>
    <w:qFormat/>
    <w:rsid w:val="000b487d"/>
    <w:pPr>
      <w:pBdr>
        <w:top w:val="single" w:sz="4" w:space="0" w:color="000000"/>
        <w:left w:val="single" w:sz="4" w:space="0" w:color="000000"/>
        <w:bottom w:val="single" w:sz="4" w:space="0" w:color="000000"/>
        <w:right w:val="single" w:sz="4" w:space="0" w:color="000000"/>
      </w:pBdr>
      <w:spacing w:beforeAutospacing="1" w:afterAutospacing="1"/>
      <w:ind w:firstLine="709"/>
      <w:jc w:val="center"/>
      <w:textAlignment w:val="center"/>
    </w:pPr>
    <w:rPr>
      <w:sz w:val="20"/>
      <w:szCs w:val="20"/>
      <w:lang w:eastAsia="ru-RU"/>
    </w:rPr>
  </w:style>
  <w:style w:type="paragraph" w:styleId="Xl156" w:customStyle="1">
    <w:name w:val="xl156"/>
    <w:basedOn w:val="Normal"/>
    <w:qFormat/>
    <w:rsid w:val="000b487d"/>
    <w:pPr>
      <w:pBdr>
        <w:top w:val="single" w:sz="4" w:space="0" w:color="000000"/>
        <w:left w:val="single" w:sz="4" w:space="0" w:color="000000"/>
        <w:bottom w:val="single" w:sz="4" w:space="0" w:color="000000"/>
        <w:right w:val="single" w:sz="4" w:space="0" w:color="000000"/>
      </w:pBdr>
      <w:spacing w:beforeAutospacing="1" w:afterAutospacing="1"/>
      <w:ind w:firstLine="709"/>
      <w:jc w:val="center"/>
    </w:pPr>
    <w:rPr>
      <w:sz w:val="20"/>
      <w:szCs w:val="20"/>
      <w:lang w:eastAsia="ru-RU"/>
    </w:rPr>
  </w:style>
  <w:style w:type="paragraph" w:styleId="Xl157" w:customStyle="1">
    <w:name w:val="xl157"/>
    <w:basedOn w:val="Normal"/>
    <w:qFormat/>
    <w:rsid w:val="000b487d"/>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ind w:firstLine="709"/>
      <w:jc w:val="center"/>
    </w:pPr>
    <w:rPr>
      <w:sz w:val="20"/>
      <w:szCs w:val="20"/>
      <w:lang w:eastAsia="ru-RU"/>
    </w:rPr>
  </w:style>
  <w:style w:type="paragraph" w:styleId="Xl158" w:customStyle="1">
    <w:name w:val="xl158"/>
    <w:basedOn w:val="Normal"/>
    <w:qFormat/>
    <w:rsid w:val="000b487d"/>
    <w:pPr>
      <w:pBdr>
        <w:left w:val="single" w:sz="4" w:space="0" w:color="000000"/>
        <w:bottom w:val="single" w:sz="4" w:space="0" w:color="000000"/>
        <w:right w:val="single" w:sz="4" w:space="0" w:color="000000"/>
      </w:pBdr>
      <w:shd w:val="clear" w:color="000000" w:fill="B7DEE8"/>
      <w:spacing w:beforeAutospacing="1" w:afterAutospacing="1"/>
      <w:ind w:firstLine="709"/>
      <w:jc w:val="both"/>
      <w:textAlignment w:val="center"/>
    </w:pPr>
    <w:rPr>
      <w:b/>
      <w:bCs/>
      <w:sz w:val="20"/>
      <w:szCs w:val="20"/>
      <w:lang w:eastAsia="ru-RU"/>
    </w:rPr>
  </w:style>
  <w:style w:type="paragraph" w:styleId="Xl159" w:customStyle="1">
    <w:name w:val="xl159"/>
    <w:basedOn w:val="Normal"/>
    <w:qFormat/>
    <w:rsid w:val="000b487d"/>
    <w:pPr>
      <w:pBdr>
        <w:top w:val="single" w:sz="4" w:space="0" w:color="000000"/>
        <w:left w:val="single" w:sz="4" w:space="0" w:color="000000"/>
        <w:bottom w:val="single" w:sz="4" w:space="0" w:color="000000"/>
        <w:right w:val="single" w:sz="4" w:space="0" w:color="000000"/>
      </w:pBdr>
      <w:shd w:val="clear" w:color="000000" w:fill="B7DEE8"/>
      <w:spacing w:beforeAutospacing="1" w:afterAutospacing="1"/>
      <w:ind w:firstLine="709"/>
      <w:jc w:val="both"/>
    </w:pPr>
    <w:rPr>
      <w:b/>
      <w:bCs/>
      <w:sz w:val="20"/>
      <w:szCs w:val="20"/>
      <w:lang w:eastAsia="ru-RU"/>
    </w:rPr>
  </w:style>
  <w:style w:type="paragraph" w:styleId="Xl160" w:customStyle="1">
    <w:name w:val="xl160"/>
    <w:basedOn w:val="Normal"/>
    <w:qFormat/>
    <w:rsid w:val="000b487d"/>
    <w:pPr>
      <w:pBdr>
        <w:top w:val="single" w:sz="4" w:space="0" w:color="000000"/>
        <w:left w:val="single" w:sz="4" w:space="0" w:color="000000"/>
        <w:bottom w:val="single" w:sz="4" w:space="0" w:color="000000"/>
        <w:right w:val="single" w:sz="4" w:space="0" w:color="000000"/>
      </w:pBdr>
      <w:shd w:val="clear" w:color="000000" w:fill="B7DEE8"/>
      <w:spacing w:beforeAutospacing="1" w:afterAutospacing="1"/>
      <w:ind w:firstLine="709"/>
      <w:jc w:val="both"/>
    </w:pPr>
    <w:rPr>
      <w:b/>
      <w:bCs/>
      <w:sz w:val="20"/>
      <w:szCs w:val="20"/>
      <w:lang w:eastAsia="ru-RU"/>
    </w:rPr>
  </w:style>
  <w:style w:type="paragraph" w:styleId="Xl161" w:customStyle="1">
    <w:name w:val="xl161"/>
    <w:basedOn w:val="Normal"/>
    <w:qFormat/>
    <w:rsid w:val="000b487d"/>
    <w:pPr>
      <w:pBdr>
        <w:top w:val="single" w:sz="4" w:space="0" w:color="000000"/>
        <w:left w:val="single" w:sz="4" w:space="0" w:color="000000"/>
        <w:bottom w:val="single" w:sz="4" w:space="0" w:color="000000"/>
        <w:right w:val="single" w:sz="4" w:space="0" w:color="000000"/>
      </w:pBdr>
      <w:shd w:val="clear" w:color="000000" w:fill="B7DEE8"/>
      <w:spacing w:beforeAutospacing="1" w:afterAutospacing="1"/>
      <w:ind w:firstLine="709"/>
      <w:jc w:val="both"/>
      <w:textAlignment w:val="center"/>
    </w:pPr>
    <w:rPr>
      <w:b/>
      <w:bCs/>
      <w:sz w:val="20"/>
      <w:szCs w:val="20"/>
      <w:lang w:eastAsia="ru-RU"/>
    </w:rPr>
  </w:style>
  <w:style w:type="paragraph" w:styleId="Xl162" w:customStyle="1">
    <w:name w:val="xl162"/>
    <w:basedOn w:val="Normal"/>
    <w:qFormat/>
    <w:rsid w:val="000b487d"/>
    <w:pPr>
      <w:spacing w:beforeAutospacing="1" w:afterAutospacing="1"/>
      <w:ind w:firstLine="709"/>
      <w:jc w:val="both"/>
    </w:pPr>
    <w:rPr>
      <w:sz w:val="20"/>
      <w:szCs w:val="20"/>
      <w:lang w:eastAsia="ru-RU"/>
    </w:rPr>
  </w:style>
  <w:style w:type="paragraph" w:styleId="Xl163" w:customStyle="1">
    <w:name w:val="xl163"/>
    <w:basedOn w:val="Normal"/>
    <w:qFormat/>
    <w:rsid w:val="000b487d"/>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ind w:firstLine="709"/>
      <w:jc w:val="both"/>
    </w:pPr>
    <w:rPr>
      <w:sz w:val="20"/>
      <w:szCs w:val="20"/>
      <w:lang w:eastAsia="ru-RU"/>
    </w:rPr>
  </w:style>
  <w:style w:type="paragraph" w:styleId="Xl164" w:customStyle="1">
    <w:name w:val="xl164"/>
    <w:basedOn w:val="Normal"/>
    <w:qFormat/>
    <w:rsid w:val="000b487d"/>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ind w:firstLine="709"/>
      <w:jc w:val="center"/>
      <w:textAlignment w:val="center"/>
    </w:pPr>
    <w:rPr>
      <w:sz w:val="20"/>
      <w:szCs w:val="20"/>
      <w:lang w:eastAsia="ru-RU"/>
    </w:rPr>
  </w:style>
  <w:style w:type="paragraph" w:styleId="Xl165" w:customStyle="1">
    <w:name w:val="xl165"/>
    <w:basedOn w:val="Normal"/>
    <w:qFormat/>
    <w:rsid w:val="000b487d"/>
    <w:pPr>
      <w:pBdr>
        <w:left w:val="single" w:sz="4" w:space="0" w:color="000000"/>
        <w:bottom w:val="single" w:sz="4" w:space="0" w:color="000000"/>
        <w:right w:val="single" w:sz="4" w:space="0" w:color="000000"/>
      </w:pBdr>
      <w:shd w:val="clear" w:color="000000" w:fill="B7DEE8"/>
      <w:spacing w:beforeAutospacing="1" w:afterAutospacing="1"/>
      <w:ind w:firstLine="709"/>
      <w:jc w:val="center"/>
      <w:textAlignment w:val="center"/>
    </w:pPr>
    <w:rPr>
      <w:b/>
      <w:bCs/>
      <w:sz w:val="20"/>
      <w:szCs w:val="20"/>
      <w:lang w:eastAsia="ru-RU"/>
    </w:rPr>
  </w:style>
  <w:style w:type="paragraph" w:styleId="Xl166" w:customStyle="1">
    <w:name w:val="xl166"/>
    <w:basedOn w:val="Normal"/>
    <w:qFormat/>
    <w:rsid w:val="000b487d"/>
    <w:pPr>
      <w:pBdr>
        <w:left w:val="single" w:sz="4" w:space="0" w:color="000000"/>
        <w:bottom w:val="single" w:sz="4" w:space="0" w:color="000000"/>
        <w:right w:val="single" w:sz="4" w:space="0" w:color="000000"/>
      </w:pBdr>
      <w:shd w:val="clear" w:color="000000" w:fill="B7DEE8"/>
      <w:spacing w:beforeAutospacing="1" w:afterAutospacing="1"/>
      <w:ind w:firstLine="709"/>
      <w:jc w:val="center"/>
      <w:textAlignment w:val="center"/>
    </w:pPr>
    <w:rPr>
      <w:b/>
      <w:bCs/>
      <w:sz w:val="20"/>
      <w:szCs w:val="20"/>
      <w:lang w:eastAsia="ru-RU"/>
    </w:rPr>
  </w:style>
  <w:style w:type="paragraph" w:styleId="Xl167" w:customStyle="1">
    <w:name w:val="xl167"/>
    <w:basedOn w:val="Normal"/>
    <w:qFormat/>
    <w:rsid w:val="000b487d"/>
    <w:pPr>
      <w:pBdr>
        <w:left w:val="single" w:sz="4" w:space="0" w:color="000000"/>
        <w:bottom w:val="single" w:sz="4" w:space="0" w:color="000000"/>
        <w:right w:val="single" w:sz="4" w:space="0" w:color="000000"/>
      </w:pBdr>
      <w:shd w:val="clear" w:color="000000" w:fill="B7DEE8"/>
      <w:spacing w:beforeAutospacing="1" w:afterAutospacing="1"/>
      <w:ind w:firstLine="709"/>
      <w:jc w:val="center"/>
      <w:textAlignment w:val="center"/>
    </w:pPr>
    <w:rPr>
      <w:b/>
      <w:bCs/>
      <w:sz w:val="20"/>
      <w:szCs w:val="20"/>
      <w:lang w:eastAsia="ru-RU"/>
    </w:rPr>
  </w:style>
  <w:style w:type="paragraph" w:styleId="Xl168" w:customStyle="1">
    <w:name w:val="xl168"/>
    <w:basedOn w:val="Normal"/>
    <w:qFormat/>
    <w:rsid w:val="000b487d"/>
    <w:pPr>
      <w:pBdr>
        <w:left w:val="single" w:sz="4" w:space="0" w:color="000000"/>
        <w:bottom w:val="single" w:sz="4" w:space="0" w:color="000000"/>
        <w:right w:val="single" w:sz="4" w:space="0" w:color="000000"/>
      </w:pBdr>
      <w:shd w:val="clear" w:color="000000" w:fill="B7DEE8"/>
      <w:spacing w:beforeAutospacing="1" w:afterAutospacing="1"/>
      <w:ind w:firstLine="709"/>
      <w:jc w:val="center"/>
      <w:textAlignment w:val="center"/>
    </w:pPr>
    <w:rPr>
      <w:sz w:val="16"/>
      <w:szCs w:val="16"/>
      <w:lang w:eastAsia="ru-RU"/>
    </w:rPr>
  </w:style>
  <w:style w:type="paragraph" w:styleId="Xl169" w:customStyle="1">
    <w:name w:val="xl169"/>
    <w:basedOn w:val="Normal"/>
    <w:qFormat/>
    <w:rsid w:val="000b487d"/>
    <w:pPr>
      <w:pBdr>
        <w:left w:val="single" w:sz="4" w:space="0" w:color="000000"/>
        <w:right w:val="single" w:sz="4" w:space="0" w:color="000000"/>
      </w:pBdr>
      <w:shd w:val="clear" w:color="000000" w:fill="B7DEE8"/>
      <w:spacing w:beforeAutospacing="1" w:afterAutospacing="1"/>
      <w:ind w:firstLine="709"/>
      <w:jc w:val="center"/>
      <w:textAlignment w:val="center"/>
    </w:pPr>
    <w:rPr>
      <w:sz w:val="16"/>
      <w:szCs w:val="16"/>
      <w:lang w:eastAsia="ru-RU"/>
    </w:rPr>
  </w:style>
  <w:style w:type="paragraph" w:styleId="Xl170" w:customStyle="1">
    <w:name w:val="xl170"/>
    <w:basedOn w:val="Normal"/>
    <w:qFormat/>
    <w:rsid w:val="000b487d"/>
    <w:pPr>
      <w:pBdr>
        <w:left w:val="single" w:sz="4" w:space="0" w:color="000000"/>
        <w:right w:val="single" w:sz="4" w:space="0" w:color="000000"/>
      </w:pBdr>
      <w:shd w:val="clear" w:color="000000" w:fill="B7DEE8"/>
      <w:spacing w:beforeAutospacing="1" w:afterAutospacing="1"/>
      <w:ind w:firstLine="709"/>
      <w:jc w:val="center"/>
      <w:textAlignment w:val="center"/>
    </w:pPr>
    <w:rPr>
      <w:sz w:val="16"/>
      <w:szCs w:val="16"/>
      <w:lang w:eastAsia="ru-RU"/>
    </w:rPr>
  </w:style>
  <w:style w:type="paragraph" w:styleId="Xl171" w:customStyle="1">
    <w:name w:val="xl171"/>
    <w:basedOn w:val="Normal"/>
    <w:qFormat/>
    <w:rsid w:val="000b487d"/>
    <w:pPr>
      <w:pBdr>
        <w:left w:val="single" w:sz="4" w:space="0" w:color="000000"/>
        <w:bottom w:val="single" w:sz="4" w:space="0" w:color="000000"/>
        <w:right w:val="single" w:sz="4" w:space="0" w:color="000000"/>
      </w:pBdr>
      <w:shd w:val="clear" w:color="000000" w:fill="B7DEE8"/>
      <w:spacing w:beforeAutospacing="1" w:afterAutospacing="1"/>
      <w:ind w:firstLine="709"/>
      <w:jc w:val="center"/>
    </w:pPr>
    <w:rPr>
      <w:sz w:val="16"/>
      <w:szCs w:val="16"/>
      <w:lang w:eastAsia="ru-RU"/>
    </w:rPr>
  </w:style>
  <w:style w:type="paragraph" w:styleId="Xl172" w:customStyle="1">
    <w:name w:val="xl172"/>
    <w:basedOn w:val="Normal"/>
    <w:qFormat/>
    <w:rsid w:val="000b487d"/>
    <w:pPr>
      <w:pBdr>
        <w:left w:val="single" w:sz="4" w:space="0" w:color="000000"/>
        <w:bottom w:val="single" w:sz="4" w:space="0" w:color="000000"/>
        <w:right w:val="single" w:sz="4" w:space="0" w:color="000000"/>
      </w:pBdr>
      <w:shd w:val="clear" w:color="000000" w:fill="B7DEE8"/>
      <w:spacing w:beforeAutospacing="1" w:afterAutospacing="1"/>
      <w:ind w:firstLine="709"/>
      <w:jc w:val="both"/>
    </w:pPr>
    <w:rPr>
      <w:sz w:val="20"/>
      <w:szCs w:val="20"/>
      <w:lang w:eastAsia="ru-RU"/>
    </w:rPr>
  </w:style>
  <w:style w:type="paragraph" w:styleId="Xl173" w:customStyle="1">
    <w:name w:val="xl173"/>
    <w:basedOn w:val="Normal"/>
    <w:qFormat/>
    <w:rsid w:val="000b487d"/>
    <w:pPr>
      <w:pBdr>
        <w:top w:val="single" w:sz="4" w:space="0" w:color="000000"/>
        <w:left w:val="single" w:sz="4" w:space="0" w:color="000000"/>
        <w:bottom w:val="single" w:sz="4" w:space="0" w:color="000000"/>
        <w:right w:val="single" w:sz="4" w:space="0" w:color="000000"/>
      </w:pBdr>
      <w:shd w:val="clear" w:color="000000" w:fill="92D050"/>
      <w:spacing w:beforeAutospacing="1" w:afterAutospacing="1"/>
      <w:ind w:firstLine="709"/>
      <w:jc w:val="both"/>
      <w:textAlignment w:val="center"/>
    </w:pPr>
    <w:rPr>
      <w:sz w:val="20"/>
      <w:szCs w:val="20"/>
      <w:lang w:eastAsia="ru-RU"/>
    </w:rPr>
  </w:style>
  <w:style w:type="paragraph" w:styleId="Xl174" w:customStyle="1">
    <w:name w:val="xl174"/>
    <w:basedOn w:val="Normal"/>
    <w:qFormat/>
    <w:rsid w:val="000b487d"/>
    <w:pPr>
      <w:shd w:val="clear" w:color="000000" w:fill="FFFF00"/>
      <w:spacing w:beforeAutospacing="1" w:afterAutospacing="1"/>
      <w:ind w:firstLine="709"/>
      <w:jc w:val="both"/>
    </w:pPr>
    <w:rPr>
      <w:sz w:val="16"/>
      <w:szCs w:val="16"/>
      <w:lang w:eastAsia="ru-RU"/>
    </w:rPr>
  </w:style>
  <w:style w:type="paragraph" w:styleId="Xl175" w:customStyle="1">
    <w:name w:val="xl175"/>
    <w:basedOn w:val="Normal"/>
    <w:qFormat/>
    <w:rsid w:val="000b487d"/>
    <w:pPr>
      <w:pBdr>
        <w:top w:val="single" w:sz="4" w:space="0" w:color="000000"/>
        <w:left w:val="single" w:sz="4" w:space="0" w:color="000000"/>
        <w:bottom w:val="single" w:sz="4" w:space="0" w:color="000000"/>
        <w:right w:val="single" w:sz="4" w:space="0" w:color="000000"/>
      </w:pBdr>
      <w:shd w:val="clear" w:color="000000" w:fill="FFFF00"/>
      <w:spacing w:beforeAutospacing="1" w:afterAutospacing="1"/>
      <w:ind w:firstLine="709"/>
      <w:jc w:val="center"/>
      <w:textAlignment w:val="center"/>
    </w:pPr>
    <w:rPr>
      <w:sz w:val="16"/>
      <w:szCs w:val="16"/>
      <w:lang w:eastAsia="ru-RU"/>
    </w:rPr>
  </w:style>
  <w:style w:type="paragraph" w:styleId="Xl176" w:customStyle="1">
    <w:name w:val="xl176"/>
    <w:basedOn w:val="Normal"/>
    <w:qFormat/>
    <w:rsid w:val="000b487d"/>
    <w:pPr>
      <w:pBdr>
        <w:left w:val="single" w:sz="4" w:space="0" w:color="000000"/>
        <w:bottom w:val="single" w:sz="4" w:space="0" w:color="000000"/>
        <w:right w:val="single" w:sz="4" w:space="0" w:color="000000"/>
      </w:pBdr>
      <w:shd w:val="clear" w:color="000000" w:fill="FFFF00"/>
      <w:spacing w:beforeAutospacing="1" w:afterAutospacing="1"/>
      <w:ind w:firstLine="709"/>
      <w:jc w:val="center"/>
      <w:textAlignment w:val="center"/>
    </w:pPr>
    <w:rPr>
      <w:sz w:val="16"/>
      <w:szCs w:val="16"/>
      <w:lang w:eastAsia="ru-RU"/>
    </w:rPr>
  </w:style>
  <w:style w:type="paragraph" w:styleId="Xl177" w:customStyle="1">
    <w:name w:val="xl177"/>
    <w:basedOn w:val="Normal"/>
    <w:qFormat/>
    <w:rsid w:val="000b487d"/>
    <w:pPr>
      <w:pBdr>
        <w:top w:val="single" w:sz="4" w:space="0" w:color="000000"/>
        <w:left w:val="single" w:sz="4" w:space="0" w:color="000000"/>
        <w:bottom w:val="single" w:sz="4" w:space="0" w:color="000000"/>
        <w:right w:val="single" w:sz="4" w:space="0" w:color="000000"/>
      </w:pBdr>
      <w:shd w:val="clear" w:color="000000" w:fill="FFFF00"/>
      <w:spacing w:beforeAutospacing="1" w:afterAutospacing="1"/>
      <w:ind w:firstLine="709"/>
      <w:jc w:val="center"/>
    </w:pPr>
    <w:rPr>
      <w:sz w:val="16"/>
      <w:szCs w:val="16"/>
      <w:lang w:eastAsia="ru-RU"/>
    </w:rPr>
  </w:style>
  <w:style w:type="paragraph" w:styleId="Xl178" w:customStyle="1">
    <w:name w:val="xl178"/>
    <w:basedOn w:val="Normal"/>
    <w:qFormat/>
    <w:rsid w:val="000b487d"/>
    <w:pPr>
      <w:pBdr>
        <w:top w:val="single" w:sz="4" w:space="0" w:color="000000"/>
        <w:left w:val="single" w:sz="4" w:space="0" w:color="000000"/>
        <w:bottom w:val="single" w:sz="4" w:space="0" w:color="000000"/>
        <w:right w:val="single" w:sz="4" w:space="0" w:color="000000"/>
      </w:pBdr>
      <w:shd w:val="clear" w:color="000000" w:fill="FFFF00"/>
      <w:spacing w:beforeAutospacing="1" w:afterAutospacing="1"/>
      <w:ind w:firstLine="709"/>
      <w:jc w:val="center"/>
      <w:textAlignment w:val="center"/>
    </w:pPr>
    <w:rPr>
      <w:sz w:val="16"/>
      <w:szCs w:val="16"/>
      <w:lang w:eastAsia="ru-RU"/>
    </w:rPr>
  </w:style>
  <w:style w:type="paragraph" w:styleId="Xl179" w:customStyle="1">
    <w:name w:val="xl179"/>
    <w:basedOn w:val="Normal"/>
    <w:qFormat/>
    <w:rsid w:val="000b487d"/>
    <w:pPr>
      <w:shd w:val="clear" w:color="000000" w:fill="FFFFFF"/>
      <w:spacing w:beforeAutospacing="1" w:afterAutospacing="1"/>
      <w:ind w:firstLine="709"/>
      <w:jc w:val="both"/>
    </w:pPr>
    <w:rPr>
      <w:sz w:val="16"/>
      <w:szCs w:val="16"/>
      <w:lang w:eastAsia="ru-RU"/>
    </w:rPr>
  </w:style>
  <w:style w:type="paragraph" w:styleId="Xl180" w:customStyle="1">
    <w:name w:val="xl180"/>
    <w:basedOn w:val="Normal"/>
    <w:qFormat/>
    <w:rsid w:val="000b487d"/>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ind w:firstLine="709"/>
      <w:jc w:val="center"/>
      <w:textAlignment w:val="center"/>
    </w:pPr>
    <w:rPr>
      <w:sz w:val="16"/>
      <w:szCs w:val="16"/>
      <w:lang w:eastAsia="ru-RU"/>
    </w:rPr>
  </w:style>
  <w:style w:type="paragraph" w:styleId="Xl181" w:customStyle="1">
    <w:name w:val="xl181"/>
    <w:basedOn w:val="Normal"/>
    <w:qFormat/>
    <w:rsid w:val="000b487d"/>
    <w:pPr>
      <w:pBdr>
        <w:left w:val="single" w:sz="4" w:space="0" w:color="000000"/>
        <w:bottom w:val="single" w:sz="4" w:space="0" w:color="000000"/>
        <w:right w:val="single" w:sz="4" w:space="0" w:color="000000"/>
      </w:pBdr>
      <w:shd w:val="clear" w:color="000000" w:fill="FFFFFF"/>
      <w:spacing w:beforeAutospacing="1" w:afterAutospacing="1"/>
      <w:ind w:firstLine="709"/>
      <w:jc w:val="center"/>
      <w:textAlignment w:val="center"/>
    </w:pPr>
    <w:rPr>
      <w:sz w:val="16"/>
      <w:szCs w:val="16"/>
      <w:lang w:eastAsia="ru-RU"/>
    </w:rPr>
  </w:style>
  <w:style w:type="paragraph" w:styleId="Xl182" w:customStyle="1">
    <w:name w:val="xl182"/>
    <w:basedOn w:val="Normal"/>
    <w:qFormat/>
    <w:rsid w:val="000b487d"/>
    <w:pPr>
      <w:pBdr>
        <w:top w:val="single" w:sz="4" w:space="0" w:color="000000"/>
        <w:left w:val="single" w:sz="4" w:space="0" w:color="000000"/>
        <w:bottom w:val="single" w:sz="4" w:space="0" w:color="000000"/>
        <w:right w:val="single" w:sz="4" w:space="0" w:color="000000"/>
      </w:pBdr>
      <w:shd w:val="clear" w:color="000000" w:fill="808080"/>
      <w:spacing w:beforeAutospacing="1" w:afterAutospacing="1"/>
      <w:ind w:firstLine="709"/>
      <w:jc w:val="both"/>
      <w:textAlignment w:val="center"/>
    </w:pPr>
    <w:rPr>
      <w:sz w:val="20"/>
      <w:szCs w:val="20"/>
      <w:lang w:eastAsia="ru-RU"/>
    </w:rPr>
  </w:style>
  <w:style w:type="paragraph" w:styleId="Xl183" w:customStyle="1">
    <w:name w:val="xl183"/>
    <w:basedOn w:val="Normal"/>
    <w:qFormat/>
    <w:rsid w:val="000b487d"/>
    <w:pPr>
      <w:pBdr>
        <w:top w:val="single" w:sz="4" w:space="0" w:color="000000"/>
        <w:left w:val="single" w:sz="4" w:space="0" w:color="000000"/>
        <w:bottom w:val="single" w:sz="4" w:space="0" w:color="000000"/>
        <w:right w:val="single" w:sz="4" w:space="0" w:color="000000"/>
      </w:pBdr>
      <w:shd w:val="clear" w:color="000000" w:fill="808080"/>
      <w:spacing w:beforeAutospacing="1" w:afterAutospacing="1"/>
      <w:ind w:firstLine="709"/>
      <w:jc w:val="both"/>
    </w:pPr>
    <w:rPr>
      <w:sz w:val="20"/>
      <w:szCs w:val="20"/>
      <w:lang w:eastAsia="ru-RU"/>
    </w:rPr>
  </w:style>
  <w:style w:type="paragraph" w:styleId="Xl184" w:customStyle="1">
    <w:name w:val="xl184"/>
    <w:basedOn w:val="Normal"/>
    <w:qFormat/>
    <w:rsid w:val="000b487d"/>
    <w:pPr>
      <w:pBdr>
        <w:top w:val="single" w:sz="4" w:space="0" w:color="000000"/>
        <w:left w:val="single" w:sz="4" w:space="0" w:color="000000"/>
        <w:bottom w:val="single" w:sz="4" w:space="0" w:color="000000"/>
        <w:right w:val="single" w:sz="4" w:space="0" w:color="000000"/>
      </w:pBdr>
      <w:shd w:val="clear" w:color="000000" w:fill="808080"/>
      <w:spacing w:beforeAutospacing="1" w:afterAutospacing="1"/>
      <w:ind w:firstLine="709"/>
      <w:jc w:val="center"/>
      <w:textAlignment w:val="center"/>
    </w:pPr>
    <w:rPr>
      <w:sz w:val="20"/>
      <w:szCs w:val="20"/>
      <w:lang w:eastAsia="ru-RU"/>
    </w:rPr>
  </w:style>
  <w:style w:type="paragraph" w:styleId="Xl185" w:customStyle="1">
    <w:name w:val="xl185"/>
    <w:basedOn w:val="Normal"/>
    <w:qFormat/>
    <w:rsid w:val="000b487d"/>
    <w:pPr>
      <w:pBdr>
        <w:top w:val="single" w:sz="4" w:space="0" w:color="000000"/>
        <w:left w:val="single" w:sz="4" w:space="0" w:color="000000"/>
        <w:bottom w:val="single" w:sz="4" w:space="0" w:color="000000"/>
        <w:right w:val="single" w:sz="4" w:space="0" w:color="000000"/>
      </w:pBdr>
      <w:shd w:val="clear" w:color="000000" w:fill="808080"/>
      <w:spacing w:beforeAutospacing="1" w:afterAutospacing="1"/>
      <w:ind w:firstLine="709"/>
      <w:jc w:val="both"/>
    </w:pPr>
    <w:rPr>
      <w:sz w:val="20"/>
      <w:szCs w:val="20"/>
      <w:lang w:eastAsia="ru-RU"/>
    </w:rPr>
  </w:style>
  <w:style w:type="paragraph" w:styleId="Xl186" w:customStyle="1">
    <w:name w:val="xl186"/>
    <w:basedOn w:val="Normal"/>
    <w:qFormat/>
    <w:rsid w:val="000b487d"/>
    <w:pPr>
      <w:pBdr>
        <w:top w:val="single" w:sz="4" w:space="0" w:color="000000"/>
        <w:left w:val="single" w:sz="4" w:space="0" w:color="000000"/>
        <w:right w:val="single" w:sz="4" w:space="0" w:color="000000"/>
      </w:pBdr>
      <w:spacing w:beforeAutospacing="1" w:afterAutospacing="1"/>
      <w:ind w:firstLine="709"/>
      <w:jc w:val="both"/>
      <w:textAlignment w:val="center"/>
    </w:pPr>
    <w:rPr>
      <w:sz w:val="20"/>
      <w:szCs w:val="20"/>
      <w:lang w:eastAsia="ru-RU"/>
    </w:rPr>
  </w:style>
  <w:style w:type="paragraph" w:styleId="Xl187" w:customStyle="1">
    <w:name w:val="xl187"/>
    <w:basedOn w:val="Normal"/>
    <w:qFormat/>
    <w:rsid w:val="000b487d"/>
    <w:pPr>
      <w:pBdr>
        <w:left w:val="single" w:sz="4" w:space="0" w:color="000000"/>
        <w:bottom w:val="single" w:sz="4" w:space="0" w:color="000000"/>
        <w:right w:val="single" w:sz="4" w:space="0" w:color="000000"/>
      </w:pBdr>
      <w:spacing w:beforeAutospacing="1" w:afterAutospacing="1"/>
      <w:ind w:firstLine="709"/>
      <w:jc w:val="center"/>
    </w:pPr>
    <w:rPr>
      <w:sz w:val="20"/>
      <w:szCs w:val="20"/>
      <w:lang w:eastAsia="ru-RU"/>
    </w:rPr>
  </w:style>
  <w:style w:type="paragraph" w:styleId="Xl188" w:customStyle="1">
    <w:name w:val="xl188"/>
    <w:basedOn w:val="Normal"/>
    <w:qFormat/>
    <w:rsid w:val="000b487d"/>
    <w:pPr>
      <w:pBdr>
        <w:left w:val="single" w:sz="4" w:space="0" w:color="000000"/>
        <w:bottom w:val="single" w:sz="4" w:space="0" w:color="000000"/>
        <w:right w:val="single" w:sz="4" w:space="0" w:color="000000"/>
      </w:pBdr>
      <w:spacing w:beforeAutospacing="1" w:afterAutospacing="1"/>
      <w:ind w:firstLine="709"/>
      <w:jc w:val="center"/>
      <w:textAlignment w:val="center"/>
    </w:pPr>
    <w:rPr>
      <w:sz w:val="20"/>
      <w:szCs w:val="20"/>
      <w:lang w:eastAsia="ru-RU"/>
    </w:rPr>
  </w:style>
  <w:style w:type="paragraph" w:styleId="Xl189" w:customStyle="1">
    <w:name w:val="xl189"/>
    <w:basedOn w:val="Normal"/>
    <w:qFormat/>
    <w:rsid w:val="000b487d"/>
    <w:pPr>
      <w:pBdr>
        <w:left w:val="single" w:sz="4" w:space="0" w:color="000000"/>
        <w:bottom w:val="single" w:sz="4" w:space="0" w:color="000000"/>
        <w:right w:val="single" w:sz="4" w:space="0" w:color="000000"/>
      </w:pBdr>
      <w:spacing w:beforeAutospacing="1" w:afterAutospacing="1"/>
      <w:ind w:firstLine="709"/>
      <w:jc w:val="both"/>
    </w:pPr>
    <w:rPr>
      <w:sz w:val="20"/>
      <w:szCs w:val="20"/>
      <w:lang w:eastAsia="ru-RU"/>
    </w:rPr>
  </w:style>
  <w:style w:type="paragraph" w:styleId="Xl190" w:customStyle="1">
    <w:name w:val="xl190"/>
    <w:basedOn w:val="Normal"/>
    <w:qFormat/>
    <w:rsid w:val="000b487d"/>
    <w:pPr>
      <w:pBdr>
        <w:left w:val="single" w:sz="4" w:space="0" w:color="000000"/>
        <w:bottom w:val="single" w:sz="4" w:space="0" w:color="000000"/>
        <w:right w:val="single" w:sz="4" w:space="0" w:color="000000"/>
      </w:pBdr>
      <w:spacing w:beforeAutospacing="1" w:afterAutospacing="1"/>
      <w:ind w:firstLine="709"/>
      <w:jc w:val="both"/>
    </w:pPr>
    <w:rPr>
      <w:sz w:val="20"/>
      <w:szCs w:val="20"/>
      <w:lang w:eastAsia="ru-RU"/>
    </w:rPr>
  </w:style>
  <w:style w:type="paragraph" w:styleId="Xl191" w:customStyle="1">
    <w:name w:val="xl191"/>
    <w:basedOn w:val="Normal"/>
    <w:qFormat/>
    <w:rsid w:val="000b487d"/>
    <w:pPr>
      <w:pBdr>
        <w:left w:val="single" w:sz="4" w:space="0" w:color="000000"/>
        <w:bottom w:val="single" w:sz="4" w:space="0" w:color="000000"/>
        <w:right w:val="single" w:sz="4" w:space="0" w:color="000000"/>
      </w:pBdr>
      <w:spacing w:beforeAutospacing="1" w:afterAutospacing="1"/>
      <w:ind w:firstLine="709"/>
      <w:jc w:val="center"/>
    </w:pPr>
    <w:rPr>
      <w:sz w:val="20"/>
      <w:szCs w:val="20"/>
      <w:lang w:eastAsia="ru-RU"/>
    </w:rPr>
  </w:style>
  <w:style w:type="paragraph" w:styleId="Xl192" w:customStyle="1">
    <w:name w:val="xl192"/>
    <w:basedOn w:val="Normal"/>
    <w:qFormat/>
    <w:rsid w:val="000b487d"/>
    <w:pPr>
      <w:pBdr>
        <w:left w:val="single" w:sz="4" w:space="0" w:color="000000"/>
        <w:bottom w:val="single" w:sz="4" w:space="0" w:color="000000"/>
        <w:right w:val="single" w:sz="4" w:space="0" w:color="000000"/>
      </w:pBdr>
      <w:spacing w:beforeAutospacing="1" w:afterAutospacing="1"/>
      <w:ind w:firstLine="709"/>
      <w:jc w:val="both"/>
    </w:pPr>
    <w:rPr>
      <w:sz w:val="20"/>
      <w:szCs w:val="20"/>
      <w:lang w:eastAsia="ru-RU"/>
    </w:rPr>
  </w:style>
  <w:style w:type="paragraph" w:styleId="Xl193" w:customStyle="1">
    <w:name w:val="xl193"/>
    <w:basedOn w:val="Normal"/>
    <w:qFormat/>
    <w:rsid w:val="000b487d"/>
    <w:pPr>
      <w:pBdr>
        <w:left w:val="single" w:sz="4" w:space="0" w:color="000000"/>
        <w:bottom w:val="single" w:sz="4" w:space="0" w:color="000000"/>
        <w:right w:val="single" w:sz="4" w:space="0" w:color="000000"/>
      </w:pBdr>
      <w:spacing w:beforeAutospacing="1" w:afterAutospacing="1"/>
      <w:ind w:firstLine="709"/>
      <w:jc w:val="both"/>
    </w:pPr>
    <w:rPr>
      <w:sz w:val="20"/>
      <w:szCs w:val="20"/>
      <w:lang w:eastAsia="ru-RU"/>
    </w:rPr>
  </w:style>
  <w:style w:type="paragraph" w:styleId="Xl194" w:customStyle="1">
    <w:name w:val="xl194"/>
    <w:basedOn w:val="Normal"/>
    <w:qFormat/>
    <w:rsid w:val="000b487d"/>
    <w:pPr>
      <w:pBdr>
        <w:left w:val="single" w:sz="4" w:space="0" w:color="000000"/>
        <w:bottom w:val="single" w:sz="4" w:space="0" w:color="000000"/>
        <w:right w:val="single" w:sz="4" w:space="0" w:color="000000"/>
      </w:pBdr>
      <w:spacing w:beforeAutospacing="1" w:afterAutospacing="1"/>
      <w:ind w:firstLine="709"/>
      <w:jc w:val="both"/>
    </w:pPr>
    <w:rPr>
      <w:sz w:val="20"/>
      <w:szCs w:val="20"/>
      <w:lang w:eastAsia="ru-RU"/>
    </w:rPr>
  </w:style>
  <w:style w:type="paragraph" w:styleId="Xl195" w:customStyle="1">
    <w:name w:val="xl195"/>
    <w:basedOn w:val="Normal"/>
    <w:qFormat/>
    <w:rsid w:val="000b487d"/>
    <w:pPr>
      <w:pBdr>
        <w:left w:val="single" w:sz="4" w:space="0" w:color="000000"/>
        <w:bottom w:val="single" w:sz="4" w:space="0" w:color="000000"/>
        <w:right w:val="single" w:sz="4" w:space="0" w:color="000000"/>
      </w:pBdr>
      <w:spacing w:beforeAutospacing="1" w:afterAutospacing="1"/>
      <w:ind w:firstLine="709"/>
      <w:jc w:val="both"/>
    </w:pPr>
    <w:rPr>
      <w:sz w:val="16"/>
      <w:szCs w:val="16"/>
      <w:lang w:eastAsia="ru-RU"/>
    </w:rPr>
  </w:style>
  <w:style w:type="paragraph" w:styleId="Xl196" w:customStyle="1">
    <w:name w:val="xl196"/>
    <w:basedOn w:val="Normal"/>
    <w:qFormat/>
    <w:rsid w:val="000b487d"/>
    <w:pPr>
      <w:pBdr>
        <w:left w:val="single" w:sz="4" w:space="0" w:color="000000"/>
        <w:bottom w:val="single" w:sz="4" w:space="0" w:color="000000"/>
        <w:right w:val="single" w:sz="4" w:space="0" w:color="000000"/>
      </w:pBdr>
      <w:shd w:val="clear" w:color="000000" w:fill="FFFF00"/>
      <w:spacing w:beforeAutospacing="1" w:afterAutospacing="1"/>
      <w:ind w:firstLine="709"/>
      <w:jc w:val="both"/>
    </w:pPr>
    <w:rPr>
      <w:sz w:val="16"/>
      <w:szCs w:val="16"/>
      <w:lang w:eastAsia="ru-RU"/>
    </w:rPr>
  </w:style>
  <w:style w:type="paragraph" w:styleId="Xl197" w:customStyle="1">
    <w:name w:val="xl197"/>
    <w:basedOn w:val="Normal"/>
    <w:qFormat/>
    <w:rsid w:val="000b487d"/>
    <w:pPr>
      <w:pBdr>
        <w:left w:val="single" w:sz="4" w:space="0" w:color="000000"/>
        <w:bottom w:val="single" w:sz="4" w:space="0" w:color="000000"/>
        <w:right w:val="single" w:sz="4" w:space="0" w:color="000000"/>
      </w:pBdr>
      <w:shd w:val="clear" w:color="000000" w:fill="FFFFFF"/>
      <w:spacing w:beforeAutospacing="1" w:afterAutospacing="1"/>
      <w:ind w:firstLine="709"/>
      <w:jc w:val="both"/>
    </w:pPr>
    <w:rPr>
      <w:sz w:val="16"/>
      <w:szCs w:val="16"/>
      <w:lang w:eastAsia="ru-RU"/>
    </w:rPr>
  </w:style>
  <w:style w:type="paragraph" w:styleId="Xl198" w:customStyle="1">
    <w:name w:val="xl198"/>
    <w:basedOn w:val="Normal"/>
    <w:qFormat/>
    <w:rsid w:val="000b487d"/>
    <w:pPr>
      <w:pBdr>
        <w:left w:val="single" w:sz="4" w:space="0" w:color="000000"/>
        <w:right w:val="single" w:sz="4" w:space="0" w:color="000000"/>
      </w:pBdr>
      <w:spacing w:beforeAutospacing="1" w:afterAutospacing="1"/>
      <w:ind w:firstLine="709"/>
      <w:jc w:val="both"/>
    </w:pPr>
    <w:rPr>
      <w:sz w:val="16"/>
      <w:szCs w:val="16"/>
      <w:lang w:eastAsia="ru-RU"/>
    </w:rPr>
  </w:style>
  <w:style w:type="paragraph" w:styleId="Xl199" w:customStyle="1">
    <w:name w:val="xl199"/>
    <w:basedOn w:val="Normal"/>
    <w:qFormat/>
    <w:rsid w:val="000b487d"/>
    <w:pPr>
      <w:pBdr>
        <w:left w:val="single" w:sz="4" w:space="0" w:color="000000"/>
      </w:pBdr>
      <w:spacing w:beforeAutospacing="1" w:afterAutospacing="1"/>
      <w:ind w:firstLine="709"/>
      <w:jc w:val="both"/>
    </w:pPr>
    <w:rPr>
      <w:sz w:val="16"/>
      <w:szCs w:val="16"/>
      <w:lang w:eastAsia="ru-RU"/>
    </w:rPr>
  </w:style>
  <w:style w:type="paragraph" w:styleId="Xl200" w:customStyle="1">
    <w:name w:val="xl200"/>
    <w:basedOn w:val="Normal"/>
    <w:qFormat/>
    <w:rsid w:val="000b487d"/>
    <w:pPr>
      <w:pBdr>
        <w:top w:val="single" w:sz="4" w:space="0" w:color="000000"/>
        <w:left w:val="single" w:sz="4" w:space="0" w:color="000000"/>
        <w:bottom w:val="single" w:sz="4" w:space="0" w:color="000000"/>
        <w:right w:val="single" w:sz="4" w:space="0" w:color="000000"/>
      </w:pBdr>
      <w:spacing w:beforeAutospacing="1" w:afterAutospacing="1"/>
      <w:ind w:firstLine="709"/>
      <w:jc w:val="center"/>
      <w:textAlignment w:val="center"/>
    </w:pPr>
    <w:rPr>
      <w:sz w:val="16"/>
      <w:szCs w:val="16"/>
      <w:lang w:eastAsia="ru-RU"/>
    </w:rPr>
  </w:style>
  <w:style w:type="paragraph" w:styleId="Xl201" w:customStyle="1">
    <w:name w:val="xl201"/>
    <w:basedOn w:val="Normal"/>
    <w:qFormat/>
    <w:rsid w:val="000b487d"/>
    <w:pPr>
      <w:pBdr>
        <w:top w:val="single" w:sz="4" w:space="0" w:color="000000"/>
        <w:left w:val="single" w:sz="4" w:space="0" w:color="000000"/>
        <w:bottom w:val="single" w:sz="4" w:space="0" w:color="000000"/>
        <w:right w:val="single" w:sz="4" w:space="0" w:color="000000"/>
      </w:pBdr>
      <w:spacing w:beforeAutospacing="1" w:afterAutospacing="1"/>
      <w:ind w:firstLine="709"/>
      <w:jc w:val="center"/>
      <w:textAlignment w:val="center"/>
    </w:pPr>
    <w:rPr>
      <w:b/>
      <w:bCs/>
      <w:lang w:eastAsia="ru-RU"/>
    </w:rPr>
  </w:style>
  <w:style w:type="paragraph" w:styleId="Xl202" w:customStyle="1">
    <w:name w:val="xl202"/>
    <w:basedOn w:val="Normal"/>
    <w:qFormat/>
    <w:rsid w:val="000b487d"/>
    <w:pPr>
      <w:pBdr>
        <w:top w:val="single" w:sz="4" w:space="0" w:color="000000"/>
        <w:left w:val="single" w:sz="4" w:space="0" w:color="000000"/>
        <w:bottom w:val="single" w:sz="4" w:space="0" w:color="000000"/>
        <w:right w:val="single" w:sz="4" w:space="0" w:color="000000"/>
      </w:pBdr>
      <w:spacing w:beforeAutospacing="1" w:afterAutospacing="1"/>
      <w:ind w:firstLine="709"/>
      <w:jc w:val="center"/>
      <w:textAlignment w:val="center"/>
    </w:pPr>
    <w:rPr>
      <w:b/>
      <w:bCs/>
      <w:sz w:val="16"/>
      <w:szCs w:val="16"/>
      <w:lang w:eastAsia="ru-RU"/>
    </w:rPr>
  </w:style>
  <w:style w:type="paragraph" w:styleId="Xl203" w:customStyle="1">
    <w:name w:val="xl203"/>
    <w:basedOn w:val="Normal"/>
    <w:qFormat/>
    <w:rsid w:val="000b487d"/>
    <w:pPr>
      <w:pBdr>
        <w:top w:val="single" w:sz="4" w:space="0" w:color="000000"/>
        <w:left w:val="single" w:sz="4" w:space="0" w:color="000000"/>
        <w:bottom w:val="single" w:sz="4" w:space="0" w:color="000000"/>
        <w:right w:val="single" w:sz="4" w:space="0" w:color="000000"/>
      </w:pBdr>
      <w:spacing w:beforeAutospacing="1" w:afterAutospacing="1"/>
      <w:ind w:firstLine="709"/>
      <w:jc w:val="center"/>
      <w:textAlignment w:val="center"/>
    </w:pPr>
    <w:rPr>
      <w:b/>
      <w:bCs/>
      <w:sz w:val="16"/>
      <w:szCs w:val="16"/>
      <w:lang w:eastAsia="ru-RU"/>
    </w:rPr>
  </w:style>
  <w:style w:type="paragraph" w:styleId="Xl204" w:customStyle="1">
    <w:name w:val="xl204"/>
    <w:basedOn w:val="Normal"/>
    <w:qFormat/>
    <w:rsid w:val="000b487d"/>
    <w:pPr>
      <w:pBdr>
        <w:top w:val="single" w:sz="4" w:space="0" w:color="000000"/>
        <w:left w:val="single" w:sz="4" w:space="0" w:color="000000"/>
        <w:bottom w:val="single" w:sz="4" w:space="0" w:color="000000"/>
        <w:right w:val="single" w:sz="4" w:space="0" w:color="000000"/>
      </w:pBdr>
      <w:spacing w:beforeAutospacing="1" w:afterAutospacing="1"/>
      <w:ind w:firstLine="709"/>
      <w:jc w:val="center"/>
      <w:textAlignment w:val="center"/>
    </w:pPr>
    <w:rPr>
      <w:b/>
      <w:bCs/>
      <w:sz w:val="16"/>
      <w:szCs w:val="16"/>
      <w:lang w:eastAsia="ru-RU"/>
    </w:rPr>
  </w:style>
  <w:style w:type="paragraph" w:styleId="Xl205" w:customStyle="1">
    <w:name w:val="xl205"/>
    <w:basedOn w:val="Normal"/>
    <w:qFormat/>
    <w:rsid w:val="000b487d"/>
    <w:pPr>
      <w:pBdr>
        <w:top w:val="single" w:sz="4" w:space="0" w:color="000000"/>
        <w:left w:val="single" w:sz="4" w:space="0" w:color="000000"/>
        <w:bottom w:val="single" w:sz="4" w:space="0" w:color="000000"/>
        <w:right w:val="single" w:sz="4" w:space="0" w:color="000000"/>
      </w:pBdr>
      <w:spacing w:beforeAutospacing="1" w:afterAutospacing="1"/>
      <w:ind w:firstLine="709"/>
      <w:jc w:val="center"/>
      <w:textAlignment w:val="center"/>
    </w:pPr>
    <w:rPr>
      <w:b/>
      <w:bCs/>
      <w:sz w:val="16"/>
      <w:szCs w:val="16"/>
      <w:lang w:eastAsia="ru-RU"/>
    </w:rPr>
  </w:style>
  <w:style w:type="paragraph" w:styleId="Xl206" w:customStyle="1">
    <w:name w:val="xl206"/>
    <w:basedOn w:val="Normal"/>
    <w:qFormat/>
    <w:rsid w:val="000b487d"/>
    <w:pPr>
      <w:pBdr>
        <w:top w:val="single" w:sz="4" w:space="0" w:color="000000"/>
        <w:left w:val="single" w:sz="4" w:space="0" w:color="000000"/>
        <w:bottom w:val="single" w:sz="4" w:space="0" w:color="000000"/>
        <w:right w:val="single" w:sz="4" w:space="0" w:color="000000"/>
      </w:pBdr>
      <w:spacing w:beforeAutospacing="1" w:afterAutospacing="1"/>
      <w:ind w:firstLine="709"/>
      <w:jc w:val="center"/>
      <w:textAlignment w:val="center"/>
    </w:pPr>
    <w:rPr>
      <w:b/>
      <w:bCs/>
      <w:sz w:val="16"/>
      <w:szCs w:val="16"/>
      <w:lang w:eastAsia="ru-RU"/>
    </w:rPr>
  </w:style>
  <w:style w:type="paragraph" w:styleId="Xl207" w:customStyle="1">
    <w:name w:val="xl207"/>
    <w:basedOn w:val="Normal"/>
    <w:qFormat/>
    <w:rsid w:val="000b487d"/>
    <w:pPr>
      <w:pBdr>
        <w:top w:val="single" w:sz="4" w:space="0" w:color="000000"/>
        <w:left w:val="single" w:sz="4" w:space="0" w:color="000000"/>
        <w:bottom w:val="single" w:sz="4" w:space="0" w:color="000000"/>
        <w:right w:val="single" w:sz="4" w:space="0" w:color="000000"/>
      </w:pBdr>
      <w:spacing w:beforeAutospacing="1" w:afterAutospacing="1"/>
      <w:ind w:firstLine="709"/>
      <w:jc w:val="center"/>
      <w:textAlignment w:val="center"/>
    </w:pPr>
    <w:rPr>
      <w:b/>
      <w:bCs/>
      <w:sz w:val="16"/>
      <w:szCs w:val="16"/>
      <w:lang w:eastAsia="ru-RU"/>
    </w:rPr>
  </w:style>
  <w:style w:type="paragraph" w:styleId="Xl208" w:customStyle="1">
    <w:name w:val="xl208"/>
    <w:basedOn w:val="Normal"/>
    <w:qFormat/>
    <w:rsid w:val="000b487d"/>
    <w:pPr>
      <w:pBdr>
        <w:top w:val="single" w:sz="4" w:space="0" w:color="000000"/>
        <w:left w:val="single" w:sz="4" w:space="0" w:color="000000"/>
        <w:bottom w:val="single" w:sz="4" w:space="0" w:color="000000"/>
        <w:right w:val="single" w:sz="4" w:space="0" w:color="000000"/>
      </w:pBdr>
      <w:spacing w:beforeAutospacing="1" w:afterAutospacing="1"/>
      <w:ind w:firstLine="709"/>
      <w:jc w:val="center"/>
      <w:textAlignment w:val="center"/>
    </w:pPr>
    <w:rPr>
      <w:b/>
      <w:bCs/>
      <w:sz w:val="16"/>
      <w:szCs w:val="16"/>
      <w:lang w:eastAsia="ru-RU"/>
    </w:rPr>
  </w:style>
  <w:style w:type="paragraph" w:styleId="Xl209" w:customStyle="1">
    <w:name w:val="xl209"/>
    <w:basedOn w:val="Normal"/>
    <w:qFormat/>
    <w:rsid w:val="000b487d"/>
    <w:pPr>
      <w:pBdr>
        <w:top w:val="single" w:sz="4" w:space="0" w:color="000000"/>
        <w:left w:val="single" w:sz="4" w:space="0" w:color="000000"/>
        <w:bottom w:val="single" w:sz="4" w:space="0" w:color="000000"/>
        <w:right w:val="single" w:sz="4" w:space="0" w:color="000000"/>
      </w:pBdr>
      <w:spacing w:beforeAutospacing="1" w:afterAutospacing="1"/>
      <w:ind w:firstLine="709"/>
      <w:jc w:val="center"/>
      <w:textAlignment w:val="center"/>
    </w:pPr>
    <w:rPr>
      <w:b/>
      <w:bCs/>
      <w:lang w:eastAsia="ru-RU"/>
    </w:rPr>
  </w:style>
  <w:style w:type="paragraph" w:styleId="Xl210" w:customStyle="1">
    <w:name w:val="xl210"/>
    <w:basedOn w:val="Normal"/>
    <w:qFormat/>
    <w:rsid w:val="000b487d"/>
    <w:pPr>
      <w:pBdr>
        <w:top w:val="single" w:sz="4" w:space="0" w:color="000000"/>
        <w:left w:val="single" w:sz="4" w:space="0" w:color="000000"/>
        <w:bottom w:val="single" w:sz="4" w:space="0" w:color="000000"/>
        <w:right w:val="single" w:sz="4" w:space="0" w:color="000000"/>
      </w:pBdr>
      <w:spacing w:beforeAutospacing="1" w:afterAutospacing="1"/>
      <w:ind w:firstLine="709"/>
      <w:jc w:val="center"/>
      <w:textAlignment w:val="center"/>
    </w:pPr>
    <w:rPr>
      <w:b/>
      <w:bCs/>
      <w:lang w:eastAsia="ru-RU"/>
    </w:rPr>
  </w:style>
  <w:style w:type="paragraph" w:styleId="Xl211" w:customStyle="1">
    <w:name w:val="xl211"/>
    <w:basedOn w:val="Normal"/>
    <w:qFormat/>
    <w:rsid w:val="000b487d"/>
    <w:pPr>
      <w:pBdr>
        <w:top w:val="single" w:sz="4" w:space="0" w:color="000000"/>
        <w:left w:val="single" w:sz="4" w:space="0" w:color="000000"/>
        <w:bottom w:val="single" w:sz="4" w:space="0" w:color="000000"/>
        <w:right w:val="single" w:sz="4" w:space="0" w:color="000000"/>
      </w:pBdr>
      <w:spacing w:beforeAutospacing="1" w:afterAutospacing="1"/>
      <w:ind w:firstLine="709"/>
      <w:jc w:val="center"/>
      <w:textAlignment w:val="center"/>
    </w:pPr>
    <w:rPr>
      <w:b/>
      <w:bCs/>
      <w:lang w:eastAsia="ru-RU"/>
    </w:rPr>
  </w:style>
  <w:style w:type="paragraph" w:styleId="Xl212" w:customStyle="1">
    <w:name w:val="xl212"/>
    <w:basedOn w:val="Normal"/>
    <w:qFormat/>
    <w:rsid w:val="000b487d"/>
    <w:pPr>
      <w:pBdr>
        <w:top w:val="single" w:sz="4" w:space="0" w:color="000000"/>
        <w:left w:val="single" w:sz="4" w:space="0" w:color="000000"/>
        <w:bottom w:val="single" w:sz="4" w:space="0" w:color="000000"/>
      </w:pBdr>
      <w:shd w:val="clear" w:color="000000" w:fill="B7DEE8"/>
      <w:spacing w:beforeAutospacing="1" w:afterAutospacing="1"/>
      <w:ind w:firstLine="709"/>
      <w:jc w:val="both"/>
    </w:pPr>
    <w:rPr>
      <w:b/>
      <w:bCs/>
      <w:sz w:val="20"/>
      <w:szCs w:val="20"/>
      <w:lang w:eastAsia="ru-RU"/>
    </w:rPr>
  </w:style>
  <w:style w:type="paragraph" w:styleId="Xl213" w:customStyle="1">
    <w:name w:val="xl213"/>
    <w:basedOn w:val="Normal"/>
    <w:qFormat/>
    <w:rsid w:val="000b487d"/>
    <w:pPr>
      <w:pBdr>
        <w:top w:val="single" w:sz="4" w:space="0" w:color="000000"/>
        <w:bottom w:val="single" w:sz="4" w:space="0" w:color="000000"/>
      </w:pBdr>
      <w:shd w:val="clear" w:color="000000" w:fill="B7DEE8"/>
      <w:spacing w:beforeAutospacing="1" w:afterAutospacing="1"/>
      <w:ind w:firstLine="709"/>
      <w:jc w:val="both"/>
    </w:pPr>
    <w:rPr>
      <w:b/>
      <w:bCs/>
      <w:sz w:val="20"/>
      <w:szCs w:val="20"/>
      <w:lang w:eastAsia="ru-RU"/>
    </w:rPr>
  </w:style>
  <w:style w:type="paragraph" w:styleId="Xl214" w:customStyle="1">
    <w:name w:val="xl214"/>
    <w:basedOn w:val="Normal"/>
    <w:qFormat/>
    <w:rsid w:val="000b487d"/>
    <w:pPr>
      <w:pBdr>
        <w:top w:val="single" w:sz="4" w:space="0" w:color="000000"/>
        <w:bottom w:val="single" w:sz="4" w:space="0" w:color="000000"/>
        <w:right w:val="single" w:sz="4" w:space="0" w:color="000000"/>
      </w:pBdr>
      <w:shd w:val="clear" w:color="000000" w:fill="B7DEE8"/>
      <w:spacing w:beforeAutospacing="1" w:afterAutospacing="1"/>
      <w:ind w:firstLine="709"/>
      <w:jc w:val="both"/>
    </w:pPr>
    <w:rPr>
      <w:b/>
      <w:bCs/>
      <w:sz w:val="20"/>
      <w:szCs w:val="20"/>
      <w:lang w:eastAsia="ru-RU"/>
    </w:rPr>
  </w:style>
  <w:style w:type="paragraph" w:styleId="Xl215" w:customStyle="1">
    <w:name w:val="xl215"/>
    <w:basedOn w:val="Normal"/>
    <w:qFormat/>
    <w:rsid w:val="000b487d"/>
    <w:pPr>
      <w:pBdr>
        <w:left w:val="single" w:sz="4" w:space="0" w:color="000000"/>
        <w:bottom w:val="single" w:sz="4" w:space="0" w:color="000000"/>
        <w:right w:val="single" w:sz="4" w:space="0" w:color="000000"/>
      </w:pBdr>
      <w:spacing w:beforeAutospacing="1" w:afterAutospacing="1"/>
      <w:ind w:firstLine="709"/>
      <w:jc w:val="center"/>
      <w:textAlignment w:val="center"/>
    </w:pPr>
    <w:rPr>
      <w:sz w:val="20"/>
      <w:szCs w:val="20"/>
      <w:lang w:eastAsia="ru-RU"/>
    </w:rPr>
  </w:style>
  <w:style w:type="paragraph" w:styleId="Xl216" w:customStyle="1">
    <w:name w:val="xl216"/>
    <w:basedOn w:val="Normal"/>
    <w:qFormat/>
    <w:rsid w:val="000b487d"/>
    <w:pPr>
      <w:pBdr>
        <w:top w:val="single" w:sz="4" w:space="0" w:color="000000"/>
        <w:left w:val="single" w:sz="4" w:space="0" w:color="000000"/>
        <w:right w:val="single" w:sz="4" w:space="0" w:color="000000"/>
      </w:pBdr>
      <w:spacing w:beforeAutospacing="1" w:afterAutospacing="1"/>
      <w:ind w:firstLine="709"/>
      <w:jc w:val="both"/>
      <w:textAlignment w:val="center"/>
    </w:pPr>
    <w:rPr>
      <w:sz w:val="20"/>
      <w:szCs w:val="20"/>
      <w:lang w:eastAsia="ru-RU"/>
    </w:rPr>
  </w:style>
  <w:style w:type="paragraph" w:styleId="Xl217" w:customStyle="1">
    <w:name w:val="xl217"/>
    <w:basedOn w:val="Normal"/>
    <w:qFormat/>
    <w:rsid w:val="000b487d"/>
    <w:pPr>
      <w:pBdr>
        <w:left w:val="single" w:sz="4" w:space="0" w:color="000000"/>
        <w:bottom w:val="single" w:sz="4" w:space="0" w:color="000000"/>
        <w:right w:val="single" w:sz="4" w:space="0" w:color="000000"/>
      </w:pBdr>
      <w:spacing w:beforeAutospacing="1" w:afterAutospacing="1"/>
      <w:ind w:firstLine="709"/>
      <w:jc w:val="both"/>
      <w:textAlignment w:val="center"/>
    </w:pPr>
    <w:rPr>
      <w:sz w:val="20"/>
      <w:szCs w:val="20"/>
      <w:lang w:eastAsia="ru-RU"/>
    </w:rPr>
  </w:style>
  <w:style w:type="paragraph" w:styleId="Xl218" w:customStyle="1">
    <w:name w:val="xl218"/>
    <w:basedOn w:val="Normal"/>
    <w:qFormat/>
    <w:rsid w:val="000b487d"/>
    <w:pPr>
      <w:pBdr>
        <w:top w:val="single" w:sz="4" w:space="0" w:color="000000"/>
        <w:left w:val="single" w:sz="4" w:space="0" w:color="000000"/>
        <w:right w:val="single" w:sz="4" w:space="0" w:color="000000"/>
      </w:pBdr>
      <w:spacing w:beforeAutospacing="1" w:afterAutospacing="1"/>
      <w:ind w:firstLine="709"/>
      <w:jc w:val="both"/>
      <w:textAlignment w:val="center"/>
    </w:pPr>
    <w:rPr>
      <w:sz w:val="20"/>
      <w:szCs w:val="20"/>
      <w:lang w:eastAsia="ru-RU"/>
    </w:rPr>
  </w:style>
  <w:style w:type="paragraph" w:styleId="Xl219" w:customStyle="1">
    <w:name w:val="xl219"/>
    <w:basedOn w:val="Normal"/>
    <w:qFormat/>
    <w:rsid w:val="000b487d"/>
    <w:pPr>
      <w:pBdr>
        <w:left w:val="single" w:sz="4" w:space="0" w:color="000000"/>
        <w:right w:val="single" w:sz="4" w:space="0" w:color="000000"/>
      </w:pBdr>
      <w:spacing w:beforeAutospacing="1" w:afterAutospacing="1"/>
      <w:ind w:firstLine="709"/>
      <w:jc w:val="both"/>
      <w:textAlignment w:val="center"/>
    </w:pPr>
    <w:rPr>
      <w:sz w:val="20"/>
      <w:szCs w:val="20"/>
      <w:lang w:eastAsia="ru-RU"/>
    </w:rPr>
  </w:style>
  <w:style w:type="paragraph" w:styleId="Xl220" w:customStyle="1">
    <w:name w:val="xl220"/>
    <w:basedOn w:val="Normal"/>
    <w:qFormat/>
    <w:rsid w:val="000b487d"/>
    <w:pPr>
      <w:pBdr>
        <w:left w:val="single" w:sz="4" w:space="0" w:color="000000"/>
        <w:bottom w:val="single" w:sz="4" w:space="0" w:color="000000"/>
        <w:right w:val="single" w:sz="4" w:space="0" w:color="000000"/>
      </w:pBdr>
      <w:spacing w:beforeAutospacing="1" w:afterAutospacing="1"/>
      <w:ind w:firstLine="709"/>
      <w:jc w:val="both"/>
      <w:textAlignment w:val="center"/>
    </w:pPr>
    <w:rPr>
      <w:sz w:val="20"/>
      <w:szCs w:val="20"/>
      <w:lang w:eastAsia="ru-RU"/>
    </w:rPr>
  </w:style>
  <w:style w:type="paragraph" w:styleId="Xl221" w:customStyle="1">
    <w:name w:val="xl221"/>
    <w:basedOn w:val="Normal"/>
    <w:qFormat/>
    <w:rsid w:val="000b487d"/>
    <w:pPr>
      <w:pBdr>
        <w:left w:val="single" w:sz="4" w:space="0" w:color="000000"/>
        <w:right w:val="single" w:sz="4" w:space="0" w:color="000000"/>
      </w:pBdr>
      <w:spacing w:beforeAutospacing="1" w:afterAutospacing="1"/>
      <w:ind w:firstLine="709"/>
      <w:jc w:val="center"/>
      <w:textAlignment w:val="center"/>
    </w:pPr>
    <w:rPr>
      <w:sz w:val="20"/>
      <w:szCs w:val="20"/>
      <w:lang w:eastAsia="ru-RU"/>
    </w:rPr>
  </w:style>
  <w:style w:type="paragraph" w:styleId="Xl222" w:customStyle="1">
    <w:name w:val="xl222"/>
    <w:basedOn w:val="Normal"/>
    <w:qFormat/>
    <w:rsid w:val="000b487d"/>
    <w:pPr>
      <w:pBdr>
        <w:top w:val="single" w:sz="4" w:space="0" w:color="000000"/>
        <w:left w:val="single" w:sz="4" w:space="0" w:color="000000"/>
        <w:right w:val="single" w:sz="4" w:space="0" w:color="000000"/>
      </w:pBdr>
      <w:spacing w:beforeAutospacing="1" w:afterAutospacing="1"/>
      <w:ind w:firstLine="709"/>
      <w:jc w:val="center"/>
      <w:textAlignment w:val="center"/>
    </w:pPr>
    <w:rPr>
      <w:sz w:val="20"/>
      <w:szCs w:val="20"/>
      <w:lang w:eastAsia="ru-RU"/>
    </w:rPr>
  </w:style>
  <w:style w:type="paragraph" w:styleId="Xl223" w:customStyle="1">
    <w:name w:val="xl223"/>
    <w:basedOn w:val="Normal"/>
    <w:qFormat/>
    <w:rsid w:val="000b487d"/>
    <w:pPr>
      <w:pBdr>
        <w:left w:val="single" w:sz="4" w:space="0" w:color="000000"/>
        <w:right w:val="single" w:sz="4" w:space="0" w:color="000000"/>
      </w:pBdr>
      <w:spacing w:beforeAutospacing="1" w:afterAutospacing="1"/>
      <w:ind w:firstLine="709"/>
      <w:jc w:val="center"/>
      <w:textAlignment w:val="center"/>
    </w:pPr>
    <w:rPr>
      <w:sz w:val="20"/>
      <w:szCs w:val="20"/>
      <w:lang w:eastAsia="ru-RU"/>
    </w:rPr>
  </w:style>
  <w:style w:type="paragraph" w:styleId="Xl224" w:customStyle="1">
    <w:name w:val="xl224"/>
    <w:basedOn w:val="Normal"/>
    <w:qFormat/>
    <w:rsid w:val="000b487d"/>
    <w:pPr>
      <w:pBdr>
        <w:left w:val="single" w:sz="4" w:space="0" w:color="000000"/>
        <w:bottom w:val="single" w:sz="4" w:space="0" w:color="000000"/>
        <w:right w:val="single" w:sz="4" w:space="0" w:color="000000"/>
      </w:pBdr>
      <w:spacing w:beforeAutospacing="1" w:afterAutospacing="1"/>
      <w:ind w:firstLine="709"/>
      <w:jc w:val="center"/>
      <w:textAlignment w:val="center"/>
    </w:pPr>
    <w:rPr>
      <w:sz w:val="20"/>
      <w:szCs w:val="20"/>
      <w:lang w:eastAsia="ru-RU"/>
    </w:rPr>
  </w:style>
  <w:style w:type="paragraph" w:styleId="Xl225" w:customStyle="1">
    <w:name w:val="xl225"/>
    <w:basedOn w:val="Normal"/>
    <w:qFormat/>
    <w:rsid w:val="000b487d"/>
    <w:pPr>
      <w:pBdr>
        <w:top w:val="single" w:sz="4" w:space="0" w:color="000000"/>
        <w:left w:val="single" w:sz="4" w:space="0" w:color="000000"/>
        <w:right w:val="single" w:sz="4" w:space="0" w:color="000000"/>
      </w:pBdr>
      <w:spacing w:beforeAutospacing="1" w:afterAutospacing="1"/>
      <w:ind w:firstLine="709"/>
      <w:jc w:val="center"/>
      <w:textAlignment w:val="center"/>
    </w:pPr>
    <w:rPr>
      <w:sz w:val="20"/>
      <w:szCs w:val="20"/>
      <w:lang w:eastAsia="ru-RU"/>
    </w:rPr>
  </w:style>
  <w:style w:type="paragraph" w:styleId="Xl226" w:customStyle="1">
    <w:name w:val="xl226"/>
    <w:basedOn w:val="Normal"/>
    <w:qFormat/>
    <w:rsid w:val="000b487d"/>
    <w:pPr>
      <w:pBdr>
        <w:left w:val="single" w:sz="4" w:space="0" w:color="000000"/>
        <w:right w:val="single" w:sz="4" w:space="0" w:color="000000"/>
      </w:pBdr>
      <w:spacing w:beforeAutospacing="1" w:afterAutospacing="1"/>
      <w:ind w:firstLine="709"/>
      <w:jc w:val="center"/>
      <w:textAlignment w:val="center"/>
    </w:pPr>
    <w:rPr>
      <w:sz w:val="20"/>
      <w:szCs w:val="20"/>
      <w:lang w:eastAsia="ru-RU"/>
    </w:rPr>
  </w:style>
  <w:style w:type="paragraph" w:styleId="Xl227" w:customStyle="1">
    <w:name w:val="xl227"/>
    <w:basedOn w:val="Normal"/>
    <w:qFormat/>
    <w:rsid w:val="000b487d"/>
    <w:pPr>
      <w:pBdr>
        <w:left w:val="single" w:sz="4" w:space="0" w:color="000000"/>
        <w:bottom w:val="single" w:sz="4" w:space="0" w:color="000000"/>
        <w:right w:val="single" w:sz="4" w:space="0" w:color="000000"/>
      </w:pBdr>
      <w:spacing w:beforeAutospacing="1" w:afterAutospacing="1"/>
      <w:ind w:firstLine="709"/>
      <w:jc w:val="center"/>
      <w:textAlignment w:val="center"/>
    </w:pPr>
    <w:rPr>
      <w:sz w:val="20"/>
      <w:szCs w:val="20"/>
      <w:lang w:eastAsia="ru-RU"/>
    </w:rPr>
  </w:style>
  <w:style w:type="paragraph" w:styleId="Xl228" w:customStyle="1">
    <w:name w:val="xl228"/>
    <w:basedOn w:val="Normal"/>
    <w:qFormat/>
    <w:rsid w:val="000b487d"/>
    <w:pPr>
      <w:pBdr>
        <w:left w:val="single" w:sz="4" w:space="0" w:color="000000"/>
        <w:right w:val="single" w:sz="4" w:space="0" w:color="000000"/>
      </w:pBdr>
      <w:spacing w:beforeAutospacing="1" w:afterAutospacing="1"/>
      <w:ind w:firstLine="709"/>
      <w:jc w:val="both"/>
      <w:textAlignment w:val="center"/>
    </w:pPr>
    <w:rPr>
      <w:sz w:val="20"/>
      <w:szCs w:val="20"/>
      <w:lang w:eastAsia="ru-RU"/>
    </w:rPr>
  </w:style>
  <w:style w:type="paragraph" w:styleId="Xl229" w:customStyle="1">
    <w:name w:val="xl229"/>
    <w:basedOn w:val="Normal"/>
    <w:qFormat/>
    <w:rsid w:val="000b487d"/>
    <w:pPr>
      <w:pBdr>
        <w:top w:val="single" w:sz="4" w:space="0" w:color="000000"/>
        <w:left w:val="single" w:sz="4" w:space="0" w:color="000000"/>
        <w:right w:val="single" w:sz="4" w:space="0" w:color="000000"/>
      </w:pBdr>
      <w:spacing w:beforeAutospacing="1" w:afterAutospacing="1"/>
      <w:ind w:firstLine="709"/>
      <w:jc w:val="both"/>
      <w:textAlignment w:val="center"/>
    </w:pPr>
    <w:rPr>
      <w:color w:val="FF0000"/>
      <w:sz w:val="20"/>
      <w:szCs w:val="20"/>
      <w:lang w:eastAsia="ru-RU"/>
    </w:rPr>
  </w:style>
  <w:style w:type="paragraph" w:styleId="Xl230" w:customStyle="1">
    <w:name w:val="xl230"/>
    <w:basedOn w:val="Normal"/>
    <w:qFormat/>
    <w:rsid w:val="000b487d"/>
    <w:pPr>
      <w:pBdr>
        <w:left w:val="single" w:sz="4" w:space="0" w:color="000000"/>
        <w:bottom w:val="single" w:sz="4" w:space="0" w:color="000000"/>
        <w:right w:val="single" w:sz="4" w:space="0" w:color="000000"/>
      </w:pBdr>
      <w:spacing w:beforeAutospacing="1" w:afterAutospacing="1"/>
      <w:ind w:firstLine="709"/>
      <w:jc w:val="both"/>
      <w:textAlignment w:val="center"/>
    </w:pPr>
    <w:rPr>
      <w:color w:val="FF0000"/>
      <w:sz w:val="20"/>
      <w:szCs w:val="20"/>
      <w:lang w:eastAsia="ru-RU"/>
    </w:rPr>
  </w:style>
  <w:style w:type="paragraph" w:styleId="Xl231" w:customStyle="1">
    <w:name w:val="xl231"/>
    <w:basedOn w:val="Normal"/>
    <w:qFormat/>
    <w:rsid w:val="000b487d"/>
    <w:pPr>
      <w:pBdr>
        <w:top w:val="single" w:sz="4" w:space="0" w:color="000000"/>
        <w:left w:val="single" w:sz="4" w:space="0" w:color="000000"/>
        <w:right w:val="single" w:sz="4" w:space="0" w:color="000000"/>
      </w:pBdr>
      <w:spacing w:beforeAutospacing="1" w:afterAutospacing="1"/>
      <w:ind w:firstLine="709"/>
      <w:jc w:val="center"/>
      <w:textAlignment w:val="center"/>
    </w:pPr>
    <w:rPr>
      <w:sz w:val="20"/>
      <w:szCs w:val="20"/>
      <w:lang w:eastAsia="ru-RU"/>
    </w:rPr>
  </w:style>
  <w:style w:type="paragraph" w:styleId="Xl232" w:customStyle="1">
    <w:name w:val="xl232"/>
    <w:basedOn w:val="Normal"/>
    <w:qFormat/>
    <w:rsid w:val="000b487d"/>
    <w:pPr>
      <w:pBdr>
        <w:left w:val="single" w:sz="4" w:space="0" w:color="000000"/>
        <w:right w:val="single" w:sz="4" w:space="0" w:color="000000"/>
      </w:pBdr>
      <w:spacing w:beforeAutospacing="1" w:afterAutospacing="1"/>
      <w:ind w:firstLine="709"/>
      <w:jc w:val="center"/>
      <w:textAlignment w:val="center"/>
    </w:pPr>
    <w:rPr>
      <w:sz w:val="20"/>
      <w:szCs w:val="20"/>
      <w:lang w:eastAsia="ru-RU"/>
    </w:rPr>
  </w:style>
  <w:style w:type="paragraph" w:styleId="Xl233" w:customStyle="1">
    <w:name w:val="xl233"/>
    <w:basedOn w:val="Normal"/>
    <w:qFormat/>
    <w:rsid w:val="000b487d"/>
    <w:pPr>
      <w:pBdr>
        <w:left w:val="single" w:sz="4" w:space="0" w:color="000000"/>
        <w:bottom w:val="single" w:sz="4" w:space="0" w:color="000000"/>
        <w:right w:val="single" w:sz="4" w:space="0" w:color="000000"/>
      </w:pBdr>
      <w:spacing w:beforeAutospacing="1" w:afterAutospacing="1"/>
      <w:ind w:firstLine="709"/>
      <w:jc w:val="center"/>
      <w:textAlignment w:val="center"/>
    </w:pPr>
    <w:rPr>
      <w:sz w:val="20"/>
      <w:szCs w:val="20"/>
      <w:lang w:eastAsia="ru-RU"/>
    </w:rPr>
  </w:style>
  <w:style w:type="paragraph" w:styleId="Style90" w:customStyle="1">
    <w:name w:val="Заголовок ведомости"/>
    <w:basedOn w:val="Normal"/>
    <w:qFormat/>
    <w:rsid w:val="000b487d"/>
    <w:pPr>
      <w:spacing w:before="120" w:after="120"/>
      <w:ind w:firstLine="709"/>
      <w:jc w:val="center"/>
    </w:pPr>
    <w:rPr>
      <w:rFonts w:eastAsia="Calibri"/>
      <w:b/>
      <w:bCs/>
      <w:sz w:val="22"/>
      <w:szCs w:val="20"/>
      <w:lang w:eastAsia="ru-RU"/>
    </w:rPr>
  </w:style>
  <w:style w:type="paragraph" w:styleId="Style91" w:customStyle="1">
    <w:name w:val="Обыч полуторный"/>
    <w:basedOn w:val="Normal"/>
    <w:qFormat/>
    <w:rsid w:val="000b487d"/>
    <w:pPr>
      <w:spacing w:lineRule="auto" w:line="360"/>
      <w:ind w:left="425" w:right="284" w:firstLine="567"/>
      <w:jc w:val="both"/>
    </w:pPr>
    <w:rPr>
      <w:lang w:eastAsia="ru-RU"/>
    </w:rPr>
  </w:style>
  <w:style w:type="paragraph" w:styleId="HTMLPreformatted">
    <w:name w:val="HTML Preformatted"/>
    <w:basedOn w:val="Normal"/>
    <w:semiHidden/>
    <w:unhideWhenUsed/>
    <w:qFormat/>
    <w:rsid w:val="000b487d"/>
    <w:pPr>
      <w:tabs>
        <w:tab w:val="clear" w:pos="4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firstLine="709"/>
      <w:jc w:val="both"/>
    </w:pPr>
    <w:rPr>
      <w:rFonts w:ascii="Courier New" w:hAnsi="Courier New" w:eastAsia="Calibri" w:cs="Courier New"/>
      <w:sz w:val="20"/>
      <w:szCs w:val="20"/>
      <w:lang w:eastAsia="ru-RU"/>
    </w:rPr>
  </w:style>
  <w:style w:type="paragraph" w:styleId="139" w:customStyle="1">
    <w:name w:val="Текст сноски1"/>
    <w:basedOn w:val="Normal"/>
    <w:next w:val="248"/>
    <w:uiPriority w:val="99"/>
    <w:semiHidden/>
    <w:unhideWhenUsed/>
    <w:qFormat/>
    <w:rsid w:val="000b487d"/>
    <w:pPr>
      <w:spacing w:lineRule="auto" w:line="360"/>
      <w:ind w:firstLine="709"/>
      <w:jc w:val="both"/>
    </w:pPr>
    <w:rPr>
      <w:rFonts w:ascii="Calibri" w:hAnsi="Calibri" w:eastAsia="Calibri" w:cs="Calibri"/>
      <w:sz w:val="22"/>
      <w:szCs w:val="22"/>
      <w:lang w:eastAsia="en-US"/>
    </w:rPr>
  </w:style>
  <w:style w:type="paragraph" w:styleId="140" w:customStyle="1">
    <w:name w:val="Текст концевой сноски1"/>
    <w:basedOn w:val="Normal"/>
    <w:next w:val="249"/>
    <w:semiHidden/>
    <w:unhideWhenUsed/>
    <w:qFormat/>
    <w:rsid w:val="000b487d"/>
    <w:pPr>
      <w:ind w:firstLine="709"/>
      <w:jc w:val="both"/>
    </w:pPr>
    <w:rPr>
      <w:rFonts w:ascii="Calibri" w:hAnsi="Calibri" w:eastAsia="Calibri" w:cs="Calibri"/>
      <w:sz w:val="22"/>
      <w:szCs w:val="22"/>
      <w:lang w:eastAsia="en-US"/>
    </w:rPr>
  </w:style>
  <w:style w:type="paragraph" w:styleId="ListBullet">
    <w:name w:val="List Bullet"/>
    <w:basedOn w:val="Normal"/>
    <w:autoRedefine/>
    <w:unhideWhenUsed/>
    <w:qFormat/>
    <w:rsid w:val="000b487d"/>
    <w:pPr>
      <w:spacing w:lineRule="auto" w:line="360"/>
      <w:ind w:firstLine="709"/>
      <w:jc w:val="center"/>
    </w:pPr>
    <w:rPr>
      <w:lang w:eastAsia="ru-RU"/>
    </w:rPr>
  </w:style>
  <w:style w:type="paragraph" w:styleId="Style92">
    <w:name w:val="Subtitle"/>
    <w:basedOn w:val="Normal"/>
    <w:next w:val="Normal"/>
    <w:qFormat/>
    <w:rsid w:val="000b487d"/>
    <w:pPr>
      <w:spacing w:lineRule="auto" w:line="360"/>
      <w:ind w:firstLine="709"/>
      <w:jc w:val="both"/>
    </w:pPr>
    <w:rPr>
      <w:rFonts w:ascii="Cambria" w:hAnsi="Cambria" w:eastAsia="Calibri" w:cs="Calibri"/>
      <w:i/>
      <w:iCs/>
      <w:color w:val="4F81BD"/>
      <w:spacing w:val="15"/>
      <w:lang w:eastAsia="en-US"/>
    </w:rPr>
  </w:style>
  <w:style w:type="paragraph" w:styleId="2210" w:customStyle="1">
    <w:name w:val="Основной текст 22"/>
    <w:basedOn w:val="Normal"/>
    <w:next w:val="BodyText2"/>
    <w:unhideWhenUsed/>
    <w:qFormat/>
    <w:rsid w:val="000b487d"/>
    <w:pPr>
      <w:spacing w:lineRule="auto" w:line="480" w:before="0" w:after="120"/>
      <w:ind w:firstLine="709"/>
      <w:jc w:val="both"/>
    </w:pPr>
    <w:rPr>
      <w:rFonts w:ascii="Calibri" w:hAnsi="Calibri" w:eastAsia="Calibri" w:cs="Calibri"/>
      <w:sz w:val="16"/>
      <w:szCs w:val="22"/>
      <w:lang w:eastAsia="en-US"/>
    </w:rPr>
  </w:style>
  <w:style w:type="paragraph" w:styleId="316" w:customStyle="1">
    <w:name w:val="Основной текст 31"/>
    <w:basedOn w:val="Normal"/>
    <w:next w:val="BodyText3"/>
    <w:uiPriority w:val="99"/>
    <w:semiHidden/>
    <w:unhideWhenUsed/>
    <w:qFormat/>
    <w:rsid w:val="000b487d"/>
    <w:pPr>
      <w:spacing w:lineRule="auto" w:line="360" w:before="0" w:after="120"/>
      <w:ind w:firstLine="709"/>
      <w:jc w:val="both"/>
    </w:pPr>
    <w:rPr>
      <w:rFonts w:ascii="Calibri" w:hAnsi="Calibri" w:eastAsia="Calibri" w:cs="Calibri"/>
      <w:color w:val="FF0000"/>
      <w:sz w:val="16"/>
      <w:szCs w:val="22"/>
      <w:lang w:eastAsia="en-US"/>
    </w:rPr>
  </w:style>
  <w:style w:type="paragraph" w:styleId="317" w:customStyle="1">
    <w:name w:val="Основной текст с отступом 31"/>
    <w:basedOn w:val="Normal"/>
    <w:next w:val="BodyTextIndent3"/>
    <w:semiHidden/>
    <w:unhideWhenUsed/>
    <w:qFormat/>
    <w:rsid w:val="000b487d"/>
    <w:pPr>
      <w:spacing w:lineRule="auto" w:line="360" w:before="0" w:after="120"/>
      <w:ind w:left="283" w:firstLine="709"/>
      <w:jc w:val="both"/>
    </w:pPr>
    <w:rPr>
      <w:rFonts w:ascii="Calibri" w:hAnsi="Calibri" w:eastAsia="Calibri" w:cs="Calibri"/>
      <w:sz w:val="16"/>
      <w:szCs w:val="16"/>
      <w:lang w:eastAsia="en-US"/>
    </w:rPr>
  </w:style>
  <w:style w:type="paragraph" w:styleId="PlainText">
    <w:name w:val="Plain Text"/>
    <w:basedOn w:val="Normal"/>
    <w:semiHidden/>
    <w:unhideWhenUsed/>
    <w:qFormat/>
    <w:rsid w:val="000b487d"/>
    <w:pPr>
      <w:ind w:firstLine="709"/>
      <w:jc w:val="both"/>
    </w:pPr>
    <w:rPr>
      <w:rFonts w:ascii="Consolas" w:hAnsi="Consolas" w:eastAsia="Calibri" w:cs="Consolas"/>
      <w:sz w:val="21"/>
      <w:szCs w:val="21"/>
      <w:lang w:eastAsia="en-US"/>
    </w:rPr>
  </w:style>
  <w:style w:type="paragraph" w:styleId="143" w:customStyle="1">
    <w:name w:val="Без интервала1"/>
    <w:next w:val="NoSpacing"/>
    <w:qFormat/>
    <w:rsid w:val="000b487d"/>
    <w:pPr>
      <w:widowControl/>
      <w:suppressAutoHyphens w:val="true"/>
      <w:bidi w:val="0"/>
      <w:spacing w:before="0" w:after="0"/>
      <w:jc w:val="left"/>
    </w:pPr>
    <w:rPr>
      <w:rFonts w:ascii="Calibri" w:hAnsi="Calibri" w:eastAsia="Calibri" w:cs="Calibri"/>
      <w:color w:val="auto"/>
      <w:kern w:val="0"/>
      <w:sz w:val="24"/>
      <w:szCs w:val="22"/>
      <w:lang w:val="ru-RU" w:eastAsia="en-US" w:bidi="ar-SA"/>
    </w:rPr>
  </w:style>
  <w:style w:type="paragraph" w:styleId="144" w:customStyle="1">
    <w:name w:val="Обычный1"/>
    <w:qFormat/>
    <w:rsid w:val="000b487d"/>
    <w:pPr>
      <w:widowControl w:val="false"/>
      <w:suppressAutoHyphens w:val="true"/>
      <w:bidi w:val="0"/>
      <w:snapToGrid w:val="false"/>
      <w:spacing w:before="0" w:after="0"/>
      <w:jc w:val="left"/>
    </w:pPr>
    <w:rPr>
      <w:rFonts w:ascii="Times New Roman" w:hAnsi="Times New Roman" w:eastAsia="Times New Roman" w:cs="Times New Roman"/>
      <w:color w:val="auto"/>
      <w:kern w:val="0"/>
      <w:sz w:val="24"/>
      <w:szCs w:val="20"/>
      <w:lang w:val="ru-RU" w:eastAsia="ru-RU" w:bidi="ar-SA"/>
    </w:rPr>
  </w:style>
  <w:style w:type="paragraph" w:styleId="Style93" w:customStyle="1">
    <w:name w:val="номер список Знак"/>
    <w:basedOn w:val="Normal"/>
    <w:next w:val="Normal"/>
    <w:qFormat/>
    <w:rsid w:val="000b487d"/>
    <w:pPr>
      <w:tabs>
        <w:tab w:val="clear" w:pos="408"/>
        <w:tab w:val="left" w:pos="737" w:leader="none"/>
      </w:tabs>
      <w:spacing w:lineRule="auto" w:line="360" w:before="40" w:after="40"/>
      <w:ind w:firstLine="709"/>
      <w:jc w:val="both"/>
    </w:pPr>
    <w:rPr>
      <w:rFonts w:ascii="Calibri" w:hAnsi="Calibri" w:eastAsia="Calibri" w:cs="Calibri"/>
      <w:sz w:val="22"/>
      <w:lang w:eastAsia="en-US"/>
    </w:rPr>
  </w:style>
  <w:style w:type="paragraph" w:styleId="MTDisplayEquation1" w:customStyle="1">
    <w:name w:val="MTDisplayEquation"/>
    <w:basedOn w:val="Normal"/>
    <w:next w:val="Normal"/>
    <w:link w:val="MTDisplayEquation"/>
    <w:qFormat/>
    <w:rsid w:val="000b487d"/>
    <w:pPr>
      <w:tabs>
        <w:tab w:val="clear" w:pos="408"/>
        <w:tab w:val="center" w:pos="4820" w:leader="none"/>
        <w:tab w:val="right" w:pos="9640" w:leader="none"/>
      </w:tabs>
      <w:spacing w:lineRule="auto" w:line="360"/>
      <w:ind w:firstLine="709"/>
      <w:jc w:val="both"/>
    </w:pPr>
    <w:rPr>
      <w:rFonts w:ascii="PT Astra Serif" w:hAnsi="PT Astra Serif" w:eastAsia="Tahoma" w:cs="Noto Sans Devanagari"/>
      <w:sz w:val="28"/>
      <w:szCs w:val="28"/>
      <w:lang w:bidi="hi-IN"/>
    </w:rPr>
  </w:style>
  <w:style w:type="paragraph" w:styleId="Style94" w:customStyle="1">
    <w:name w:val="абзац как абзац"/>
    <w:basedOn w:val="Normal"/>
    <w:qFormat/>
    <w:rsid w:val="000b487d"/>
    <w:pPr>
      <w:widowControl w:val="false"/>
      <w:spacing w:lineRule="auto" w:line="360"/>
      <w:ind w:firstLine="680"/>
      <w:jc w:val="both"/>
    </w:pPr>
    <w:rPr>
      <w:rFonts w:ascii="MS Serif" w:hAnsi="MS Serif"/>
      <w:sz w:val="28"/>
      <w:szCs w:val="20"/>
      <w:lang w:eastAsia="ru-RU"/>
    </w:rPr>
  </w:style>
  <w:style w:type="paragraph" w:styleId="Style95" w:customStyle="1">
    <w:name w:val="Стильс отст."/>
    <w:basedOn w:val="Normal"/>
    <w:qFormat/>
    <w:rsid w:val="000b487d"/>
    <w:pPr>
      <w:spacing w:lineRule="auto" w:line="360"/>
      <w:ind w:right="-58" w:firstLine="720"/>
      <w:jc w:val="both"/>
    </w:pPr>
    <w:rPr>
      <w:rFonts w:ascii="Arial Narrow" w:hAnsi="Arial Narrow"/>
      <w:sz w:val="28"/>
      <w:szCs w:val="20"/>
      <w:lang w:eastAsia="ru-RU"/>
    </w:rPr>
  </w:style>
  <w:style w:type="paragraph" w:styleId="230" w:customStyle="1">
    <w:name w:val="Основной текст2"/>
    <w:basedOn w:val="Normal"/>
    <w:qFormat/>
    <w:rsid w:val="000b487d"/>
    <w:pPr>
      <w:shd w:val="clear" w:color="auto" w:fill="FFFFFF"/>
      <w:spacing w:lineRule="exact" w:line="240"/>
      <w:ind w:firstLine="709"/>
      <w:jc w:val="both"/>
    </w:pPr>
    <w:rPr>
      <w:rFonts w:ascii="Arial" w:hAnsi="Arial" w:eastAsia="Arial" w:cs="Arial"/>
      <w:sz w:val="22"/>
      <w:szCs w:val="22"/>
      <w:lang w:eastAsia="en-US"/>
    </w:rPr>
  </w:style>
  <w:style w:type="paragraph" w:styleId="Mytext" w:customStyle="1">
    <w:name w:val="mytext"/>
    <w:basedOn w:val="Normal"/>
    <w:qFormat/>
    <w:rsid w:val="000b487d"/>
    <w:pPr>
      <w:spacing w:lineRule="auto" w:line="360" w:beforeAutospacing="1" w:afterAutospacing="1"/>
      <w:ind w:firstLine="709"/>
      <w:jc w:val="both"/>
    </w:pPr>
    <w:rPr>
      <w:lang w:eastAsia="ru-RU"/>
    </w:rPr>
  </w:style>
  <w:style w:type="paragraph" w:styleId="301" w:customStyle="1">
    <w:name w:val="Основной текст (30)"/>
    <w:basedOn w:val="Normal"/>
    <w:link w:val="301"/>
    <w:qFormat/>
    <w:rsid w:val="000b487d"/>
    <w:pPr>
      <w:shd w:val="clear" w:color="auto" w:fill="FFFFFF"/>
      <w:spacing w:lineRule="atLeast" w:line="240" w:before="900" w:after="60"/>
      <w:ind w:firstLine="709"/>
      <w:jc w:val="both"/>
    </w:pPr>
    <w:rPr>
      <w:rFonts w:ascii="Arial" w:hAnsi="Arial" w:eastAsia="Calibri" w:cs="Arial"/>
      <w:sz w:val="17"/>
      <w:szCs w:val="17"/>
      <w:lang w:eastAsia="en-US"/>
    </w:rPr>
  </w:style>
  <w:style w:type="paragraph" w:styleId="145" w:customStyle="1">
    <w:name w:val="Абзац списка1"/>
    <w:basedOn w:val="Normal"/>
    <w:link w:val="ListParagraphChar1"/>
    <w:qFormat/>
    <w:rsid w:val="000b487d"/>
    <w:pPr>
      <w:ind w:left="720" w:firstLine="709"/>
      <w:jc w:val="both"/>
    </w:pPr>
    <w:rPr>
      <w:rFonts w:ascii="Calibri" w:hAnsi="Calibri"/>
      <w:lang w:eastAsia="en-US"/>
    </w:rPr>
  </w:style>
  <w:style w:type="paragraph" w:styleId="318" w:customStyle="1">
    <w:name w:val="Заг3"/>
    <w:basedOn w:val="Normal"/>
    <w:qFormat/>
    <w:rsid w:val="000b487d"/>
    <w:pPr>
      <w:widowControl w:val="false"/>
      <w:spacing w:lineRule="auto" w:line="360"/>
      <w:ind w:left="1800" w:hanging="720"/>
      <w:jc w:val="both"/>
    </w:pPr>
    <w:rPr>
      <w:rFonts w:ascii="Arial" w:hAnsi="Arial" w:cs="Arial"/>
      <w:b/>
      <w:lang w:eastAsia="en-US"/>
    </w:rPr>
  </w:style>
  <w:style w:type="paragraph" w:styleId="231" w:customStyle="1">
    <w:name w:val="2уровень"/>
    <w:basedOn w:val="Normal"/>
    <w:qFormat/>
    <w:rsid w:val="000b487d"/>
    <w:pPr>
      <w:tabs>
        <w:tab w:val="clear" w:pos="408"/>
        <w:tab w:val="left" w:pos="1843" w:leader="none"/>
        <w:tab w:val="left" w:pos="2880" w:leader="none"/>
      </w:tabs>
      <w:ind w:left="2880" w:hanging="360"/>
      <w:jc w:val="both"/>
    </w:pPr>
    <w:rPr>
      <w:rFonts w:ascii="Calibri" w:hAnsi="Calibri"/>
      <w:sz w:val="28"/>
      <w:szCs w:val="20"/>
      <w:lang w:eastAsia="ru-RU"/>
    </w:rPr>
  </w:style>
  <w:style w:type="paragraph" w:styleId="Ptx2" w:customStyle="1">
    <w:name w:val="ptx2"/>
    <w:basedOn w:val="Normal"/>
    <w:qFormat/>
    <w:rsid w:val="000b487d"/>
    <w:pPr>
      <w:spacing w:beforeAutospacing="1" w:afterAutospacing="1"/>
      <w:ind w:firstLine="709"/>
      <w:jc w:val="both"/>
    </w:pPr>
    <w:rPr>
      <w:rFonts w:ascii="Calibri" w:hAnsi="Calibri"/>
      <w:lang w:eastAsia="ru-RU"/>
    </w:rPr>
  </w:style>
  <w:style w:type="paragraph" w:styleId="146" w:customStyle="1">
    <w:name w:val="Стиль1"/>
    <w:basedOn w:val="130"/>
    <w:qFormat/>
    <w:rsid w:val="000b487d"/>
    <w:pPr>
      <w:ind w:firstLine="709"/>
      <w:jc w:val="center"/>
    </w:pPr>
    <w:rPr>
      <w:rFonts w:ascii="Calibri" w:hAnsi="Calibri" w:eastAsia="Calibri" w:cs="Calibri"/>
      <w:lang w:eastAsia="en-US"/>
    </w:rPr>
  </w:style>
  <w:style w:type="paragraph" w:styleId="232" w:customStyle="1">
    <w:name w:val="Абзац списка2"/>
    <w:basedOn w:val="Normal"/>
    <w:qFormat/>
    <w:rsid w:val="000b487d"/>
    <w:pPr>
      <w:ind w:left="720" w:firstLine="709"/>
      <w:jc w:val="both"/>
    </w:pPr>
    <w:rPr>
      <w:rFonts w:ascii="Calibri" w:hAnsi="Calibri"/>
      <w:lang w:eastAsia="en-US"/>
    </w:rPr>
  </w:style>
  <w:style w:type="paragraph" w:styleId="319" w:customStyle="1">
    <w:name w:val="Абзац списка3"/>
    <w:basedOn w:val="Normal"/>
    <w:qFormat/>
    <w:rsid w:val="000b487d"/>
    <w:pPr>
      <w:ind w:left="720" w:firstLine="709"/>
      <w:jc w:val="both"/>
    </w:pPr>
    <w:rPr>
      <w:lang w:eastAsia="en-US"/>
    </w:rPr>
  </w:style>
  <w:style w:type="paragraph" w:styleId="Style810" w:customStyle="1">
    <w:name w:val="Style8"/>
    <w:basedOn w:val="Normal"/>
    <w:uiPriority w:val="99"/>
    <w:qFormat/>
    <w:rsid w:val="000b487d"/>
    <w:pPr>
      <w:widowControl w:val="false"/>
      <w:spacing w:lineRule="exact" w:line="241"/>
      <w:ind w:firstLine="298"/>
      <w:jc w:val="both"/>
    </w:pPr>
    <w:rPr>
      <w:rFonts w:eastAsia="Calibri"/>
      <w:lang w:eastAsia="ru-RU"/>
    </w:rPr>
  </w:style>
  <w:style w:type="paragraph" w:styleId="03" w:customStyle="1">
    <w:name w:val="03"/>
    <w:basedOn w:val="Normal"/>
    <w:autoRedefine/>
    <w:qFormat/>
    <w:rsid w:val="000b487d"/>
    <w:pPr>
      <w:spacing w:lineRule="auto" w:line="360"/>
      <w:ind w:left="1637" w:hanging="786"/>
      <w:jc w:val="both"/>
    </w:pPr>
    <w:rPr>
      <w:b/>
      <w:sz w:val="28"/>
      <w:szCs w:val="28"/>
      <w:lang w:eastAsia="ru-RU"/>
    </w:rPr>
  </w:style>
  <w:style w:type="paragraph" w:styleId="320" w:customStyle="1">
    <w:name w:val="Основной текст (3)"/>
    <w:basedOn w:val="Normal"/>
    <w:qFormat/>
    <w:rsid w:val="000b487d"/>
    <w:pPr>
      <w:widowControl w:val="false"/>
      <w:shd w:val="clear" w:color="auto" w:fill="FFFFFF"/>
      <w:spacing w:lineRule="exact" w:line="288" w:before="420" w:after="660"/>
      <w:ind w:firstLine="709"/>
      <w:jc w:val="center"/>
    </w:pPr>
    <w:rPr>
      <w:rFonts w:ascii="Calibri" w:hAnsi="Calibri" w:eastAsia="Calibri" w:cs="Calibri"/>
      <w:b/>
      <w:bCs/>
      <w:sz w:val="25"/>
      <w:szCs w:val="25"/>
      <w:lang w:eastAsia="en-US"/>
    </w:rPr>
  </w:style>
  <w:style w:type="paragraph" w:styleId="414" w:customStyle="1">
    <w:name w:val="Основной текст (4)1"/>
    <w:basedOn w:val="Normal"/>
    <w:qFormat/>
    <w:rsid w:val="000b487d"/>
    <w:pPr>
      <w:widowControl w:val="false"/>
      <w:shd w:val="clear" w:color="auto" w:fill="FFFFFF"/>
      <w:spacing w:lineRule="atLeast" w:line="240" w:before="2760" w:after="240"/>
      <w:ind w:hanging="1820"/>
      <w:jc w:val="both"/>
    </w:pPr>
    <w:rPr>
      <w:rFonts w:ascii="Calibri" w:hAnsi="Calibri" w:eastAsia="Calibri" w:cs="Calibri"/>
      <w:b/>
      <w:bCs/>
      <w:sz w:val="19"/>
      <w:szCs w:val="19"/>
      <w:lang w:eastAsia="en-US"/>
    </w:rPr>
  </w:style>
  <w:style w:type="paragraph" w:styleId="Style96" w:customStyle="1">
    <w:name w:val="_Текст основной"/>
    <w:basedOn w:val="Normal"/>
    <w:qFormat/>
    <w:rsid w:val="000b487d"/>
    <w:pPr>
      <w:ind w:firstLine="567"/>
      <w:jc w:val="both"/>
    </w:pPr>
    <w:rPr>
      <w:rFonts w:ascii="Calibri" w:hAnsi="Calibri" w:eastAsia="Calibri" w:cs="Calibri"/>
      <w:sz w:val="28"/>
      <w:szCs w:val="28"/>
      <w:lang w:eastAsia="en-US"/>
    </w:rPr>
  </w:style>
  <w:style w:type="paragraph" w:styleId="Style97" w:customStyle="1">
    <w:name w:val="Центр"/>
    <w:basedOn w:val="Normal"/>
    <w:qFormat/>
    <w:rsid w:val="000b487d"/>
    <w:pPr>
      <w:spacing w:lineRule="auto" w:line="264"/>
      <w:ind w:firstLine="709"/>
      <w:jc w:val="center"/>
    </w:pPr>
    <w:rPr>
      <w:rFonts w:ascii="Calibri" w:hAnsi="Calibri" w:eastAsia="Calibri" w:cs="Calibri"/>
      <w:sz w:val="22"/>
      <w:lang w:eastAsia="en-US"/>
    </w:rPr>
  </w:style>
  <w:style w:type="paragraph" w:styleId="233" w:customStyle="1">
    <w:name w:val="_ЗАГ2"/>
    <w:qFormat/>
    <w:rsid w:val="000b487d"/>
    <w:pPr>
      <w:widowControl/>
      <w:suppressAutoHyphens w:val="true"/>
      <w:bidi w:val="0"/>
      <w:spacing w:before="240" w:after="120"/>
      <w:jc w:val="center"/>
    </w:pPr>
    <w:rPr>
      <w:rFonts w:ascii="Arial Narrow" w:hAnsi="Arial Narrow" w:eastAsia="Times New Roman" w:cs="Times New Roman"/>
      <w:b/>
      <w:color w:val="auto"/>
      <w:kern w:val="0"/>
      <w:sz w:val="28"/>
      <w:szCs w:val="28"/>
      <w:lang w:val="ru-RU" w:eastAsia="ru-RU" w:bidi="ar-SA"/>
    </w:rPr>
  </w:style>
  <w:style w:type="paragraph" w:styleId="45" w:customStyle="1">
    <w:name w:val="Абзац списка4"/>
    <w:basedOn w:val="Normal"/>
    <w:qFormat/>
    <w:rsid w:val="000b487d"/>
    <w:pPr>
      <w:ind w:left="720" w:firstLine="709"/>
      <w:jc w:val="both"/>
    </w:pPr>
    <w:rPr>
      <w:rFonts w:ascii="Calibri" w:hAnsi="Calibri"/>
      <w:lang w:eastAsia="en-US"/>
    </w:rPr>
  </w:style>
  <w:style w:type="paragraph" w:styleId="234" w:customStyle="1">
    <w:name w:val="Заголовок2"/>
    <w:basedOn w:val="144"/>
    <w:qFormat/>
    <w:rsid w:val="000b487d"/>
    <w:pPr>
      <w:keepNext w:val="true"/>
      <w:widowControl/>
      <w:snapToGrid w:val="true"/>
      <w:spacing w:lineRule="auto" w:line="360" w:before="240" w:after="120"/>
      <w:ind w:firstLine="709"/>
      <w:jc w:val="both"/>
    </w:pPr>
    <w:rPr>
      <w:rFonts w:eastAsia="Calibri"/>
      <w:i/>
      <w:sz w:val="28"/>
    </w:rPr>
  </w:style>
  <w:style w:type="paragraph" w:styleId="Style98" w:customStyle="1">
    <w:name w:val="текст таблиц"/>
    <w:basedOn w:val="Style71"/>
    <w:qFormat/>
    <w:rsid w:val="000b487d"/>
    <w:pPr>
      <w:spacing w:lineRule="exact" w:line="510" w:before="0" w:after="0"/>
      <w:ind w:firstLine="709"/>
      <w:jc w:val="both"/>
    </w:pPr>
    <w:rPr>
      <w:rFonts w:ascii="Calibri" w:hAnsi="Calibri" w:eastAsia="Calibri" w:cs="Calibri"/>
      <w:sz w:val="28"/>
      <w:szCs w:val="28"/>
      <w:lang w:eastAsia="en-US"/>
    </w:rPr>
  </w:style>
  <w:style w:type="paragraph" w:styleId="147" w:customStyle="1">
    <w:name w:val="Основной текст1"/>
    <w:basedOn w:val="Normal"/>
    <w:qFormat/>
    <w:rsid w:val="000b487d"/>
    <w:pPr>
      <w:shd w:val="clear" w:color="auto" w:fill="FFFFFF"/>
      <w:spacing w:lineRule="exact" w:line="533"/>
      <w:ind w:firstLine="520"/>
      <w:jc w:val="both"/>
    </w:pPr>
    <w:rPr>
      <w:rFonts w:ascii="Calibri" w:hAnsi="Calibri"/>
      <w:sz w:val="29"/>
      <w:szCs w:val="29"/>
      <w:lang w:eastAsia="en-US"/>
    </w:rPr>
  </w:style>
  <w:style w:type="paragraph" w:styleId="Volissue" w:customStyle="1">
    <w:name w:val="volissue"/>
    <w:basedOn w:val="Normal"/>
    <w:qFormat/>
    <w:rsid w:val="000b487d"/>
    <w:pPr>
      <w:spacing w:beforeAutospacing="1" w:afterAutospacing="1"/>
      <w:ind w:firstLine="709"/>
      <w:jc w:val="both"/>
    </w:pPr>
    <w:rPr>
      <w:rFonts w:eastAsia="Calibri"/>
      <w:lang w:eastAsia="ru-RU"/>
    </w:rPr>
  </w:style>
  <w:style w:type="paragraph" w:styleId="Style99" w:customStyle="1">
    <w:name w:val="Заикин А."/>
    <w:basedOn w:val="Normal"/>
    <w:qFormat/>
    <w:rsid w:val="000b487d"/>
    <w:pPr>
      <w:spacing w:lineRule="auto" w:line="360"/>
      <w:ind w:firstLine="709"/>
      <w:jc w:val="both"/>
    </w:pPr>
    <w:rPr>
      <w:rFonts w:eastAsia="Calibri"/>
      <w:sz w:val="28"/>
      <w:szCs w:val="28"/>
      <w:lang w:eastAsia="ru-RU"/>
    </w:rPr>
  </w:style>
  <w:style w:type="paragraph" w:styleId="Style100" w:customStyle="1">
    <w:name w:val="Сомов текст"/>
    <w:basedOn w:val="Style81"/>
    <w:qFormat/>
    <w:rsid w:val="000b487d"/>
    <w:pPr>
      <w:widowControl/>
      <w:spacing w:lineRule="auto" w:line="360" w:before="0" w:after="0"/>
      <w:ind w:left="0" w:firstLine="708"/>
    </w:pPr>
    <w:rPr>
      <w:rFonts w:cs="Calibri"/>
      <w:sz w:val="28"/>
      <w:szCs w:val="22"/>
      <w:lang w:val="ru-RU"/>
    </w:rPr>
  </w:style>
  <w:style w:type="paragraph" w:styleId="235" w:customStyle="1">
    <w:name w:val="Сомов заголовок 2"/>
    <w:basedOn w:val="Style71"/>
    <w:qFormat/>
    <w:rsid w:val="000b487d"/>
    <w:pPr>
      <w:spacing w:lineRule="auto" w:line="360" w:before="120" w:after="0"/>
      <w:ind w:firstLine="709"/>
      <w:jc w:val="center"/>
    </w:pPr>
    <w:rPr>
      <w:rFonts w:ascii="Calibri" w:hAnsi="Calibri" w:eastAsia="Calibri" w:cs="Calibri"/>
      <w:b/>
      <w:bCs/>
      <w:sz w:val="28"/>
      <w:szCs w:val="28"/>
      <w:lang w:eastAsia="en-US"/>
    </w:rPr>
  </w:style>
  <w:style w:type="paragraph" w:styleId="Style101" w:customStyle="1">
    <w:name w:val="Сомов таблица"/>
    <w:basedOn w:val="Normal"/>
    <w:qFormat/>
    <w:rsid w:val="000b487d"/>
    <w:pPr>
      <w:spacing w:lineRule="auto" w:line="360"/>
      <w:ind w:firstLine="709"/>
      <w:jc w:val="both"/>
    </w:pPr>
    <w:rPr>
      <w:rFonts w:ascii="Calibri" w:hAnsi="Calibri" w:eastAsia="Calibri" w:cs="Calibri"/>
      <w:b/>
      <w:bCs/>
      <w:sz w:val="28"/>
      <w:szCs w:val="28"/>
      <w:lang w:eastAsia="en-US"/>
    </w:rPr>
  </w:style>
  <w:style w:type="paragraph" w:styleId="236" w:customStyle="1">
    <w:name w:val="Стиль2"/>
    <w:basedOn w:val="1113"/>
    <w:qFormat/>
    <w:rsid w:val="000b487d"/>
    <w:pPr>
      <w:pageBreakBefore/>
      <w:widowControl w:val="false"/>
      <w:tabs>
        <w:tab w:val="clear" w:pos="408"/>
        <w:tab w:val="left" w:pos="288" w:leader="none"/>
        <w:tab w:val="left" w:pos="1152" w:leader="none"/>
        <w:tab w:val="left" w:pos="2016" w:leader="none"/>
        <w:tab w:val="left" w:pos="10224" w:leader="none"/>
      </w:tabs>
      <w:snapToGrid w:val="false"/>
      <w:spacing w:lineRule="exact" w:line="460" w:before="0" w:after="240"/>
      <w:ind w:left="360" w:hanging="360"/>
    </w:pPr>
    <w:rPr>
      <w:rFonts w:ascii="Calibri" w:hAnsi="Calibri" w:eastAsia="Calibri" w:cs="Calibri"/>
      <w:b/>
      <w:caps/>
      <w:spacing w:val="0"/>
      <w:szCs w:val="22"/>
      <w:lang w:eastAsia="en-US"/>
    </w:rPr>
  </w:style>
  <w:style w:type="paragraph" w:styleId="324" w:customStyle="1">
    <w:name w:val="Стиль3"/>
    <w:basedOn w:val="314"/>
    <w:qFormat/>
    <w:rsid w:val="000b487d"/>
    <w:pPr>
      <w:keepNext w:val="false"/>
      <w:keepLines w:val="false"/>
      <w:widowControl w:val="false"/>
      <w:tabs>
        <w:tab w:val="clear" w:pos="408"/>
        <w:tab w:val="left" w:pos="288" w:leader="none"/>
        <w:tab w:val="left" w:pos="1152" w:leader="none"/>
        <w:tab w:val="left" w:pos="1728" w:leader="none"/>
        <w:tab w:val="left" w:pos="1872" w:leader="none"/>
        <w:tab w:val="left" w:pos="2016" w:leader="none"/>
        <w:tab w:val="left" w:pos="2304" w:leader="none"/>
        <w:tab w:val="left" w:pos="2880" w:leader="none"/>
        <w:tab w:val="left" w:pos="3312" w:leader="none"/>
        <w:tab w:val="left" w:pos="3456" w:leader="none"/>
        <w:tab w:val="left" w:pos="4320" w:leader="none"/>
        <w:tab w:val="left" w:pos="4752" w:leader="none"/>
        <w:tab w:val="left" w:pos="5040" w:leader="none"/>
        <w:tab w:val="left" w:pos="5184" w:leader="none"/>
        <w:tab w:val="left" w:pos="6480" w:leader="none"/>
        <w:tab w:val="left" w:pos="7488" w:leader="none"/>
        <w:tab w:val="left" w:pos="9504" w:leader="none"/>
      </w:tabs>
      <w:snapToGrid w:val="false"/>
      <w:spacing w:before="0" w:after="0"/>
      <w:ind w:firstLine="709"/>
      <w:contextualSpacing/>
      <w:jc w:val="center"/>
    </w:pPr>
    <w:rPr>
      <w:rFonts w:ascii="Cambria" w:hAnsi="Cambria" w:eastAsia="Calibri" w:cs="Times New Roman"/>
      <w:color w:val="4F81BD"/>
      <w:sz w:val="28"/>
      <w:szCs w:val="28"/>
      <w:lang w:eastAsia="ru-RU"/>
    </w:rPr>
  </w:style>
  <w:style w:type="paragraph" w:styleId="Style102" w:customStyle="1">
    <w:name w:val="Знак Знак Знак Знак Знак Знак Знак Знак Знак Знак"/>
    <w:basedOn w:val="Normal"/>
    <w:qFormat/>
    <w:rsid w:val="000b487d"/>
    <w:pPr>
      <w:spacing w:lineRule="exact" w:line="240"/>
      <w:ind w:firstLine="709"/>
      <w:jc w:val="both"/>
    </w:pPr>
    <w:rPr>
      <w:rFonts w:ascii="Verdana" w:hAnsi="Verdana" w:eastAsia="Calibri" w:cs="Verdana"/>
      <w:sz w:val="20"/>
      <w:szCs w:val="20"/>
      <w:lang w:val="en-US" w:eastAsia="en-US"/>
    </w:rPr>
  </w:style>
  <w:style w:type="paragraph" w:styleId="Style103" w:customStyle="1">
    <w:name w:val="Таблица"/>
    <w:basedOn w:val="144"/>
    <w:qFormat/>
    <w:rsid w:val="000b487d"/>
    <w:pPr>
      <w:widowControl/>
      <w:suppressLineNumbers/>
      <w:snapToGrid w:val="true"/>
      <w:spacing w:lineRule="auto" w:line="360" w:before="120" w:after="0"/>
      <w:jc w:val="center"/>
    </w:pPr>
    <w:rPr>
      <w:rFonts w:eastAsia="Calibri"/>
      <w:spacing w:val="-6"/>
      <w:sz w:val="28"/>
    </w:rPr>
  </w:style>
  <w:style w:type="paragraph" w:styleId="325" w:customStyle="1">
    <w:name w:val="Знак3"/>
    <w:basedOn w:val="Normal"/>
    <w:autoRedefine/>
    <w:qFormat/>
    <w:rsid w:val="000b487d"/>
    <w:pPr>
      <w:spacing w:lineRule="exact" w:line="240"/>
      <w:ind w:firstLine="709"/>
      <w:jc w:val="both"/>
    </w:pPr>
    <w:rPr>
      <w:rFonts w:eastAsia="SimSun"/>
      <w:b/>
      <w:bCs/>
      <w:sz w:val="28"/>
      <w:szCs w:val="28"/>
      <w:lang w:val="en-US" w:eastAsia="en-US"/>
    </w:rPr>
  </w:style>
  <w:style w:type="paragraph" w:styleId="Style104" w:customStyle="1">
    <w:name w:val="Сомов рисунок Знак"/>
    <w:basedOn w:val="Normal"/>
    <w:qFormat/>
    <w:rsid w:val="000b487d"/>
    <w:pPr>
      <w:ind w:firstLine="709"/>
      <w:jc w:val="center"/>
    </w:pPr>
    <w:rPr>
      <w:rFonts w:ascii="Calibri" w:hAnsi="Calibri" w:eastAsia="Calibri" w:cs="Calibri"/>
      <w:i/>
      <w:iCs/>
      <w:sz w:val="28"/>
      <w:szCs w:val="28"/>
      <w:lang w:eastAsia="en-US"/>
    </w:rPr>
  </w:style>
  <w:style w:type="paragraph" w:styleId="Style105" w:customStyle="1">
    <w:name w:val="Основной Сомов"/>
    <w:basedOn w:val="Normal"/>
    <w:qFormat/>
    <w:rsid w:val="000b487d"/>
    <w:pPr>
      <w:spacing w:lineRule="auto" w:line="360"/>
      <w:ind w:firstLine="709"/>
      <w:jc w:val="both"/>
    </w:pPr>
    <w:rPr>
      <w:rFonts w:eastAsia="Batang"/>
      <w:sz w:val="28"/>
      <w:szCs w:val="28"/>
      <w:lang w:eastAsia="ko-KR"/>
    </w:rPr>
  </w:style>
  <w:style w:type="paragraph" w:styleId="148" w:customStyle="1">
    <w:name w:val="рисунок1"/>
    <w:basedOn w:val="Normal"/>
    <w:qFormat/>
    <w:rsid w:val="000b487d"/>
    <w:pPr>
      <w:spacing w:lineRule="auto" w:line="360"/>
      <w:ind w:firstLine="709"/>
      <w:jc w:val="center"/>
    </w:pPr>
    <w:rPr>
      <w:rFonts w:eastAsia="MS Mincho"/>
      <w:sz w:val="28"/>
      <w:szCs w:val="28"/>
      <w:lang w:eastAsia="ru-RU"/>
    </w:rPr>
  </w:style>
  <w:style w:type="paragraph" w:styleId="Style106" w:customStyle="1">
    <w:name w:val="Текст табл Центр"/>
    <w:basedOn w:val="Normal"/>
    <w:qFormat/>
    <w:rsid w:val="000b487d"/>
    <w:pPr>
      <w:shd w:val="clear" w:color="auto" w:fill="FFFFFF"/>
      <w:ind w:firstLine="709"/>
      <w:jc w:val="center"/>
    </w:pPr>
    <w:rPr>
      <w:rFonts w:eastAsia="Calibri"/>
      <w:color w:val="0000FF"/>
      <w:spacing w:val="-2"/>
      <w:sz w:val="20"/>
      <w:szCs w:val="18"/>
      <w:lang w:eastAsia="en-US"/>
    </w:rPr>
  </w:style>
  <w:style w:type="paragraph" w:styleId="Style107" w:customStyle="1">
    <w:name w:val="Текст табл Лево"/>
    <w:basedOn w:val="Normal"/>
    <w:qFormat/>
    <w:rsid w:val="000b487d"/>
    <w:pPr>
      <w:shd w:val="clear" w:color="auto" w:fill="FFFFFF"/>
      <w:ind w:firstLine="709"/>
      <w:jc w:val="both"/>
    </w:pPr>
    <w:rPr>
      <w:rFonts w:eastAsia="Calibri"/>
      <w:color w:val="0000FF"/>
      <w:sz w:val="20"/>
      <w:szCs w:val="20"/>
      <w:lang w:eastAsia="en-US"/>
    </w:rPr>
  </w:style>
  <w:style w:type="paragraph" w:styleId="A1" w:customStyle="1">
    <w:name w:val="a"/>
    <w:basedOn w:val="Normal"/>
    <w:qFormat/>
    <w:rsid w:val="000b487d"/>
    <w:pPr>
      <w:spacing w:beforeAutospacing="1" w:afterAutospacing="1"/>
      <w:ind w:firstLine="709"/>
      <w:jc w:val="both"/>
    </w:pPr>
    <w:rPr>
      <w:rFonts w:eastAsia="Calibri"/>
      <w:lang w:eastAsia="ru-RU"/>
    </w:rPr>
  </w:style>
  <w:style w:type="paragraph" w:styleId="Style108" w:customStyle="1">
    <w:name w:val="Стиль ЭП Раздел"/>
    <w:basedOn w:val="1113"/>
    <w:next w:val="Normal"/>
    <w:autoRedefine/>
    <w:qFormat/>
    <w:rsid w:val="000b487d"/>
    <w:pPr>
      <w:pageBreakBefore/>
      <w:spacing w:lineRule="auto" w:line="360" w:before="0" w:after="240"/>
      <w:ind w:left="360" w:firstLine="702"/>
    </w:pPr>
    <w:rPr>
      <w:rFonts w:eastAsia="Calibri"/>
      <w:caps/>
      <w:spacing w:val="0"/>
      <w:szCs w:val="28"/>
      <w:lang w:eastAsia="ar-SA"/>
    </w:rPr>
  </w:style>
  <w:style w:type="paragraph" w:styleId="Style109" w:customStyle="1">
    <w:name w:val="Знак Знак Знак Знак Знак Знак Знак Знак Знак Знак Знак Знак"/>
    <w:basedOn w:val="Normal"/>
    <w:qFormat/>
    <w:rsid w:val="000b487d"/>
    <w:pPr>
      <w:spacing w:lineRule="exact" w:line="240"/>
      <w:ind w:firstLine="709"/>
      <w:jc w:val="both"/>
    </w:pPr>
    <w:rPr>
      <w:rFonts w:ascii="Verdana" w:hAnsi="Verdana" w:eastAsia="Calibri" w:cs="Verdana"/>
      <w:sz w:val="20"/>
      <w:szCs w:val="20"/>
      <w:lang w:val="en-US" w:eastAsia="en-US"/>
    </w:rPr>
  </w:style>
  <w:style w:type="paragraph" w:styleId="CharChar" w:customStyle="1">
    <w:name w:val="Char Char"/>
    <w:basedOn w:val="Normal"/>
    <w:qFormat/>
    <w:rsid w:val="000b487d"/>
    <w:pPr>
      <w:spacing w:lineRule="exact" w:line="240"/>
      <w:ind w:firstLine="709"/>
      <w:jc w:val="both"/>
    </w:pPr>
    <w:rPr>
      <w:rFonts w:ascii="Verdana" w:hAnsi="Verdana" w:eastAsia="Calibri" w:cs="Verdana"/>
      <w:sz w:val="20"/>
      <w:szCs w:val="20"/>
      <w:lang w:val="en-US" w:eastAsia="en-US"/>
    </w:rPr>
  </w:style>
  <w:style w:type="paragraph" w:styleId="46" w:customStyle="1">
    <w:name w:val="Стиль4"/>
    <w:basedOn w:val="2111"/>
    <w:qFormat/>
    <w:rsid w:val="000b487d"/>
    <w:pPr>
      <w:keepNext w:val="false"/>
      <w:keepLines w:val="false"/>
      <w:widowControl w:val="false"/>
      <w:shd w:val="clear" w:color="auto" w:fill="FFFFFF"/>
      <w:tabs>
        <w:tab w:val="clear" w:pos="408"/>
        <w:tab w:val="left" w:pos="288" w:leader="none"/>
        <w:tab w:val="left" w:pos="1152" w:leader="none"/>
        <w:tab w:val="left" w:pos="1728" w:leader="none"/>
        <w:tab w:val="left" w:pos="1872" w:leader="none"/>
        <w:tab w:val="left" w:pos="2016" w:leader="none"/>
        <w:tab w:val="left" w:pos="2304" w:leader="none"/>
        <w:tab w:val="left" w:pos="2880" w:leader="none"/>
        <w:tab w:val="left" w:pos="3312" w:leader="none"/>
        <w:tab w:val="left" w:pos="3456" w:leader="none"/>
        <w:tab w:val="left" w:pos="4320" w:leader="none"/>
        <w:tab w:val="left" w:pos="4395" w:leader="none"/>
        <w:tab w:val="left" w:pos="5040" w:leader="none"/>
        <w:tab w:val="left" w:pos="5184" w:leader="none"/>
        <w:tab w:val="left" w:pos="6480" w:leader="none"/>
        <w:tab w:val="left" w:pos="7488" w:leader="none"/>
        <w:tab w:val="left" w:pos="9504" w:leader="none"/>
      </w:tabs>
      <w:snapToGrid w:val="false"/>
      <w:spacing w:before="0" w:after="120"/>
      <w:ind w:left="357" w:firstLine="5103"/>
      <w:jc w:val="both"/>
    </w:pPr>
    <w:rPr>
      <w:rFonts w:ascii="Calibri" w:hAnsi="Calibri" w:eastAsia="Calibri" w:cs="Calibri"/>
      <w:color w:val="auto"/>
      <w:sz w:val="28"/>
      <w:szCs w:val="24"/>
      <w:lang w:eastAsia="ru-RU"/>
    </w:rPr>
  </w:style>
  <w:style w:type="paragraph" w:styleId="55" w:customStyle="1">
    <w:name w:val="Стиль5"/>
    <w:basedOn w:val="2111"/>
    <w:qFormat/>
    <w:rsid w:val="000b487d"/>
    <w:pPr>
      <w:keepNext w:val="false"/>
      <w:keepLines w:val="false"/>
      <w:widowControl w:val="false"/>
      <w:shd w:val="clear" w:color="auto" w:fill="FFFFFF"/>
      <w:tabs>
        <w:tab w:val="clear" w:pos="408"/>
        <w:tab w:val="left" w:pos="288" w:leader="none"/>
        <w:tab w:val="left" w:pos="1152" w:leader="none"/>
        <w:tab w:val="left" w:pos="1728" w:leader="none"/>
        <w:tab w:val="left" w:pos="1872" w:leader="none"/>
        <w:tab w:val="left" w:pos="2016" w:leader="none"/>
        <w:tab w:val="left" w:pos="2304" w:leader="none"/>
        <w:tab w:val="left" w:pos="2880" w:leader="none"/>
        <w:tab w:val="left" w:pos="3312" w:leader="none"/>
        <w:tab w:val="left" w:pos="3456" w:leader="none"/>
        <w:tab w:val="left" w:pos="4320" w:leader="none"/>
        <w:tab w:val="left" w:pos="4395" w:leader="none"/>
        <w:tab w:val="left" w:pos="5040" w:leader="none"/>
        <w:tab w:val="left" w:pos="5184" w:leader="none"/>
        <w:tab w:val="left" w:pos="6480" w:leader="none"/>
        <w:tab w:val="left" w:pos="7488" w:leader="none"/>
        <w:tab w:val="left" w:pos="9504" w:leader="none"/>
      </w:tabs>
      <w:snapToGrid w:val="false"/>
      <w:spacing w:before="0" w:after="120"/>
      <w:ind w:left="357" w:firstLine="5103"/>
      <w:jc w:val="both"/>
    </w:pPr>
    <w:rPr>
      <w:rFonts w:ascii="Calibri" w:hAnsi="Calibri" w:eastAsia="Calibri" w:cs="Calibri"/>
      <w:color w:val="auto"/>
      <w:sz w:val="28"/>
      <w:szCs w:val="24"/>
      <w:lang w:eastAsia="ru-RU"/>
    </w:rPr>
  </w:style>
  <w:style w:type="paragraph" w:styleId="64" w:customStyle="1">
    <w:name w:val="Стиль6"/>
    <w:basedOn w:val="1113"/>
    <w:qFormat/>
    <w:rsid w:val="000b487d"/>
    <w:pPr>
      <w:pageBreakBefore/>
      <w:widowControl w:val="false"/>
      <w:tabs>
        <w:tab w:val="clear" w:pos="408"/>
        <w:tab w:val="left" w:pos="288" w:leader="none"/>
        <w:tab w:val="left" w:pos="1152" w:leader="none"/>
        <w:tab w:val="left" w:pos="1728" w:leader="none"/>
        <w:tab w:val="left" w:pos="1872" w:leader="none"/>
        <w:tab w:val="left" w:pos="2016" w:leader="none"/>
        <w:tab w:val="left" w:pos="2304" w:leader="none"/>
        <w:tab w:val="left" w:pos="2880" w:leader="none"/>
        <w:tab w:val="left" w:pos="3312" w:leader="none"/>
        <w:tab w:val="left" w:pos="3456" w:leader="none"/>
        <w:tab w:val="left" w:pos="4320" w:leader="none"/>
        <w:tab w:val="left" w:pos="4752" w:leader="none"/>
        <w:tab w:val="left" w:pos="5040" w:leader="none"/>
        <w:tab w:val="left" w:pos="5184" w:leader="none"/>
        <w:tab w:val="left" w:pos="6480" w:leader="none"/>
        <w:tab w:val="left" w:pos="7488" w:leader="none"/>
        <w:tab w:val="left" w:pos="9504" w:leader="none"/>
      </w:tabs>
      <w:snapToGrid w:val="false"/>
      <w:spacing w:before="0" w:after="240"/>
      <w:ind w:left="360" w:hanging="360"/>
    </w:pPr>
    <w:rPr>
      <w:rFonts w:ascii="Calibri" w:hAnsi="Calibri" w:eastAsia="Calibri" w:cs="Calibri"/>
      <w:spacing w:val="0"/>
      <w:szCs w:val="22"/>
      <w:lang w:eastAsia="en-US"/>
    </w:rPr>
  </w:style>
  <w:style w:type="paragraph" w:styleId="Norpar" w:customStyle="1">
    <w:name w:val="norpar"/>
    <w:basedOn w:val="Normal"/>
    <w:qFormat/>
    <w:rsid w:val="000b487d"/>
    <w:pPr>
      <w:spacing w:beforeAutospacing="1" w:afterAutospacing="1"/>
      <w:ind w:firstLine="709"/>
      <w:jc w:val="both"/>
    </w:pPr>
    <w:rPr>
      <w:rFonts w:eastAsia="Calibri"/>
      <w:lang w:eastAsia="ru-RU"/>
    </w:rPr>
  </w:style>
  <w:style w:type="paragraph" w:styleId="Style510" w:customStyle="1">
    <w:name w:val="Style5"/>
    <w:basedOn w:val="Normal"/>
    <w:qFormat/>
    <w:rsid w:val="000b487d"/>
    <w:pPr>
      <w:widowControl w:val="false"/>
      <w:ind w:firstLine="709"/>
      <w:jc w:val="both"/>
    </w:pPr>
    <w:rPr>
      <w:rFonts w:eastAsia="Calibri"/>
      <w:lang w:eastAsia="ru-RU"/>
    </w:rPr>
  </w:style>
  <w:style w:type="paragraph" w:styleId="Normal2" w:customStyle="1">
    <w:name w:val="Normal Знак"/>
    <w:semiHidden/>
    <w:qFormat/>
    <w:rsid w:val="000b487d"/>
    <w:pPr>
      <w:widowControl/>
      <w:suppressAutoHyphens w:val="true"/>
      <w:bidi w:val="0"/>
      <w:spacing w:before="0" w:after="0"/>
      <w:jc w:val="left"/>
    </w:pPr>
    <w:rPr>
      <w:rFonts w:ascii="Calibri" w:hAnsi="Calibri" w:eastAsia="Calibri" w:cs="Calibri"/>
      <w:color w:val="auto"/>
      <w:kern w:val="0"/>
      <w:sz w:val="24"/>
      <w:szCs w:val="24"/>
      <w:lang w:val="ru-RU" w:eastAsia="en-US" w:bidi="ar-SA"/>
    </w:rPr>
  </w:style>
  <w:style w:type="paragraph" w:styleId="237" w:customStyle="1">
    <w:name w:val="Обычный2"/>
    <w:qFormat/>
    <w:rsid w:val="000b487d"/>
    <w:pPr>
      <w:widowControl/>
      <w:suppressAutoHyphens w:val="true"/>
      <w:bidi w:val="0"/>
      <w:spacing w:before="0" w:after="0"/>
      <w:jc w:val="left"/>
    </w:pPr>
    <w:rPr>
      <w:rFonts w:ascii="Times New Roman" w:hAnsi="Times New Roman" w:eastAsia="Times New Roman" w:cs="Times New Roman"/>
      <w:color w:val="auto"/>
      <w:kern w:val="0"/>
      <w:sz w:val="24"/>
      <w:szCs w:val="20"/>
      <w:lang w:val="ru-RU" w:eastAsia="ru-RU" w:bidi="ar-SA"/>
    </w:rPr>
  </w:style>
  <w:style w:type="paragraph" w:styleId="Somik11" w:customStyle="1">
    <w:name w:val="Somik1"/>
    <w:basedOn w:val="Normal"/>
    <w:link w:val="Somik1"/>
    <w:qFormat/>
    <w:rsid w:val="000b487d"/>
    <w:pPr>
      <w:spacing w:before="240" w:after="120"/>
      <w:ind w:firstLine="709"/>
      <w:jc w:val="center"/>
    </w:pPr>
    <w:rPr>
      <w:rFonts w:ascii="PT Astra Serif" w:hAnsi="PT Astra Serif" w:eastAsia="Tahoma" w:cs="Noto Sans Devanagari"/>
      <w:b/>
      <w:sz w:val="28"/>
      <w:szCs w:val="28"/>
      <w:lang w:bidi="hi-IN"/>
    </w:rPr>
  </w:style>
  <w:style w:type="paragraph" w:styleId="Font0" w:customStyle="1">
    <w:name w:val="font0"/>
    <w:basedOn w:val="Normal"/>
    <w:qFormat/>
    <w:rsid w:val="000b487d"/>
    <w:pPr>
      <w:spacing w:beforeAutospacing="1" w:afterAutospacing="1"/>
      <w:ind w:firstLine="709"/>
      <w:jc w:val="both"/>
    </w:pPr>
    <w:rPr>
      <w:rFonts w:ascii="Arial CYR" w:hAnsi="Arial CYR" w:eastAsia="Arial Unicode MS" w:cs="Arial CYR"/>
      <w:sz w:val="20"/>
      <w:szCs w:val="20"/>
      <w:lang w:eastAsia="ru-RU"/>
    </w:rPr>
  </w:style>
  <w:style w:type="paragraph" w:styleId="Xl24" w:customStyle="1">
    <w:name w:val="xl24"/>
    <w:basedOn w:val="Normal"/>
    <w:qFormat/>
    <w:rsid w:val="000b487d"/>
    <w:pPr>
      <w:spacing w:beforeAutospacing="1" w:afterAutospacing="1"/>
      <w:ind w:firstLine="709"/>
      <w:jc w:val="both"/>
    </w:pPr>
    <w:rPr>
      <w:rFonts w:ascii="Arial CYR" w:hAnsi="Arial CYR" w:eastAsia="Arial Unicode MS" w:cs="Arial CYR"/>
      <w:b/>
      <w:bCs/>
      <w:lang w:eastAsia="ru-RU"/>
    </w:rPr>
  </w:style>
  <w:style w:type="paragraph" w:styleId="Xl25" w:customStyle="1">
    <w:name w:val="xl25"/>
    <w:basedOn w:val="Normal"/>
    <w:qFormat/>
    <w:rsid w:val="000b487d"/>
    <w:pPr>
      <w:spacing w:beforeAutospacing="1" w:afterAutospacing="1"/>
      <w:ind w:firstLine="709"/>
      <w:jc w:val="right"/>
    </w:pPr>
    <w:rPr>
      <w:rFonts w:ascii="Arial Unicode MS" w:hAnsi="Arial Unicode MS" w:eastAsia="Arial Unicode MS" w:cs="Arial Unicode MS"/>
      <w:lang w:eastAsia="ru-RU"/>
    </w:rPr>
  </w:style>
  <w:style w:type="paragraph" w:styleId="Font11" w:customStyle="1">
    <w:name w:val="font11"/>
    <w:basedOn w:val="Normal"/>
    <w:qFormat/>
    <w:rsid w:val="000b487d"/>
    <w:pPr>
      <w:spacing w:beforeAutospacing="1" w:afterAutospacing="1"/>
      <w:ind w:firstLine="709"/>
      <w:jc w:val="both"/>
    </w:pPr>
    <w:rPr>
      <w:rFonts w:ascii="Arial CYR" w:hAnsi="Arial CYR" w:eastAsia="Arial Unicode MS" w:cs="Arial CYR"/>
      <w:sz w:val="16"/>
      <w:szCs w:val="16"/>
      <w:lang w:eastAsia="ru-RU"/>
    </w:rPr>
  </w:style>
  <w:style w:type="paragraph" w:styleId="Font12" w:customStyle="1">
    <w:name w:val="font12"/>
    <w:basedOn w:val="Normal"/>
    <w:qFormat/>
    <w:rsid w:val="000b487d"/>
    <w:pPr>
      <w:spacing w:beforeAutospacing="1" w:afterAutospacing="1"/>
      <w:ind w:firstLine="709"/>
      <w:jc w:val="both"/>
    </w:pPr>
    <w:rPr>
      <w:rFonts w:ascii="Arial CYR" w:hAnsi="Arial CYR" w:eastAsia="Arial Unicode MS" w:cs="Arial CYR"/>
      <w:sz w:val="22"/>
      <w:szCs w:val="22"/>
      <w:lang w:eastAsia="ru-RU"/>
    </w:rPr>
  </w:style>
  <w:style w:type="paragraph" w:styleId="Font13" w:customStyle="1">
    <w:name w:val="font13"/>
    <w:basedOn w:val="Normal"/>
    <w:qFormat/>
    <w:rsid w:val="000b487d"/>
    <w:pPr>
      <w:spacing w:beforeAutospacing="1" w:afterAutospacing="1"/>
      <w:ind w:firstLine="709"/>
      <w:jc w:val="both"/>
    </w:pPr>
    <w:rPr>
      <w:rFonts w:ascii="Arial CYR" w:hAnsi="Arial CYR" w:eastAsia="Arial Unicode MS" w:cs="Arial CYR"/>
      <w:sz w:val="18"/>
      <w:szCs w:val="18"/>
      <w:lang w:eastAsia="ru-RU"/>
    </w:rPr>
  </w:style>
  <w:style w:type="paragraph" w:styleId="Xl26" w:customStyle="1">
    <w:name w:val="xl26"/>
    <w:basedOn w:val="Normal"/>
    <w:qFormat/>
    <w:rsid w:val="000b487d"/>
    <w:pPr>
      <w:spacing w:beforeAutospacing="1" w:afterAutospacing="1"/>
      <w:ind w:firstLine="709"/>
      <w:jc w:val="both"/>
    </w:pPr>
    <w:rPr>
      <w:rFonts w:ascii="Arial Unicode MS" w:hAnsi="Arial Unicode MS" w:eastAsia="Arial Unicode MS" w:cs="Arial Unicode MS"/>
      <w:lang w:eastAsia="ru-RU"/>
    </w:rPr>
  </w:style>
  <w:style w:type="paragraph" w:styleId="Style111" w:customStyle="1">
    <w:name w:val="рисунок"/>
    <w:basedOn w:val="Style71"/>
    <w:qFormat/>
    <w:rsid w:val="000b487d"/>
    <w:pPr>
      <w:spacing w:lineRule="auto" w:line="348" w:before="0" w:after="0"/>
      <w:ind w:firstLine="709"/>
      <w:jc w:val="center"/>
    </w:pPr>
    <w:rPr>
      <w:rFonts w:ascii="Calibri" w:hAnsi="Calibri" w:eastAsia="Calibri" w:cs="Calibri"/>
      <w:i/>
      <w:sz w:val="28"/>
      <w:szCs w:val="28"/>
      <w:lang w:eastAsia="en-US"/>
    </w:rPr>
  </w:style>
  <w:style w:type="paragraph" w:styleId="Style112" w:customStyle="1">
    <w:name w:val="Îáû÷íûé"/>
    <w:uiPriority w:val="99"/>
    <w:qFormat/>
    <w:rsid w:val="000b487d"/>
    <w:pPr>
      <w:widowControl/>
      <w:suppressAutoHyphens w:val="true"/>
      <w:bidi w:val="0"/>
      <w:spacing w:before="0" w:after="0"/>
      <w:jc w:val="left"/>
    </w:pPr>
    <w:rPr>
      <w:rFonts w:ascii="Arial" w:hAnsi="Arial" w:eastAsia="Times New Roman" w:cs="Arial"/>
      <w:color w:val="auto"/>
      <w:kern w:val="0"/>
      <w:sz w:val="24"/>
      <w:szCs w:val="20"/>
      <w:lang w:val="ru-RU" w:eastAsia="ru-RU" w:bidi="ar-SA"/>
    </w:rPr>
  </w:style>
  <w:style w:type="paragraph" w:styleId="Style113" w:customStyle="1">
    <w:name w:val="Знак Знак Знак Знак"/>
    <w:basedOn w:val="Normal"/>
    <w:qFormat/>
    <w:rsid w:val="000b487d"/>
    <w:pPr>
      <w:spacing w:lineRule="exact" w:line="240"/>
      <w:ind w:firstLine="709"/>
      <w:jc w:val="both"/>
    </w:pPr>
    <w:rPr>
      <w:rFonts w:ascii="Verdana" w:hAnsi="Verdana" w:eastAsia="Calibri" w:cs="Verdana"/>
      <w:sz w:val="20"/>
      <w:szCs w:val="20"/>
      <w:lang w:val="en-US" w:eastAsia="ru-RU"/>
    </w:rPr>
  </w:style>
  <w:style w:type="paragraph" w:styleId="Style114" w:customStyle="1">
    <w:name w:val="Style1"/>
    <w:basedOn w:val="Normal"/>
    <w:uiPriority w:val="99"/>
    <w:qFormat/>
    <w:rsid w:val="000b487d"/>
    <w:pPr>
      <w:widowControl w:val="false"/>
      <w:ind w:firstLine="709"/>
      <w:jc w:val="both"/>
    </w:pPr>
    <w:rPr>
      <w:rFonts w:ascii="Arial Narrow" w:hAnsi="Arial Narrow" w:cs="Arial Narrow"/>
      <w:lang w:eastAsia="ru-RU"/>
    </w:rPr>
  </w:style>
  <w:style w:type="paragraph" w:styleId="Style310" w:customStyle="1">
    <w:name w:val="Style3"/>
    <w:basedOn w:val="Normal"/>
    <w:uiPriority w:val="99"/>
    <w:qFormat/>
    <w:rsid w:val="000b487d"/>
    <w:pPr>
      <w:widowControl w:val="false"/>
      <w:ind w:firstLine="709"/>
      <w:jc w:val="both"/>
    </w:pPr>
    <w:rPr>
      <w:rFonts w:ascii="Arial Narrow" w:hAnsi="Arial Narrow" w:cs="Arial Narrow"/>
      <w:lang w:eastAsia="ru-RU"/>
    </w:rPr>
  </w:style>
  <w:style w:type="paragraph" w:styleId="238" w:customStyle="1">
    <w:name w:val="Без интервала2"/>
    <w:basedOn w:val="Normal"/>
    <w:qFormat/>
    <w:rsid w:val="000b487d"/>
    <w:pPr>
      <w:ind w:firstLine="709"/>
      <w:jc w:val="both"/>
    </w:pPr>
    <w:rPr>
      <w:rFonts w:ascii="Calibri" w:hAnsi="Calibri" w:eastAsia="Tahoma" w:cs="Calibri"/>
      <w:szCs w:val="32"/>
      <w:lang w:val="en-US" w:bidi="hi-IN"/>
    </w:rPr>
  </w:style>
  <w:style w:type="paragraph" w:styleId="Style115" w:customStyle="1">
    <w:name w:val="Сомов рисунок"/>
    <w:basedOn w:val="Normal"/>
    <w:qFormat/>
    <w:rsid w:val="000b487d"/>
    <w:pPr>
      <w:ind w:firstLine="709"/>
      <w:jc w:val="center"/>
    </w:pPr>
    <w:rPr>
      <w:i/>
      <w:iCs/>
      <w:sz w:val="28"/>
      <w:szCs w:val="28"/>
      <w:lang w:eastAsia="ru-RU"/>
    </w:rPr>
  </w:style>
  <w:style w:type="paragraph" w:styleId="149" w:customStyle="1">
    <w:name w:val="Сомов заголовок 1"/>
    <w:basedOn w:val="Style71"/>
    <w:qFormat/>
    <w:rsid w:val="000b487d"/>
    <w:pPr>
      <w:pageBreakBefore/>
      <w:spacing w:lineRule="auto" w:line="360" w:before="0" w:after="120"/>
      <w:ind w:firstLine="709"/>
      <w:jc w:val="center"/>
    </w:pPr>
    <w:rPr>
      <w:rFonts w:ascii="Calibri" w:hAnsi="Calibri" w:eastAsia="Calibri" w:cs="Calibri"/>
      <w:b/>
      <w:sz w:val="28"/>
      <w:szCs w:val="22"/>
      <w:u w:val="single"/>
      <w:lang w:eastAsia="en-US"/>
    </w:rPr>
  </w:style>
  <w:style w:type="paragraph" w:styleId="Bodytext1" w:customStyle="1">
    <w:name w:val="bodytext"/>
    <w:basedOn w:val="Normal"/>
    <w:link w:val="Bodytext"/>
    <w:qFormat/>
    <w:rsid w:val="000b487d"/>
    <w:pPr>
      <w:spacing w:beforeAutospacing="1" w:afterAutospacing="1"/>
      <w:ind w:firstLine="709"/>
      <w:jc w:val="both"/>
    </w:pPr>
    <w:rPr>
      <w:rFonts w:ascii="PT Astra Serif" w:hAnsi="PT Astra Serif" w:eastAsia="Tahoma" w:cs="Noto Sans Devanagari"/>
      <w:spacing w:val="10"/>
      <w:sz w:val="38"/>
      <w:szCs w:val="38"/>
      <w:lang w:bidi="hi-IN"/>
    </w:rPr>
  </w:style>
  <w:style w:type="paragraph" w:styleId="Textnote" w:customStyle="1">
    <w:name w:val="textnote"/>
    <w:basedOn w:val="Normal"/>
    <w:qFormat/>
    <w:rsid w:val="000b487d"/>
    <w:pPr>
      <w:spacing w:beforeAutospacing="1" w:afterAutospacing="1"/>
      <w:ind w:firstLine="709"/>
      <w:jc w:val="both"/>
    </w:pPr>
    <w:rPr>
      <w:lang w:eastAsia="ru-RU"/>
    </w:rPr>
  </w:style>
  <w:style w:type="paragraph" w:styleId="326" w:customStyle="1">
    <w:name w:val="Обычный3"/>
    <w:qFormat/>
    <w:rsid w:val="000b487d"/>
    <w:pPr>
      <w:widowControl/>
      <w:suppressAutoHyphens w:val="true"/>
      <w:bidi w:val="0"/>
      <w:spacing w:before="0" w:after="0"/>
      <w:jc w:val="left"/>
    </w:pPr>
    <w:rPr>
      <w:rFonts w:ascii="Times New Roman" w:hAnsi="Times New Roman" w:eastAsia="Times New Roman" w:cs="Times New Roman"/>
      <w:color w:val="auto"/>
      <w:kern w:val="0"/>
      <w:sz w:val="24"/>
      <w:szCs w:val="20"/>
      <w:lang w:val="ru-RU" w:eastAsia="ru-RU" w:bidi="ar-SA"/>
    </w:rPr>
  </w:style>
  <w:style w:type="paragraph" w:styleId="327" w:customStyle="1">
    <w:name w:val="Без интервала3"/>
    <w:basedOn w:val="Normal"/>
    <w:uiPriority w:val="1"/>
    <w:qFormat/>
    <w:rsid w:val="000b487d"/>
    <w:pPr>
      <w:ind w:firstLine="709"/>
      <w:jc w:val="both"/>
    </w:pPr>
    <w:rPr>
      <w:rFonts w:ascii="Calibri" w:hAnsi="Calibri"/>
      <w:szCs w:val="32"/>
      <w:lang w:val="en-US" w:eastAsia="en-US"/>
    </w:rPr>
  </w:style>
  <w:style w:type="paragraph" w:styleId="47" w:customStyle="1">
    <w:name w:val="Обычный4"/>
    <w:qFormat/>
    <w:rsid w:val="000b487d"/>
    <w:pPr>
      <w:widowControl/>
      <w:suppressAutoHyphens w:val="true"/>
      <w:bidi w:val="0"/>
      <w:spacing w:before="0" w:after="0"/>
      <w:jc w:val="left"/>
    </w:pPr>
    <w:rPr>
      <w:rFonts w:ascii="Times New Roman" w:hAnsi="Times New Roman" w:eastAsia="Times New Roman" w:cs="Times New Roman"/>
      <w:color w:val="auto"/>
      <w:kern w:val="0"/>
      <w:sz w:val="24"/>
      <w:szCs w:val="20"/>
      <w:lang w:val="ru-RU" w:eastAsia="ru-RU" w:bidi="ar-SA"/>
    </w:rPr>
  </w:style>
  <w:style w:type="paragraph" w:styleId="48" w:customStyle="1">
    <w:name w:val="Без интервала4"/>
    <w:basedOn w:val="Normal"/>
    <w:qFormat/>
    <w:rsid w:val="000b487d"/>
    <w:pPr>
      <w:ind w:firstLine="709"/>
      <w:jc w:val="both"/>
    </w:pPr>
    <w:rPr>
      <w:rFonts w:ascii="Calibri" w:hAnsi="Calibri"/>
      <w:szCs w:val="32"/>
      <w:lang w:val="en-US" w:eastAsia="en-US"/>
    </w:rPr>
  </w:style>
  <w:style w:type="paragraph" w:styleId="P" w:customStyle="1">
    <w:name w:val="p"/>
    <w:basedOn w:val="Normal"/>
    <w:qFormat/>
    <w:rsid w:val="000b487d"/>
    <w:pPr>
      <w:spacing w:beforeAutospacing="1" w:afterAutospacing="1"/>
      <w:ind w:firstLine="709"/>
      <w:jc w:val="both"/>
    </w:pPr>
    <w:rPr>
      <w:lang w:eastAsia="ru-RU"/>
    </w:rPr>
  </w:style>
  <w:style w:type="paragraph" w:styleId="Zag3" w:customStyle="1">
    <w:name w:val="zag3"/>
    <w:basedOn w:val="Normal"/>
    <w:qFormat/>
    <w:rsid w:val="000b487d"/>
    <w:pPr>
      <w:spacing w:before="240" w:after="240"/>
      <w:ind w:firstLine="709"/>
      <w:jc w:val="center"/>
    </w:pPr>
    <w:rPr>
      <w:lang w:eastAsia="ru-RU"/>
    </w:rPr>
  </w:style>
  <w:style w:type="paragraph" w:styleId="Textb" w:customStyle="1">
    <w:name w:val="text-b"/>
    <w:basedOn w:val="Normal"/>
    <w:qFormat/>
    <w:rsid w:val="000b487d"/>
    <w:pPr>
      <w:spacing w:beforeAutospacing="1" w:afterAutospacing="1"/>
      <w:ind w:firstLine="709"/>
      <w:jc w:val="both"/>
    </w:pPr>
    <w:rPr>
      <w:lang w:eastAsia="ru-RU"/>
    </w:rPr>
  </w:style>
  <w:style w:type="paragraph" w:styleId="328" w:customStyle="1">
    <w:name w:val="Основной текст3"/>
    <w:basedOn w:val="Normal"/>
    <w:qFormat/>
    <w:rsid w:val="000b487d"/>
    <w:pPr>
      <w:widowControl w:val="false"/>
      <w:snapToGrid w:val="false"/>
      <w:spacing w:before="0" w:after="120"/>
      <w:ind w:firstLine="709"/>
      <w:jc w:val="both"/>
    </w:pPr>
    <w:rPr>
      <w:sz w:val="20"/>
      <w:szCs w:val="20"/>
      <w:lang w:eastAsia="ru-RU"/>
    </w:rPr>
  </w:style>
  <w:style w:type="paragraph" w:styleId="H2" w:customStyle="1">
    <w:name w:val="h2"/>
    <w:basedOn w:val="Normal"/>
    <w:qFormat/>
    <w:rsid w:val="000b487d"/>
    <w:pPr>
      <w:spacing w:before="240" w:afterAutospacing="1"/>
      <w:ind w:firstLine="720"/>
      <w:jc w:val="both"/>
    </w:pPr>
    <w:rPr>
      <w:b/>
      <w:bCs/>
      <w:lang w:eastAsia="ru-RU"/>
    </w:rPr>
  </w:style>
  <w:style w:type="paragraph" w:styleId="239" w:customStyle="1">
    <w:name w:val="Знак2"/>
    <w:basedOn w:val="Normal"/>
    <w:link w:val="2ff8"/>
    <w:qFormat/>
    <w:rsid w:val="000b487d"/>
    <w:pPr>
      <w:spacing w:lineRule="exact" w:line="240"/>
      <w:ind w:firstLine="709"/>
      <w:jc w:val="both"/>
    </w:pPr>
    <w:rPr>
      <w:rFonts w:ascii="Verdana" w:hAnsi="Verdana" w:cs="Verdana"/>
      <w:sz w:val="20"/>
      <w:szCs w:val="20"/>
      <w:lang w:val="en-US" w:eastAsia="en-US"/>
    </w:rPr>
  </w:style>
  <w:style w:type="paragraph" w:styleId="1115" w:customStyle="1">
    <w:name w:val="Знак11"/>
    <w:basedOn w:val="Normal"/>
    <w:link w:val="1c"/>
    <w:qFormat/>
    <w:rsid w:val="000b487d"/>
    <w:pPr>
      <w:spacing w:lineRule="exact" w:line="240"/>
      <w:ind w:firstLine="709"/>
      <w:jc w:val="both"/>
    </w:pPr>
    <w:rPr>
      <w:rFonts w:ascii="PT Astra Serif" w:hAnsi="PT Astra Serif" w:eastAsia="Tahoma" w:cs="Noto Sans Devanagari"/>
      <w:bCs/>
      <w:lang w:bidi="hi-IN"/>
    </w:rPr>
  </w:style>
  <w:style w:type="paragraph" w:styleId="Style710" w:customStyle="1">
    <w:name w:val="Style7"/>
    <w:basedOn w:val="Normal"/>
    <w:uiPriority w:val="99"/>
    <w:qFormat/>
    <w:rsid w:val="000b487d"/>
    <w:pPr>
      <w:widowControl w:val="false"/>
      <w:ind w:firstLine="709"/>
      <w:jc w:val="both"/>
    </w:pPr>
    <w:rPr>
      <w:lang w:eastAsia="ru-RU"/>
    </w:rPr>
  </w:style>
  <w:style w:type="paragraph" w:styleId="Style171" w:customStyle="1">
    <w:name w:val="Style17"/>
    <w:basedOn w:val="Normal"/>
    <w:uiPriority w:val="99"/>
    <w:qFormat/>
    <w:rsid w:val="000b487d"/>
    <w:pPr>
      <w:widowControl w:val="false"/>
      <w:spacing w:lineRule="exact" w:line="226"/>
      <w:ind w:hanging="192"/>
      <w:jc w:val="both"/>
    </w:pPr>
    <w:rPr>
      <w:lang w:eastAsia="ru-RU"/>
    </w:rPr>
  </w:style>
  <w:style w:type="paragraph" w:styleId="1116" w:customStyle="1">
    <w:name w:val="1.1.1 Список"/>
    <w:basedOn w:val="Normal"/>
    <w:qFormat/>
    <w:rsid w:val="000b487d"/>
    <w:pPr>
      <w:widowControl w:val="false"/>
      <w:spacing w:lineRule="auto" w:line="276" w:before="120" w:after="120"/>
      <w:ind w:left="1134" w:hanging="567"/>
      <w:jc w:val="both"/>
      <w:outlineLvl w:val="3"/>
    </w:pPr>
    <w:rPr>
      <w:rFonts w:ascii="Calibri" w:hAnsi="Calibri" w:eastAsia="Calibri" w:cs="Calibri"/>
      <w:bCs/>
      <w:szCs w:val="22"/>
      <w:lang w:eastAsia="en-US"/>
    </w:rPr>
  </w:style>
  <w:style w:type="paragraph" w:styleId="Style116" w:customStyle="1">
    <w:name w:val="Заголовок структурных элементов"/>
    <w:basedOn w:val="Normal"/>
    <w:qFormat/>
    <w:rsid w:val="000b487d"/>
    <w:pPr>
      <w:spacing w:lineRule="auto" w:line="360"/>
      <w:ind w:firstLine="708"/>
      <w:jc w:val="center"/>
    </w:pPr>
    <w:rPr>
      <w:rFonts w:ascii="Calibri" w:hAnsi="Calibri" w:eastAsia="Calibri" w:cs="Calibri"/>
      <w:b/>
      <w:lang w:eastAsia="en-US"/>
    </w:rPr>
  </w:style>
  <w:style w:type="paragraph" w:styleId="150" w:customStyle="1">
    <w:name w:val="_заг1"/>
    <w:basedOn w:val="Normal"/>
    <w:qFormat/>
    <w:rsid w:val="000b487d"/>
    <w:pPr>
      <w:spacing w:before="120" w:after="120"/>
      <w:ind w:firstLine="709"/>
      <w:jc w:val="center"/>
    </w:pPr>
    <w:rPr>
      <w:b/>
      <w:sz w:val="32"/>
      <w:szCs w:val="32"/>
      <w:lang w:eastAsia="ar-SA"/>
    </w:rPr>
  </w:style>
  <w:style w:type="paragraph" w:styleId="152" w:customStyle="1">
    <w:name w:val="_обычный 1"/>
    <w:basedOn w:val="Normal"/>
    <w:qFormat/>
    <w:rsid w:val="000b487d"/>
    <w:pPr>
      <w:spacing w:lineRule="auto" w:line="360"/>
      <w:ind w:firstLine="709"/>
      <w:jc w:val="both"/>
    </w:pPr>
    <w:rPr>
      <w:sz w:val="28"/>
      <w:szCs w:val="20"/>
      <w:lang w:eastAsia="ar-SA"/>
    </w:rPr>
  </w:style>
  <w:style w:type="paragraph" w:styleId="1117" w:customStyle="1">
    <w:name w:val="_заг 1.1."/>
    <w:basedOn w:val="152"/>
    <w:qFormat/>
    <w:rsid w:val="000b487d"/>
    <w:pPr>
      <w:spacing w:before="120" w:after="120"/>
    </w:pPr>
    <w:rPr>
      <w:b/>
      <w:szCs w:val="28"/>
    </w:rPr>
  </w:style>
  <w:style w:type="paragraph" w:styleId="Style117" w:customStyle="1">
    <w:name w:val="_текст табл"/>
    <w:basedOn w:val="152"/>
    <w:qFormat/>
    <w:rsid w:val="000b487d"/>
    <w:pPr>
      <w:ind w:hanging="0"/>
    </w:pPr>
    <w:rPr/>
  </w:style>
  <w:style w:type="paragraph" w:styleId="Bodytext11" w:customStyle="1">
    <w:name w:val="Body text1"/>
    <w:basedOn w:val="Normal"/>
    <w:uiPriority w:val="99"/>
    <w:qFormat/>
    <w:rsid w:val="000b487d"/>
    <w:pPr>
      <w:widowControl w:val="false"/>
      <w:shd w:val="clear" w:color="auto" w:fill="FFFFFF"/>
      <w:spacing w:lineRule="atLeast" w:line="240" w:before="120" w:after="600"/>
      <w:ind w:hanging="620"/>
      <w:jc w:val="center"/>
    </w:pPr>
    <w:rPr>
      <w:rFonts w:ascii="Calibri" w:hAnsi="Calibri" w:eastAsia="Calibri" w:cs="Calibri"/>
      <w:spacing w:val="10"/>
      <w:sz w:val="38"/>
      <w:szCs w:val="38"/>
      <w:lang w:eastAsia="en-US"/>
    </w:rPr>
  </w:style>
  <w:style w:type="paragraph" w:styleId="2105" w:customStyle="1">
    <w:name w:val="Текст абзаца по ГОСТ 2.105"/>
    <w:basedOn w:val="Normal"/>
    <w:qFormat/>
    <w:rsid w:val="000b487d"/>
    <w:pPr>
      <w:spacing w:lineRule="auto" w:line="360" w:before="60" w:after="60"/>
      <w:ind w:firstLine="709"/>
      <w:jc w:val="both"/>
    </w:pPr>
    <w:rPr>
      <w:lang w:eastAsia="ru-RU"/>
    </w:rPr>
  </w:style>
  <w:style w:type="paragraph" w:styleId="153" w:customStyle="1">
    <w:name w:val="1_жирный"/>
    <w:basedOn w:val="Normal"/>
    <w:qFormat/>
    <w:rsid w:val="000b487d"/>
    <w:pPr>
      <w:ind w:firstLine="709"/>
      <w:jc w:val="center"/>
    </w:pPr>
    <w:rPr>
      <w:rFonts w:ascii="Calibri" w:hAnsi="Calibri" w:eastAsia="Calibri" w:cs="Calibri"/>
      <w:b/>
      <w:sz w:val="28"/>
      <w:szCs w:val="28"/>
      <w:lang w:eastAsia="en-US"/>
    </w:rPr>
  </w:style>
  <w:style w:type="paragraph" w:styleId="154" w:customStyle="1">
    <w:name w:val="Содерж 1"/>
    <w:basedOn w:val="1113"/>
    <w:qFormat/>
    <w:rsid w:val="000b487d"/>
    <w:pPr>
      <w:keepLines/>
      <w:spacing w:lineRule="auto" w:line="276" w:before="0" w:after="120"/>
      <w:ind w:firstLine="709"/>
    </w:pPr>
    <w:rPr>
      <w:rFonts w:ascii="Calibri" w:hAnsi="Calibri" w:eastAsia="Calibri" w:cs="Calibri"/>
      <w:b/>
      <w:bCs/>
      <w:color w:val="365F91"/>
      <w:spacing w:val="1"/>
      <w:szCs w:val="28"/>
      <w:lang w:eastAsia="en-US"/>
    </w:rPr>
  </w:style>
  <w:style w:type="paragraph" w:styleId="Style118" w:customStyle="1">
    <w:name w:val="--"/>
    <w:basedOn w:val="BodyText2"/>
    <w:qFormat/>
    <w:rsid w:val="000b487d"/>
    <w:pPr>
      <w:tabs>
        <w:tab w:val="clear" w:pos="408"/>
        <w:tab w:val="left" w:pos="720" w:leader="none"/>
        <w:tab w:val="left" w:pos="851" w:leader="none"/>
      </w:tabs>
      <w:spacing w:lineRule="auto" w:line="216" w:before="0" w:after="0"/>
      <w:ind w:left="720" w:firstLine="567"/>
      <w:jc w:val="both"/>
    </w:pPr>
    <w:rPr>
      <w:rFonts w:ascii="Calibri" w:hAnsi="Calibri" w:eastAsia="Calibri" w:cs="Calibri"/>
      <w:b/>
      <w:sz w:val="28"/>
      <w:szCs w:val="28"/>
      <w:lang w:eastAsia="en-US"/>
    </w:rPr>
  </w:style>
  <w:style w:type="paragraph" w:styleId="240" w:customStyle="1">
    <w:name w:val="2_малый"/>
    <w:basedOn w:val="132"/>
    <w:link w:val="240"/>
    <w:qFormat/>
    <w:rsid w:val="000b487d"/>
    <w:pPr>
      <w:spacing w:lineRule="auto" w:line="216"/>
      <w:ind w:firstLine="709"/>
      <w:jc w:val="center"/>
    </w:pPr>
    <w:rPr>
      <w:rFonts w:ascii="Calibri" w:hAnsi="Calibri" w:eastAsia="Calibri" w:cs="Calibri"/>
      <w:szCs w:val="22"/>
      <w:lang w:eastAsia="en-US"/>
    </w:rPr>
  </w:style>
  <w:style w:type="paragraph" w:styleId="329" w:customStyle="1">
    <w:name w:val="3"/>
    <w:basedOn w:val="Normal"/>
    <w:qFormat/>
    <w:rsid w:val="000b487d"/>
    <w:pPr>
      <w:widowControl w:val="false"/>
      <w:tabs>
        <w:tab w:val="clear" w:pos="408"/>
        <w:tab w:val="left" w:pos="851" w:leader="none"/>
      </w:tabs>
      <w:spacing w:lineRule="auto" w:line="216"/>
      <w:ind w:firstLine="567"/>
      <w:jc w:val="both"/>
    </w:pPr>
    <w:rPr>
      <w:rFonts w:ascii="Calibri" w:hAnsi="Calibri" w:eastAsia="Calibri" w:cs="Calibri"/>
      <w:color w:val="000000"/>
      <w:sz w:val="28"/>
      <w:szCs w:val="28"/>
      <w:lang w:eastAsia="en-US"/>
    </w:rPr>
  </w:style>
  <w:style w:type="paragraph" w:styleId="Style119" w:customStyle="1">
    <w:name w:val="Основной самый"/>
    <w:qFormat/>
    <w:rsid w:val="000b487d"/>
    <w:pPr>
      <w:widowControl w:val="false"/>
      <w:tabs>
        <w:tab w:val="clear" w:pos="408"/>
        <w:tab w:val="left" w:pos="-284" w:leader="none"/>
        <w:tab w:val="left" w:pos="0" w:leader="none"/>
        <w:tab w:val="right" w:pos="10072" w:leader="dot"/>
        <w:tab w:val="right" w:pos="10206" w:leader="dot"/>
      </w:tabs>
      <w:suppressAutoHyphens w:val="true"/>
      <w:bidi w:val="0"/>
      <w:spacing w:before="0" w:after="0"/>
      <w:ind w:right="284" w:firstLine="709"/>
      <w:jc w:val="both"/>
    </w:pPr>
    <w:rPr>
      <w:rFonts w:ascii="Calibri" w:hAnsi="Calibri" w:eastAsia="Calibri" w:cs="Calibri"/>
      <w:color w:val="auto"/>
      <w:kern w:val="0"/>
      <w:sz w:val="28"/>
      <w:szCs w:val="28"/>
      <w:lang w:val="ru-RU" w:eastAsia="ru-RU" w:bidi="ar-SA"/>
    </w:rPr>
  </w:style>
  <w:style w:type="paragraph" w:styleId="171" w:customStyle="1">
    <w:name w:val="Оглавление 17"/>
    <w:basedOn w:val="Normal"/>
    <w:next w:val="Normal"/>
    <w:link w:val="12"/>
    <w:autoRedefine/>
    <w:uiPriority w:val="39"/>
    <w:unhideWhenUsed/>
    <w:qFormat/>
    <w:rsid w:val="000b487d"/>
    <w:pPr>
      <w:spacing w:before="0" w:after="100"/>
    </w:pPr>
    <w:rPr>
      <w:rFonts w:eastAsia="Tahoma" w:cs="Noto Sans Devanagari"/>
      <w:sz w:val="20"/>
      <w:szCs w:val="20"/>
      <w:lang w:bidi="hi-IN"/>
    </w:rPr>
  </w:style>
  <w:style w:type="paragraph" w:styleId="243" w:customStyle="1">
    <w:name w:val="2"/>
    <w:basedOn w:val="Normal"/>
    <w:link w:val="2ff7"/>
    <w:qFormat/>
    <w:rsid w:val="000b487d"/>
    <w:pPr>
      <w:widowControl w:val="false"/>
      <w:spacing w:lineRule="auto" w:line="216"/>
      <w:ind w:firstLine="709"/>
      <w:jc w:val="center"/>
    </w:pPr>
    <w:rPr>
      <w:rFonts w:ascii="Calibri" w:hAnsi="Calibri" w:eastAsia="Calibri" w:cs="Calibri"/>
      <w:lang w:eastAsia="en-US"/>
    </w:rPr>
  </w:style>
  <w:style w:type="paragraph" w:styleId="2221" w:customStyle="1">
    <w:name w:val="222"/>
    <w:basedOn w:val="NoSpacing"/>
    <w:link w:val="2221"/>
    <w:qFormat/>
    <w:rsid w:val="000b487d"/>
    <w:pPr>
      <w:ind w:firstLine="567"/>
      <w:jc w:val="both"/>
    </w:pPr>
    <w:rPr>
      <w:rFonts w:ascii="Calibri" w:hAnsi="Calibri" w:eastAsia="Calibri" w:cs="Calibri"/>
      <w:color w:val="000000"/>
      <w:spacing w:val="5"/>
      <w:sz w:val="28"/>
      <w:szCs w:val="28"/>
      <w:lang w:eastAsia="en-US"/>
    </w:rPr>
  </w:style>
  <w:style w:type="paragraph" w:styleId="244" w:customStyle="1">
    <w:name w:val="Содержание 2"/>
    <w:basedOn w:val="171"/>
    <w:qFormat/>
    <w:rsid w:val="000b487d"/>
    <w:pPr>
      <w:keepNext w:val="true"/>
      <w:tabs>
        <w:tab w:val="clear" w:pos="408"/>
        <w:tab w:val="right" w:pos="10206" w:leader="dot"/>
      </w:tabs>
      <w:spacing w:before="0" w:after="60"/>
      <w:ind w:firstLine="8505"/>
      <w:jc w:val="both"/>
      <w:outlineLvl w:val="0"/>
    </w:pPr>
    <w:rPr>
      <w:rFonts w:ascii="Calibri" w:hAnsi="Calibri" w:eastAsia="Calibri" w:cs="Calibri"/>
      <w:b/>
      <w:bCs/>
      <w:color w:val="000000"/>
      <w:spacing w:val="-4"/>
      <w:kern w:val="2"/>
      <w:sz w:val="28"/>
      <w:szCs w:val="24"/>
      <w:lang w:eastAsia="en-US" w:bidi="ar-SA"/>
    </w:rPr>
  </w:style>
  <w:style w:type="paragraph" w:styleId="CharCharCharChar" w:customStyle="1">
    <w:name w:val="Char Char Знак Знак Char Char"/>
    <w:basedOn w:val="Normal"/>
    <w:qFormat/>
    <w:rsid w:val="000b487d"/>
    <w:pPr>
      <w:ind w:firstLine="709"/>
      <w:jc w:val="both"/>
    </w:pPr>
    <w:rPr>
      <w:rFonts w:ascii="Arial" w:hAnsi="Arial"/>
      <w:b/>
      <w:color w:val="FFFFFF"/>
      <w:sz w:val="32"/>
      <w:szCs w:val="20"/>
      <w:lang w:val="en-US" w:eastAsia="en-US"/>
    </w:rPr>
  </w:style>
  <w:style w:type="paragraph" w:styleId="FR2" w:customStyle="1">
    <w:name w:val="FR2"/>
    <w:qFormat/>
    <w:rsid w:val="000b487d"/>
    <w:pPr>
      <w:widowControl w:val="false"/>
      <w:suppressAutoHyphens w:val="true"/>
      <w:bidi w:val="0"/>
      <w:spacing w:before="0" w:after="0"/>
      <w:ind w:left="320" w:firstLine="300"/>
      <w:jc w:val="left"/>
    </w:pPr>
    <w:rPr>
      <w:rFonts w:ascii="Times New Roman" w:hAnsi="Times New Roman" w:eastAsia="Arial" w:cs="Times New Roman"/>
      <w:color w:val="auto"/>
      <w:kern w:val="2"/>
      <w:sz w:val="16"/>
      <w:szCs w:val="20"/>
      <w:lang w:val="ru-RU" w:eastAsia="ar-SA" w:bidi="ar-SA"/>
    </w:rPr>
  </w:style>
  <w:style w:type="paragraph" w:styleId="ConsNormal" w:customStyle="1">
    <w:name w:val="ConsNormal"/>
    <w:qFormat/>
    <w:rsid w:val="000b487d"/>
    <w:pPr>
      <w:widowControl w:val="false"/>
      <w:suppressAutoHyphens w:val="true"/>
      <w:bidi w:val="0"/>
      <w:spacing w:before="0" w:after="0"/>
      <w:ind w:firstLine="720"/>
      <w:jc w:val="left"/>
    </w:pPr>
    <w:rPr>
      <w:rFonts w:ascii="Arial" w:hAnsi="Arial" w:eastAsia="Times New Roman" w:cs="Arial"/>
      <w:color w:val="auto"/>
      <w:kern w:val="0"/>
      <w:sz w:val="24"/>
      <w:szCs w:val="20"/>
      <w:lang w:val="ru-RU" w:eastAsia="ru-RU" w:bidi="ar-SA"/>
    </w:rPr>
  </w:style>
  <w:style w:type="paragraph" w:styleId="Style120" w:customStyle="1">
    <w:name w:val="ТЕКСТ ПР"/>
    <w:basedOn w:val="Normal"/>
    <w:qFormat/>
    <w:rsid w:val="000b487d"/>
    <w:pPr>
      <w:ind w:firstLine="567"/>
      <w:jc w:val="both"/>
    </w:pPr>
    <w:rPr>
      <w:rFonts w:ascii="Calibri" w:hAnsi="Calibri" w:eastAsia="Calibri" w:cs="Calibri"/>
      <w:lang w:eastAsia="en-US"/>
    </w:rPr>
  </w:style>
  <w:style w:type="paragraph" w:styleId="245" w:customStyle="1">
    <w:name w:val="Текст 2"/>
    <w:basedOn w:val="314"/>
    <w:qFormat/>
    <w:rsid w:val="000b487d"/>
    <w:pPr>
      <w:keepNext w:val="false"/>
      <w:keepLines w:val="false"/>
      <w:widowControl w:val="false"/>
      <w:spacing w:before="60" w:after="0"/>
      <w:ind w:left="993" w:hanging="567"/>
      <w:jc w:val="both"/>
    </w:pPr>
    <w:rPr>
      <w:rFonts w:ascii="Times New Roman" w:hAnsi="Times New Roman" w:eastAsia="Times New Roman" w:cs="Times New Roman"/>
      <w:color w:val="auto"/>
      <w:szCs w:val="20"/>
      <w:lang w:eastAsia="en-US"/>
    </w:rPr>
  </w:style>
  <w:style w:type="paragraph" w:styleId="331" w:customStyle="1">
    <w:name w:val="Основной текст 3 Знак3"/>
    <w:basedOn w:val="412"/>
    <w:qFormat/>
    <w:rsid w:val="000b487d"/>
    <w:pPr/>
    <w:rPr/>
  </w:style>
  <w:style w:type="paragraph" w:styleId="CharCharCharChar1" w:customStyle="1">
    <w:name w:val="Char Char Знак Знак Char Char1"/>
    <w:basedOn w:val="Normal"/>
    <w:qFormat/>
    <w:rsid w:val="000b487d"/>
    <w:pPr>
      <w:ind w:firstLine="709"/>
      <w:jc w:val="both"/>
    </w:pPr>
    <w:rPr>
      <w:rFonts w:ascii="Arial" w:hAnsi="Arial"/>
      <w:b/>
      <w:color w:val="FFFFFF"/>
      <w:sz w:val="32"/>
      <w:szCs w:val="20"/>
      <w:lang w:val="en-US" w:eastAsia="en-US"/>
    </w:rPr>
  </w:style>
  <w:style w:type="paragraph" w:styleId="Heading" w:customStyle="1">
    <w:name w:val="heading"/>
    <w:basedOn w:val="Normal"/>
    <w:qFormat/>
    <w:rsid w:val="000b487d"/>
    <w:pPr>
      <w:spacing w:beforeAutospacing="1" w:afterAutospacing="1"/>
      <w:ind w:firstLine="709"/>
      <w:jc w:val="both"/>
    </w:pPr>
    <w:rPr>
      <w:lang w:eastAsia="ru-RU"/>
    </w:rPr>
  </w:style>
  <w:style w:type="paragraph" w:styleId="Qw" w:customStyle="1">
    <w:name w:val="qw"/>
    <w:basedOn w:val="Normal"/>
    <w:qFormat/>
    <w:rsid w:val="000b487d"/>
    <w:pPr>
      <w:spacing w:beforeAutospacing="1" w:afterAutospacing="1"/>
      <w:ind w:firstLine="709"/>
      <w:jc w:val="both"/>
    </w:pPr>
    <w:rPr>
      <w:lang w:eastAsia="ru-RU"/>
    </w:rPr>
  </w:style>
  <w:style w:type="paragraph" w:styleId="CharCharCharChar2" w:customStyle="1">
    <w:name w:val="Char Char Знак Знак Char Char2"/>
    <w:basedOn w:val="Normal"/>
    <w:qFormat/>
    <w:rsid w:val="000b487d"/>
    <w:pPr>
      <w:ind w:firstLine="709"/>
      <w:jc w:val="both"/>
    </w:pPr>
    <w:rPr>
      <w:rFonts w:ascii="Arial" w:hAnsi="Arial"/>
      <w:b/>
      <w:color w:val="FFFFFF"/>
      <w:sz w:val="32"/>
      <w:szCs w:val="20"/>
      <w:lang w:val="en-US" w:eastAsia="en-US"/>
    </w:rPr>
  </w:style>
  <w:style w:type="paragraph" w:styleId="BodyTextIndent21" w:customStyle="1">
    <w:name w:val="Body Text Indent 21"/>
    <w:basedOn w:val="Normal"/>
    <w:qFormat/>
    <w:rsid w:val="000b487d"/>
    <w:pPr>
      <w:widowControl w:val="false"/>
      <w:spacing w:before="120" w:after="0"/>
      <w:ind w:firstLine="567"/>
      <w:jc w:val="both"/>
    </w:pPr>
    <w:rPr>
      <w:sz w:val="28"/>
      <w:szCs w:val="20"/>
      <w:lang w:eastAsia="ru-RU"/>
    </w:rPr>
  </w:style>
  <w:style w:type="paragraph" w:styleId="S001" w:customStyle="1">
    <w:name w:val="s00 Текст"/>
    <w:basedOn w:val="Normal"/>
    <w:qFormat/>
    <w:rsid w:val="000b487d"/>
    <w:pPr>
      <w:keepNext w:val="true"/>
      <w:widowControl w:val="false"/>
      <w:spacing w:before="60" w:after="0"/>
      <w:ind w:firstLine="340"/>
      <w:jc w:val="both"/>
    </w:pPr>
    <w:rPr>
      <w:rFonts w:ascii="Arial" w:hAnsi="Arial" w:eastAsia="Calibri" w:cs="Arial"/>
      <w:sz w:val="22"/>
      <w:lang w:eastAsia="en-US"/>
    </w:rPr>
  </w:style>
  <w:style w:type="paragraph" w:styleId="1211" w:customStyle="1">
    <w:name w:val="12 справа"/>
    <w:basedOn w:val="Normal"/>
    <w:qFormat/>
    <w:rsid w:val="000b487d"/>
    <w:pPr>
      <w:ind w:firstLine="709"/>
      <w:jc w:val="right"/>
    </w:pPr>
    <w:rPr>
      <w:lang w:eastAsia="ru-RU"/>
    </w:rPr>
  </w:style>
  <w:style w:type="paragraph" w:styleId="1212" w:customStyle="1">
    <w:name w:val="12 центр"/>
    <w:basedOn w:val="Normal"/>
    <w:qFormat/>
    <w:rsid w:val="000b487d"/>
    <w:pPr>
      <w:ind w:firstLine="709"/>
      <w:jc w:val="center"/>
    </w:pPr>
    <w:rPr>
      <w:szCs w:val="20"/>
      <w:lang w:eastAsia="ru-RU"/>
    </w:rPr>
  </w:style>
  <w:style w:type="paragraph" w:styleId="162" w:customStyle="1">
    <w:name w:val="16 центр"/>
    <w:basedOn w:val="Normal"/>
    <w:qFormat/>
    <w:rsid w:val="000b487d"/>
    <w:pPr>
      <w:spacing w:before="0" w:after="240"/>
      <w:ind w:firstLine="709"/>
      <w:jc w:val="center"/>
    </w:pPr>
    <w:rPr>
      <w:caps/>
      <w:sz w:val="32"/>
      <w:lang w:eastAsia="ru-RU"/>
    </w:rPr>
  </w:style>
  <w:style w:type="paragraph" w:styleId="1213" w:customStyle="1">
    <w:name w:val="12 слева"/>
    <w:basedOn w:val="Normal"/>
    <w:qFormat/>
    <w:rsid w:val="000b487d"/>
    <w:pPr>
      <w:ind w:firstLine="709"/>
      <w:jc w:val="both"/>
    </w:pPr>
    <w:rPr>
      <w:lang w:eastAsia="ru-RU"/>
    </w:rPr>
  </w:style>
  <w:style w:type="paragraph" w:styleId="1410" w:customStyle="1">
    <w:name w:val="14 слева"/>
    <w:basedOn w:val="Normal"/>
    <w:qFormat/>
    <w:rsid w:val="000b487d"/>
    <w:pPr>
      <w:ind w:firstLine="709"/>
      <w:jc w:val="both"/>
    </w:pPr>
    <w:rPr>
      <w:sz w:val="28"/>
      <w:lang w:eastAsia="ru-RU"/>
    </w:rPr>
  </w:style>
  <w:style w:type="paragraph" w:styleId="1411" w:customStyle="1">
    <w:name w:val="14  центр"/>
    <w:basedOn w:val="Normal"/>
    <w:qFormat/>
    <w:rsid w:val="000b487d"/>
    <w:pPr>
      <w:ind w:firstLine="709"/>
      <w:jc w:val="center"/>
    </w:pPr>
    <w:rPr>
      <w:sz w:val="28"/>
      <w:lang w:eastAsia="ru-RU"/>
    </w:rPr>
  </w:style>
  <w:style w:type="paragraph" w:styleId="49" w:customStyle="1">
    <w:name w:val="Основной текст (4)"/>
    <w:basedOn w:val="Normal"/>
    <w:qFormat/>
    <w:rsid w:val="000b487d"/>
    <w:pPr>
      <w:widowControl w:val="false"/>
      <w:shd w:val="clear" w:color="auto" w:fill="FFFFFF"/>
      <w:spacing w:before="960" w:after="360"/>
      <w:ind w:firstLine="709"/>
      <w:jc w:val="both"/>
    </w:pPr>
    <w:rPr>
      <w:rFonts w:ascii="Verdana" w:hAnsi="Verdana" w:eastAsia="Verdana" w:cs="Verdana"/>
      <w:sz w:val="20"/>
      <w:szCs w:val="20"/>
      <w:lang w:eastAsia="ru-RU"/>
    </w:rPr>
  </w:style>
  <w:style w:type="paragraph" w:styleId="330" w:customStyle="1">
    <w:name w:val="Заголовок №3"/>
    <w:basedOn w:val="Normal"/>
    <w:qFormat/>
    <w:rsid w:val="000b487d"/>
    <w:pPr>
      <w:widowControl w:val="false"/>
      <w:shd w:val="clear" w:color="auto" w:fill="FFFFFF"/>
      <w:spacing w:before="0" w:after="300"/>
      <w:ind w:firstLine="709"/>
      <w:jc w:val="center"/>
      <w:outlineLvl w:val="2"/>
    </w:pPr>
    <w:rPr>
      <w:rFonts w:ascii="Verdana" w:hAnsi="Verdana" w:eastAsia="Verdana" w:cs="Verdana"/>
      <w:b/>
      <w:bCs/>
      <w:sz w:val="26"/>
      <w:szCs w:val="26"/>
      <w:lang w:eastAsia="en-US"/>
    </w:rPr>
  </w:style>
  <w:style w:type="paragraph" w:styleId="Style121" w:customStyle="1">
    <w:name w:val="Заголовок ненумерованный"/>
    <w:basedOn w:val="1113"/>
    <w:qFormat/>
    <w:rsid w:val="000b487d"/>
    <w:pPr>
      <w:spacing w:lineRule="auto" w:line="360" w:before="0" w:after="60"/>
      <w:ind w:firstLine="709"/>
    </w:pPr>
    <w:rPr>
      <w:rFonts w:eastAsia="Times New Roman"/>
      <w:bCs/>
      <w:caps/>
      <w:spacing w:val="0"/>
      <w:kern w:val="2"/>
      <w:sz w:val="32"/>
      <w:lang w:eastAsia="ru-RU"/>
    </w:rPr>
  </w:style>
  <w:style w:type="paragraph" w:styleId="246" w:customStyle="1">
    <w:name w:val="Стиль Стиль Заголовок 2 обычный + Междустр.интервал:  полуторный"/>
    <w:basedOn w:val="Normal"/>
    <w:qFormat/>
    <w:rsid w:val="000b487d"/>
    <w:pPr>
      <w:spacing w:lineRule="auto" w:line="360" w:before="60" w:after="0"/>
      <w:ind w:left="1440" w:hanging="360"/>
      <w:jc w:val="both"/>
      <w:outlineLvl w:val="1"/>
    </w:pPr>
    <w:rPr>
      <w:lang w:eastAsia="ru-RU"/>
    </w:rPr>
  </w:style>
  <w:style w:type="paragraph" w:styleId="155" w:customStyle="1">
    <w:name w:val="Заг1 нумер."/>
    <w:basedOn w:val="Normal"/>
    <w:next w:val="Normal"/>
    <w:uiPriority w:val="99"/>
    <w:qFormat/>
    <w:rsid w:val="000b487d"/>
    <w:pPr>
      <w:spacing w:lineRule="auto" w:line="360"/>
      <w:ind w:left="360" w:right="284" w:hanging="360"/>
      <w:jc w:val="both"/>
      <w:outlineLvl w:val="0"/>
    </w:pPr>
    <w:rPr>
      <w:b/>
      <w:sz w:val="28"/>
      <w:lang w:eastAsia="ru-RU"/>
    </w:rPr>
  </w:style>
  <w:style w:type="paragraph" w:styleId="247" w:customStyle="1">
    <w:name w:val="Заг2 нумер."/>
    <w:basedOn w:val="Normal"/>
    <w:next w:val="Normal"/>
    <w:uiPriority w:val="99"/>
    <w:qFormat/>
    <w:rsid w:val="000b487d"/>
    <w:pPr>
      <w:keepNext w:val="true"/>
      <w:keepLines/>
      <w:spacing w:lineRule="auto" w:line="360"/>
      <w:ind w:left="792" w:right="284" w:hanging="432"/>
      <w:jc w:val="both"/>
      <w:outlineLvl w:val="1"/>
    </w:pPr>
    <w:rPr>
      <w:b/>
      <w:lang w:eastAsia="ru-RU"/>
    </w:rPr>
  </w:style>
  <w:style w:type="paragraph" w:styleId="341" w:customStyle="1">
    <w:name w:val="Основной текст 3 Знак4"/>
    <w:basedOn w:val="Normal"/>
    <w:next w:val="Normal"/>
    <w:link w:val="3d"/>
    <w:uiPriority w:val="99"/>
    <w:qFormat/>
    <w:rsid w:val="000b487d"/>
    <w:pPr>
      <w:keepNext w:val="true"/>
      <w:keepLines/>
      <w:spacing w:lineRule="auto" w:line="360"/>
      <w:ind w:left="1356" w:right="284" w:hanging="504"/>
      <w:jc w:val="both"/>
      <w:outlineLvl w:val="2"/>
    </w:pPr>
    <w:rPr>
      <w:lang w:eastAsia="ru-RU"/>
    </w:rPr>
  </w:style>
  <w:style w:type="paragraph" w:styleId="410" w:customStyle="1">
    <w:name w:val="Заг4 нумер."/>
    <w:basedOn w:val="Normal"/>
    <w:next w:val="Normal"/>
    <w:uiPriority w:val="99"/>
    <w:qFormat/>
    <w:rsid w:val="000b487d"/>
    <w:pPr>
      <w:spacing w:lineRule="auto" w:line="360"/>
      <w:ind w:left="1723" w:right="284" w:hanging="646"/>
      <w:jc w:val="center"/>
      <w:outlineLvl w:val="3"/>
    </w:pPr>
    <w:rPr>
      <w:lang w:eastAsia="ru-RU"/>
    </w:rPr>
  </w:style>
  <w:style w:type="paragraph" w:styleId="TableParagraph" w:customStyle="1">
    <w:name w:val="Table Paragraph"/>
    <w:basedOn w:val="Normal"/>
    <w:uiPriority w:val="1"/>
    <w:qFormat/>
    <w:rsid w:val="000b487d"/>
    <w:pPr>
      <w:widowControl w:val="false"/>
      <w:ind w:firstLine="709"/>
      <w:jc w:val="both"/>
    </w:pPr>
    <w:rPr>
      <w:rFonts w:ascii="Calibri" w:hAnsi="Calibri"/>
      <w:sz w:val="22"/>
      <w:szCs w:val="22"/>
      <w:lang w:val="en-US" w:eastAsia="en-US"/>
    </w:rPr>
  </w:style>
  <w:style w:type="paragraph" w:styleId="HTMLTopofForm">
    <w:name w:val="HTML Top of Form"/>
    <w:basedOn w:val="Normal"/>
    <w:next w:val="Normal"/>
    <w:semiHidden/>
    <w:unhideWhenUsed/>
    <w:qFormat/>
    <w:rsid w:val="000b487d"/>
    <w:pPr>
      <w:pBdr>
        <w:bottom w:val="single" w:sz="6" w:space="1" w:color="000000"/>
      </w:pBdr>
      <w:spacing w:lineRule="auto" w:line="360"/>
      <w:ind w:firstLine="709"/>
      <w:jc w:val="center"/>
    </w:pPr>
    <w:rPr>
      <w:rFonts w:ascii="Arial" w:hAnsi="Arial" w:cs="Arial"/>
      <w:vanish/>
      <w:sz w:val="16"/>
      <w:szCs w:val="16"/>
      <w:lang w:eastAsia="ru-RU"/>
    </w:rPr>
  </w:style>
  <w:style w:type="paragraph" w:styleId="HTMLBottomofForm">
    <w:name w:val="HTML Bottom of Form"/>
    <w:basedOn w:val="Normal"/>
    <w:next w:val="Normal"/>
    <w:semiHidden/>
    <w:unhideWhenUsed/>
    <w:qFormat/>
    <w:rsid w:val="000b487d"/>
    <w:pPr>
      <w:pBdr>
        <w:top w:val="single" w:sz="6" w:space="1" w:color="000000"/>
      </w:pBdr>
      <w:spacing w:lineRule="auto" w:line="360"/>
      <w:ind w:firstLine="709"/>
      <w:jc w:val="center"/>
    </w:pPr>
    <w:rPr>
      <w:rFonts w:ascii="Arial" w:hAnsi="Arial" w:cs="Arial"/>
      <w:vanish/>
      <w:sz w:val="16"/>
      <w:szCs w:val="16"/>
      <w:lang w:eastAsia="ru-RU"/>
    </w:rPr>
  </w:style>
  <w:style w:type="paragraph" w:styleId="S211" w:customStyle="1">
    <w:name w:val="s21 рисунок №"/>
    <w:basedOn w:val="Normal"/>
    <w:qFormat/>
    <w:rsid w:val="000b487d"/>
    <w:pPr>
      <w:spacing w:lineRule="auto" w:line="360"/>
      <w:ind w:firstLine="709"/>
      <w:jc w:val="both"/>
    </w:pPr>
    <w:rPr>
      <w:lang w:eastAsia="ru-RU"/>
    </w:rPr>
  </w:style>
  <w:style w:type="paragraph" w:styleId="ListBullet2">
    <w:name w:val="List Bullet 2"/>
    <w:basedOn w:val="Normal"/>
    <w:uiPriority w:val="99"/>
    <w:unhideWhenUsed/>
    <w:qFormat/>
    <w:rsid w:val="000b487d"/>
    <w:pPr>
      <w:tabs>
        <w:tab w:val="clear" w:pos="408"/>
        <w:tab w:val="left" w:pos="643" w:leader="none"/>
      </w:tabs>
      <w:spacing w:lineRule="auto" w:line="360" w:before="0" w:after="0"/>
      <w:ind w:left="643" w:hanging="360"/>
      <w:contextualSpacing/>
      <w:jc w:val="both"/>
    </w:pPr>
    <w:rPr>
      <w:lang w:eastAsia="ru-RU"/>
    </w:rPr>
  </w:style>
  <w:style w:type="paragraph" w:styleId="S2" w:customStyle="1">
    <w:name w:val="S_Обычный"/>
    <w:basedOn w:val="Normal"/>
    <w:qFormat/>
    <w:rsid w:val="000b487d"/>
    <w:pPr>
      <w:spacing w:lineRule="auto" w:line="360"/>
      <w:ind w:firstLine="709"/>
      <w:jc w:val="both"/>
    </w:pPr>
    <w:rPr>
      <w:lang w:eastAsia="ru-RU"/>
    </w:rPr>
  </w:style>
  <w:style w:type="paragraph" w:styleId="A2" w:customStyle="1">
    <w:name w:val="Aобычный текст"/>
    <w:basedOn w:val="Normal"/>
    <w:qFormat/>
    <w:rsid w:val="000b487d"/>
    <w:pPr>
      <w:spacing w:before="0" w:after="0"/>
      <w:ind w:firstLine="567"/>
      <w:contextualSpacing/>
      <w:jc w:val="both"/>
    </w:pPr>
    <w:rPr>
      <w:szCs w:val="28"/>
      <w:lang w:eastAsia="ru-RU"/>
    </w:rPr>
  </w:style>
  <w:style w:type="paragraph" w:styleId="Revision">
    <w:name w:val="Revision"/>
    <w:uiPriority w:val="99"/>
    <w:semiHidden/>
    <w:qFormat/>
    <w:rsid w:val="000b487d"/>
    <w:pPr>
      <w:widowControl/>
      <w:suppressAutoHyphens w:val="false"/>
      <w:bidi w:val="0"/>
      <w:spacing w:before="0" w:after="0"/>
      <w:jc w:val="left"/>
    </w:pPr>
    <w:rPr>
      <w:rFonts w:ascii="Times New Roman" w:hAnsi="Times New Roman" w:eastAsia="Times New Roman" w:cs="Times New Roman"/>
      <w:color w:val="auto"/>
      <w:kern w:val="0"/>
      <w:sz w:val="24"/>
      <w:szCs w:val="24"/>
      <w:lang w:val="ru-RU" w:eastAsia="zh-CN" w:bidi="ar-SA"/>
    </w:rPr>
  </w:style>
  <w:style w:type="paragraph" w:styleId="248" w:customStyle="1">
    <w:name w:val="Текст сноски2"/>
    <w:basedOn w:val="Normal"/>
    <w:uiPriority w:val="99"/>
    <w:unhideWhenUsed/>
    <w:qFormat/>
    <w:rsid w:val="000b487d"/>
    <w:pPr/>
    <w:rPr>
      <w:sz w:val="20"/>
      <w:szCs w:val="20"/>
    </w:rPr>
  </w:style>
  <w:style w:type="paragraph" w:styleId="249" w:customStyle="1">
    <w:name w:val="Текст концевой сноски2"/>
    <w:basedOn w:val="Normal"/>
    <w:uiPriority w:val="99"/>
    <w:semiHidden/>
    <w:unhideWhenUsed/>
    <w:qFormat/>
    <w:rsid w:val="000b487d"/>
    <w:pPr/>
    <w:rPr>
      <w:sz w:val="20"/>
      <w:szCs w:val="20"/>
    </w:rPr>
  </w:style>
  <w:style w:type="paragraph" w:styleId="BodyText2">
    <w:name w:val="Body Text 2"/>
    <w:basedOn w:val="Normal"/>
    <w:uiPriority w:val="99"/>
    <w:unhideWhenUsed/>
    <w:qFormat/>
    <w:rsid w:val="000b487d"/>
    <w:pPr>
      <w:spacing w:lineRule="auto" w:line="480" w:before="0" w:after="120"/>
    </w:pPr>
    <w:rPr/>
  </w:style>
  <w:style w:type="paragraph" w:styleId="BodyText3">
    <w:name w:val="Body Text 3"/>
    <w:basedOn w:val="Normal"/>
    <w:link w:val="340"/>
    <w:uiPriority w:val="99"/>
    <w:semiHidden/>
    <w:unhideWhenUsed/>
    <w:qFormat/>
    <w:rsid w:val="000b487d"/>
    <w:pPr>
      <w:spacing w:before="0" w:after="120"/>
    </w:pPr>
    <w:rPr>
      <w:sz w:val="16"/>
      <w:szCs w:val="16"/>
    </w:rPr>
  </w:style>
  <w:style w:type="paragraph" w:styleId="BodyTextIndent3">
    <w:name w:val="Body Text Indent 3"/>
    <w:basedOn w:val="Normal"/>
    <w:semiHidden/>
    <w:unhideWhenUsed/>
    <w:qFormat/>
    <w:rsid w:val="000b487d"/>
    <w:pPr>
      <w:spacing w:before="0" w:after="120"/>
      <w:ind w:left="283" w:hanging="0"/>
    </w:pPr>
    <w:rPr>
      <w:sz w:val="16"/>
      <w:szCs w:val="16"/>
    </w:rPr>
  </w:style>
  <w:style w:type="paragraph" w:styleId="NoSpacing">
    <w:name w:val="No Spacing"/>
    <w:uiPriority w:val="1"/>
    <w:qFormat/>
    <w:rsid w:val="000b487d"/>
    <w:pPr>
      <w:widowControl/>
      <w:suppressAutoHyphens w:val="true"/>
      <w:bidi w:val="0"/>
      <w:spacing w:before="0" w:after="0"/>
      <w:jc w:val="left"/>
    </w:pPr>
    <w:rPr>
      <w:rFonts w:ascii="Times New Roman" w:hAnsi="Times New Roman" w:eastAsia="Times New Roman" w:cs="Times New Roman"/>
      <w:color w:val="auto"/>
      <w:kern w:val="0"/>
      <w:sz w:val="24"/>
      <w:szCs w:val="24"/>
      <w:lang w:val="ru-RU" w:eastAsia="zh-CN" w:bidi="ar-SA"/>
    </w:rPr>
  </w:style>
  <w:style w:type="paragraph" w:styleId="250" w:customStyle="1">
    <w:name w:val="Название2"/>
    <w:basedOn w:val="Normal"/>
    <w:next w:val="Normal"/>
    <w:uiPriority w:val="1"/>
    <w:qFormat/>
    <w:rsid w:val="000b487d"/>
    <w:pPr>
      <w:spacing w:before="0" w:after="0"/>
      <w:ind w:firstLine="709"/>
      <w:contextualSpacing/>
      <w:jc w:val="both"/>
    </w:pPr>
    <w:rPr>
      <w:rFonts w:eastAsia="Calibri Light" w:cs="Calibri Light"/>
      <w:color w:val="000000"/>
      <w:spacing w:val="-10"/>
      <w:kern w:val="2"/>
      <w:sz w:val="28"/>
      <w:szCs w:val="56"/>
      <w:lang w:eastAsia="en-US"/>
    </w:rPr>
  </w:style>
  <w:style w:type="paragraph" w:styleId="421" w:customStyle="1">
    <w:name w:val="Оглавление 42"/>
    <w:basedOn w:val="Normal"/>
    <w:next w:val="Normal"/>
    <w:autoRedefine/>
    <w:uiPriority w:val="39"/>
    <w:unhideWhenUsed/>
    <w:qFormat/>
    <w:rsid w:val="000b487d"/>
    <w:pPr>
      <w:spacing w:before="0" w:after="100"/>
      <w:ind w:left="660" w:firstLine="709"/>
      <w:jc w:val="both"/>
    </w:pPr>
    <w:rPr>
      <w:rFonts w:eastAsia="Calibri" w:cs="Calibri"/>
      <w:szCs w:val="22"/>
      <w:lang w:eastAsia="ru-RU"/>
    </w:rPr>
  </w:style>
  <w:style w:type="paragraph" w:styleId="521" w:customStyle="1">
    <w:name w:val="Оглавление 52"/>
    <w:basedOn w:val="Normal"/>
    <w:next w:val="Normal"/>
    <w:autoRedefine/>
    <w:uiPriority w:val="39"/>
    <w:unhideWhenUsed/>
    <w:qFormat/>
    <w:rsid w:val="000b487d"/>
    <w:pPr>
      <w:spacing w:before="0" w:after="100"/>
      <w:ind w:left="880" w:firstLine="709"/>
      <w:jc w:val="both"/>
    </w:pPr>
    <w:rPr>
      <w:rFonts w:eastAsia="Calibri" w:cs="Calibri"/>
      <w:szCs w:val="22"/>
      <w:lang w:eastAsia="ru-RU"/>
    </w:rPr>
  </w:style>
  <w:style w:type="paragraph" w:styleId="621" w:customStyle="1">
    <w:name w:val="Оглавление 62"/>
    <w:basedOn w:val="Normal"/>
    <w:next w:val="Normal"/>
    <w:autoRedefine/>
    <w:uiPriority w:val="39"/>
    <w:unhideWhenUsed/>
    <w:qFormat/>
    <w:rsid w:val="000b487d"/>
    <w:pPr>
      <w:spacing w:before="0" w:after="100"/>
      <w:ind w:left="1100" w:firstLine="709"/>
      <w:jc w:val="both"/>
    </w:pPr>
    <w:rPr>
      <w:rFonts w:eastAsia="Calibri" w:cs="Calibri"/>
      <w:szCs w:val="22"/>
      <w:lang w:eastAsia="ru-RU"/>
    </w:rPr>
  </w:style>
  <w:style w:type="paragraph" w:styleId="721" w:customStyle="1">
    <w:name w:val="Оглавление 72"/>
    <w:basedOn w:val="Normal"/>
    <w:next w:val="Normal"/>
    <w:autoRedefine/>
    <w:uiPriority w:val="39"/>
    <w:unhideWhenUsed/>
    <w:qFormat/>
    <w:rsid w:val="000b487d"/>
    <w:pPr>
      <w:spacing w:before="0" w:after="100"/>
      <w:ind w:left="1320" w:firstLine="709"/>
      <w:jc w:val="both"/>
    </w:pPr>
    <w:rPr>
      <w:rFonts w:eastAsia="Calibri" w:cs="Calibri"/>
      <w:szCs w:val="22"/>
      <w:lang w:eastAsia="ru-RU"/>
    </w:rPr>
  </w:style>
  <w:style w:type="paragraph" w:styleId="821" w:customStyle="1">
    <w:name w:val="Оглавление 82"/>
    <w:basedOn w:val="Normal"/>
    <w:next w:val="Normal"/>
    <w:autoRedefine/>
    <w:uiPriority w:val="39"/>
    <w:unhideWhenUsed/>
    <w:qFormat/>
    <w:rsid w:val="000b487d"/>
    <w:pPr>
      <w:spacing w:before="0" w:after="100"/>
      <w:ind w:left="1540" w:firstLine="709"/>
      <w:jc w:val="both"/>
    </w:pPr>
    <w:rPr>
      <w:rFonts w:eastAsia="Calibri" w:cs="Calibri"/>
      <w:szCs w:val="22"/>
      <w:lang w:eastAsia="ru-RU"/>
    </w:rPr>
  </w:style>
  <w:style w:type="paragraph" w:styleId="92" w:customStyle="1">
    <w:name w:val="Оглавление 92"/>
    <w:basedOn w:val="Normal"/>
    <w:next w:val="Normal"/>
    <w:autoRedefine/>
    <w:uiPriority w:val="39"/>
    <w:unhideWhenUsed/>
    <w:qFormat/>
    <w:rsid w:val="000b487d"/>
    <w:pPr>
      <w:spacing w:before="0" w:after="100"/>
      <w:ind w:left="1760" w:firstLine="709"/>
      <w:jc w:val="both"/>
    </w:pPr>
    <w:rPr>
      <w:rFonts w:eastAsia="Calibri" w:cs="Calibri"/>
      <w:szCs w:val="22"/>
      <w:lang w:eastAsia="ru-RU"/>
    </w:rPr>
  </w:style>
  <w:style w:type="paragraph" w:styleId="156" w:customStyle="1">
    <w:name w:val="Выделенная цитата1"/>
    <w:basedOn w:val="Normal"/>
    <w:next w:val="Normal"/>
    <w:uiPriority w:val="30"/>
    <w:qFormat/>
    <w:rsid w:val="000b487d"/>
    <w:pPr>
      <w:pBdr>
        <w:top w:val="single" w:sz="4" w:space="10" w:color="5B9BD5"/>
        <w:bottom w:val="single" w:sz="4" w:space="10" w:color="5B9BD5"/>
      </w:pBdr>
      <w:spacing w:before="360" w:after="360"/>
      <w:ind w:left="864" w:right="864" w:firstLine="709"/>
      <w:jc w:val="center"/>
    </w:pPr>
    <w:rPr>
      <w:rFonts w:eastAsia="Calibri" w:cs="Calibri"/>
      <w:i/>
      <w:iCs/>
      <w:color w:val="5B9BD5"/>
      <w:szCs w:val="22"/>
      <w:lang w:eastAsia="en-US"/>
    </w:rPr>
  </w:style>
  <w:style w:type="paragraph" w:styleId="Style122" w:customStyle="1">
    <w:name w:val="Раздел"/>
    <w:basedOn w:val="Normal"/>
    <w:qFormat/>
    <w:rsid w:val="000b487d"/>
    <w:pPr>
      <w:jc w:val="center"/>
    </w:pPr>
    <w:rPr>
      <w:b/>
      <w:lang w:eastAsia="ru-RU"/>
    </w:rPr>
  </w:style>
  <w:style w:type="paragraph" w:styleId="Style123" w:customStyle="1">
    <w:name w:val="Глава"/>
    <w:basedOn w:val="ListParagraph"/>
    <w:uiPriority w:val="99"/>
    <w:qFormat/>
    <w:rsid w:val="000b487d"/>
    <w:pPr>
      <w:spacing w:lineRule="auto" w:line="240" w:before="0" w:after="0"/>
      <w:ind w:left="0" w:right="-21" w:hanging="0"/>
      <w:contextualSpacing/>
    </w:pPr>
    <w:rPr>
      <w:rFonts w:ascii="Times New Roman" w:hAnsi="Times New Roman" w:cs="Times New Roman"/>
      <w:b/>
      <w:sz w:val="24"/>
      <w:szCs w:val="24"/>
      <w:lang w:eastAsia="ru-RU"/>
    </w:rPr>
  </w:style>
  <w:style w:type="paragraph" w:styleId="Style124" w:customStyle="1">
    <w:name w:val="ОснТекст"/>
    <w:basedOn w:val="Normal"/>
    <w:qFormat/>
    <w:rsid w:val="000b487d"/>
    <w:pPr>
      <w:ind w:firstLine="540"/>
    </w:pPr>
    <w:rPr>
      <w:lang w:eastAsia="ar-SA"/>
    </w:rPr>
  </w:style>
  <w:style w:type="paragraph" w:styleId="1310" w:customStyle="1">
    <w:name w:val="стиль13"/>
    <w:basedOn w:val="Normal"/>
    <w:qFormat/>
    <w:rsid w:val="000b487d"/>
    <w:pPr>
      <w:spacing w:beforeAutospacing="1" w:afterAutospacing="1"/>
    </w:pPr>
    <w:rPr>
      <w:lang w:eastAsia="ru-RU"/>
    </w:rPr>
  </w:style>
  <w:style w:type="paragraph" w:styleId="Style125" w:customStyle="1">
    <w:name w:val="ТАБЛИЦЫ"/>
    <w:basedOn w:val="NoSpacing"/>
    <w:qFormat/>
    <w:rsid w:val="000b487d"/>
    <w:pPr>
      <w:jc w:val="center"/>
    </w:pPr>
    <w:rPr>
      <w:rFonts w:eastAsia="Calibri"/>
      <w:sz w:val="20"/>
      <w:szCs w:val="20"/>
      <w:lang w:eastAsia="ru-RU"/>
    </w:rPr>
  </w:style>
  <w:style w:type="paragraph" w:styleId="Style126" w:customStyle="1">
    <w:name w:val="Современный"/>
    <w:qFormat/>
    <w:rsid w:val="000b487d"/>
    <w:pPr>
      <w:widowControl/>
      <w:suppressAutoHyphens w:val="true"/>
      <w:bidi w:val="0"/>
      <w:spacing w:before="0" w:after="0"/>
      <w:jc w:val="center"/>
    </w:pPr>
    <w:rPr>
      <w:rFonts w:ascii="Times New Roman" w:hAnsi="Times New Roman" w:eastAsia="Times New Roman" w:cs="Times New Roman"/>
      <w:b/>
      <w:color w:val="auto"/>
      <w:kern w:val="0"/>
      <w:sz w:val="24"/>
      <w:szCs w:val="20"/>
      <w:lang w:val="ru-RU" w:eastAsia="ja-JP" w:bidi="ar-SA"/>
    </w:rPr>
  </w:style>
  <w:style w:type="paragraph" w:styleId="157" w:customStyle="1">
    <w:name w:val="Для таблицы (приложения 1)"/>
    <w:basedOn w:val="Normal"/>
    <w:uiPriority w:val="99"/>
    <w:qFormat/>
    <w:rsid w:val="000b487d"/>
    <w:pPr>
      <w:widowControl w:val="false"/>
      <w:spacing w:lineRule="atLeast" w:line="240"/>
      <w:textAlignment w:val="baseline"/>
    </w:pPr>
    <w:rPr>
      <w:bCs/>
      <w:color w:val="000000"/>
      <w:spacing w:val="-5"/>
      <w:sz w:val="18"/>
      <w:lang w:eastAsia="ru-RU"/>
    </w:rPr>
  </w:style>
  <w:style w:type="paragraph" w:styleId="13127611" w:customStyle="1">
    <w:name w:val="Стиль 13 пт По ширине Первая строка:  127 см Перед:  6 пт1"/>
    <w:basedOn w:val="Normal"/>
    <w:autoRedefine/>
    <w:qFormat/>
    <w:rsid w:val="000b487d"/>
    <w:pPr>
      <w:snapToGrid w:val="false"/>
      <w:spacing w:before="120" w:after="0"/>
      <w:ind w:firstLine="709"/>
    </w:pPr>
    <w:rPr>
      <w:sz w:val="26"/>
      <w:szCs w:val="20"/>
      <w:lang w:eastAsia="ru-RU"/>
    </w:rPr>
  </w:style>
  <w:style w:type="paragraph" w:styleId="ConsPlusCell" w:customStyle="1">
    <w:name w:val="ConsPlusCell"/>
    <w:qFormat/>
    <w:rsid w:val="000b487d"/>
    <w:pPr>
      <w:widowControl w:val="false"/>
      <w:suppressAutoHyphens w:val="true"/>
      <w:bidi w:val="0"/>
      <w:spacing w:before="0" w:after="0"/>
      <w:jc w:val="left"/>
    </w:pPr>
    <w:rPr>
      <w:rFonts w:ascii="Courier New" w:hAnsi="Courier New" w:eastAsia="Times New Roman" w:cs="Courier New"/>
      <w:color w:val="auto"/>
      <w:kern w:val="0"/>
      <w:sz w:val="24"/>
      <w:szCs w:val="20"/>
      <w:lang w:val="ru-RU" w:eastAsia="ru-RU" w:bidi="ar-SA"/>
    </w:rPr>
  </w:style>
  <w:style w:type="paragraph" w:styleId="ConsPlusDocList" w:customStyle="1">
    <w:name w:val="ConsPlusDocList"/>
    <w:qFormat/>
    <w:rsid w:val="000b487d"/>
    <w:pPr>
      <w:widowControl w:val="false"/>
      <w:suppressAutoHyphens w:val="true"/>
      <w:bidi w:val="0"/>
      <w:spacing w:before="0" w:after="0"/>
      <w:jc w:val="left"/>
    </w:pPr>
    <w:rPr>
      <w:rFonts w:ascii="Courier New" w:hAnsi="Courier New" w:eastAsia="Times New Roman" w:cs="Courier New"/>
      <w:color w:val="auto"/>
      <w:kern w:val="0"/>
      <w:sz w:val="24"/>
      <w:szCs w:val="20"/>
      <w:lang w:val="ru-RU" w:eastAsia="ru-RU" w:bidi="ar-SA"/>
    </w:rPr>
  </w:style>
  <w:style w:type="paragraph" w:styleId="ConsPlusTitlePage" w:customStyle="1">
    <w:name w:val="ConsPlusTitlePage"/>
    <w:qFormat/>
    <w:rsid w:val="000b487d"/>
    <w:pPr>
      <w:widowControl w:val="false"/>
      <w:suppressAutoHyphens w:val="true"/>
      <w:bidi w:val="0"/>
      <w:spacing w:before="0" w:after="0"/>
      <w:jc w:val="left"/>
    </w:pPr>
    <w:rPr>
      <w:rFonts w:ascii="Tahoma" w:hAnsi="Tahoma" w:eastAsia="Times New Roman" w:cs="Tahoma"/>
      <w:color w:val="auto"/>
      <w:kern w:val="0"/>
      <w:sz w:val="24"/>
      <w:szCs w:val="20"/>
      <w:lang w:val="ru-RU" w:eastAsia="ru-RU" w:bidi="ar-SA"/>
    </w:rPr>
  </w:style>
  <w:style w:type="paragraph" w:styleId="ConsPlusJurTerm" w:customStyle="1">
    <w:name w:val="ConsPlusJurTerm"/>
    <w:qFormat/>
    <w:rsid w:val="000b487d"/>
    <w:pPr>
      <w:widowControl w:val="false"/>
      <w:suppressAutoHyphens w:val="true"/>
      <w:bidi w:val="0"/>
      <w:spacing w:before="0" w:after="0"/>
      <w:jc w:val="left"/>
    </w:pPr>
    <w:rPr>
      <w:rFonts w:ascii="Tahoma" w:hAnsi="Tahoma" w:eastAsia="Times New Roman" w:cs="Tahoma"/>
      <w:color w:val="auto"/>
      <w:kern w:val="0"/>
      <w:sz w:val="24"/>
      <w:szCs w:val="20"/>
      <w:lang w:val="ru-RU" w:eastAsia="ru-RU" w:bidi="ar-SA"/>
    </w:rPr>
  </w:style>
  <w:style w:type="paragraph" w:styleId="ConsPlusTextList" w:customStyle="1">
    <w:name w:val="ConsPlusTextList"/>
    <w:qFormat/>
    <w:rsid w:val="000b487d"/>
    <w:pPr>
      <w:widowControl w:val="false"/>
      <w:suppressAutoHyphens w:val="true"/>
      <w:bidi w:val="0"/>
      <w:spacing w:before="0" w:after="0"/>
      <w:jc w:val="left"/>
    </w:pPr>
    <w:rPr>
      <w:rFonts w:ascii="Arial" w:hAnsi="Arial" w:eastAsia="Times New Roman" w:cs="Arial"/>
      <w:color w:val="auto"/>
      <w:kern w:val="0"/>
      <w:sz w:val="24"/>
      <w:szCs w:val="20"/>
      <w:lang w:val="ru-RU" w:eastAsia="ru-RU" w:bidi="ar-SA"/>
    </w:rPr>
  </w:style>
  <w:style w:type="paragraph" w:styleId="Standard" w:customStyle="1">
    <w:name w:val="Standard"/>
    <w:qFormat/>
    <w:rsid w:val="000b487d"/>
    <w:pPr>
      <w:widowControl w:val="false"/>
      <w:suppressAutoHyphens w:val="true"/>
      <w:bidi w:val="0"/>
      <w:spacing w:before="0" w:after="0"/>
      <w:jc w:val="left"/>
      <w:textAlignment w:val="baseline"/>
    </w:pPr>
    <w:rPr>
      <w:rFonts w:ascii="Times New Roman" w:hAnsi="Times New Roman" w:eastAsia="Andale Sans UI" w:cs="Tahoma"/>
      <w:color w:val="auto"/>
      <w:kern w:val="2"/>
      <w:sz w:val="24"/>
      <w:szCs w:val="24"/>
      <w:lang w:val="de-DE" w:eastAsia="ja-JP" w:bidi="fa-IR"/>
    </w:rPr>
  </w:style>
  <w:style w:type="paragraph" w:styleId="Western" w:customStyle="1">
    <w:name w:val="western"/>
    <w:basedOn w:val="Normal"/>
    <w:qFormat/>
    <w:rsid w:val="000b487d"/>
    <w:pPr>
      <w:spacing w:beforeAutospacing="1" w:afterAutospacing="1"/>
    </w:pPr>
    <w:rPr>
      <w:lang w:eastAsia="ru-RU"/>
    </w:rPr>
  </w:style>
  <w:style w:type="paragraph" w:styleId="Bodytext4" w:customStyle="1">
    <w:name w:val="bodytext4"/>
    <w:basedOn w:val="Normal"/>
    <w:uiPriority w:val="99"/>
    <w:qFormat/>
    <w:rsid w:val="000b487d"/>
    <w:pPr>
      <w:spacing w:beforeAutospacing="1" w:after="150"/>
    </w:pPr>
    <w:rPr>
      <w:color w:val="949494"/>
      <w:lang w:eastAsia="ru-RU"/>
    </w:rPr>
  </w:style>
  <w:style w:type="paragraph" w:styleId="158" w:customStyle="1">
    <w:name w:val="Знак Знак Знак1 Знак Знак Знак"/>
    <w:basedOn w:val="Normal"/>
    <w:uiPriority w:val="99"/>
    <w:qFormat/>
    <w:rsid w:val="000b487d"/>
    <w:pPr/>
    <w:rPr>
      <w:rFonts w:ascii="Verdana" w:hAnsi="Verdana" w:cs="Verdana"/>
      <w:sz w:val="20"/>
      <w:szCs w:val="20"/>
      <w:lang w:val="en-US" w:eastAsia="ru-RU"/>
    </w:rPr>
  </w:style>
  <w:style w:type="paragraph" w:styleId="1118" w:customStyle="1">
    <w:name w:val="Знак Знак Знак1 Знак Знак Знак1"/>
    <w:basedOn w:val="Normal"/>
    <w:uiPriority w:val="99"/>
    <w:qFormat/>
    <w:rsid w:val="000b487d"/>
    <w:pPr/>
    <w:rPr>
      <w:rFonts w:ascii="Verdana" w:hAnsi="Verdana" w:cs="Verdana"/>
      <w:sz w:val="20"/>
      <w:szCs w:val="20"/>
      <w:lang w:val="en-US" w:eastAsia="ru-RU"/>
    </w:rPr>
  </w:style>
  <w:style w:type="paragraph" w:styleId="159" w:customStyle="1">
    <w:name w:val="Схема документа1"/>
    <w:basedOn w:val="Normal"/>
    <w:next w:val="DocumentMap"/>
    <w:uiPriority w:val="99"/>
    <w:semiHidden/>
    <w:unhideWhenUsed/>
    <w:qFormat/>
    <w:rsid w:val="000b487d"/>
    <w:pPr/>
    <w:rPr>
      <w:rFonts w:ascii="Tahoma" w:hAnsi="Tahoma"/>
      <w:sz w:val="16"/>
      <w:szCs w:val="16"/>
      <w:lang w:eastAsia="ru-RU"/>
    </w:rPr>
  </w:style>
  <w:style w:type="paragraph" w:styleId="160" w:customStyle="1">
    <w:name w:val="Заголовок оглавления1"/>
    <w:basedOn w:val="1113"/>
    <w:next w:val="Normal"/>
    <w:uiPriority w:val="39"/>
    <w:semiHidden/>
    <w:unhideWhenUsed/>
    <w:qFormat/>
    <w:rsid w:val="000b487d"/>
    <w:pPr>
      <w:keepLines/>
      <w:spacing w:before="480" w:after="240"/>
      <w:jc w:val="left"/>
    </w:pPr>
    <w:rPr>
      <w:rFonts w:eastAsia="Times New Roman"/>
      <w:b/>
      <w:bCs/>
      <w:color w:val="365F91"/>
      <w:spacing w:val="0"/>
      <w:szCs w:val="28"/>
      <w:lang w:eastAsia="ru-RU"/>
    </w:rPr>
  </w:style>
  <w:style w:type="paragraph" w:styleId="Xl60" w:customStyle="1">
    <w:name w:val="xl60"/>
    <w:basedOn w:val="Normal"/>
    <w:uiPriority w:val="99"/>
    <w:qFormat/>
    <w:rsid w:val="000b487d"/>
    <w:pPr>
      <w:pBdr>
        <w:top w:val="single" w:sz="4" w:space="0" w:color="000000"/>
        <w:left w:val="single" w:sz="4" w:space="0" w:color="000000"/>
        <w:bottom w:val="single" w:sz="4" w:space="0" w:color="000000"/>
        <w:right w:val="single" w:sz="4" w:space="0" w:color="000000"/>
      </w:pBdr>
      <w:shd w:val="clear" w:color="000000" w:fill="FFFFC0"/>
      <w:spacing w:beforeAutospacing="1" w:afterAutospacing="1"/>
      <w:jc w:val="center"/>
      <w:textAlignment w:val="center"/>
    </w:pPr>
    <w:rPr>
      <w:rFonts w:ascii="Arial" w:hAnsi="Arial" w:cs="Arial"/>
      <w:b/>
      <w:bCs/>
      <w:sz w:val="20"/>
      <w:szCs w:val="20"/>
      <w:lang w:eastAsia="ru-RU"/>
    </w:rPr>
  </w:style>
  <w:style w:type="paragraph" w:styleId="Xl61" w:customStyle="1">
    <w:name w:val="xl61"/>
    <w:basedOn w:val="Normal"/>
    <w:uiPriority w:val="99"/>
    <w:qFormat/>
    <w:rsid w:val="000b487d"/>
    <w:pPr>
      <w:pBdr>
        <w:top w:val="single" w:sz="4" w:space="0" w:color="000000"/>
        <w:left w:val="single" w:sz="4" w:space="0" w:color="000000"/>
        <w:bottom w:val="single" w:sz="4" w:space="0" w:color="000000"/>
        <w:right w:val="single" w:sz="4" w:space="0" w:color="000000"/>
      </w:pBdr>
      <w:spacing w:beforeAutospacing="1" w:afterAutospacing="1"/>
      <w:jc w:val="right"/>
    </w:pPr>
    <w:rPr>
      <w:lang w:eastAsia="ru-RU"/>
    </w:rPr>
  </w:style>
  <w:style w:type="paragraph" w:styleId="Xl62" w:customStyle="1">
    <w:name w:val="xl62"/>
    <w:basedOn w:val="Normal"/>
    <w:uiPriority w:val="99"/>
    <w:qFormat/>
    <w:rsid w:val="000b487d"/>
    <w:pPr>
      <w:pBdr>
        <w:top w:val="single" w:sz="4" w:space="0" w:color="000000"/>
        <w:left w:val="single" w:sz="4" w:space="0" w:color="000000"/>
        <w:bottom w:val="single" w:sz="4" w:space="0" w:color="000000"/>
        <w:right w:val="single" w:sz="4" w:space="0" w:color="000000"/>
      </w:pBdr>
      <w:spacing w:beforeAutospacing="1" w:afterAutospacing="1"/>
    </w:pPr>
    <w:rPr>
      <w:lang w:eastAsia="ru-RU"/>
    </w:rPr>
  </w:style>
  <w:style w:type="paragraph" w:styleId="Style127" w:customStyle="1">
    <w:name w:val="Стандартный"/>
    <w:basedOn w:val="Normal"/>
    <w:qFormat/>
    <w:rsid w:val="000b487d"/>
    <w:pPr>
      <w:ind w:firstLine="851"/>
    </w:pPr>
    <w:rPr>
      <w:sz w:val="26"/>
      <w:lang w:eastAsia="ar-SA"/>
    </w:rPr>
  </w:style>
  <w:style w:type="paragraph" w:styleId="163" w:customStyle="1">
    <w:name w:val="заголовок 1"/>
    <w:basedOn w:val="Normal"/>
    <w:next w:val="Normal"/>
    <w:qFormat/>
    <w:rsid w:val="000b487d"/>
    <w:pPr>
      <w:keepNext w:val="true"/>
    </w:pPr>
    <w:rPr>
      <w:szCs w:val="20"/>
      <w:lang w:eastAsia="ar-SA"/>
    </w:rPr>
  </w:style>
  <w:style w:type="paragraph" w:styleId="73" w:customStyle="1">
    <w:name w:val="Основной текст7"/>
    <w:basedOn w:val="Normal"/>
    <w:qFormat/>
    <w:rsid w:val="000b487d"/>
    <w:pPr>
      <w:widowControl w:val="false"/>
      <w:shd w:val="clear" w:color="auto" w:fill="FFFFFF"/>
      <w:spacing w:lineRule="exact" w:line="274" w:before="0" w:after="1920"/>
      <w:ind w:hanging="360"/>
      <w:jc w:val="right"/>
    </w:pPr>
    <w:rPr>
      <w:rFonts w:ascii="Arial Unicode MS" w:hAnsi="Arial Unicode MS" w:eastAsia="Arial Unicode MS"/>
      <w:sz w:val="23"/>
      <w:szCs w:val="23"/>
      <w:lang w:eastAsia="ru-RU"/>
    </w:rPr>
  </w:style>
  <w:style w:type="paragraph" w:styleId="292" w:customStyle="1">
    <w:name w:val="Основной текст (29)"/>
    <w:basedOn w:val="Normal"/>
    <w:uiPriority w:val="99"/>
    <w:qFormat/>
    <w:rsid w:val="000b487d"/>
    <w:pPr>
      <w:shd w:val="clear" w:color="auto" w:fill="FFFFFF"/>
      <w:spacing w:lineRule="atLeast" w:line="240"/>
    </w:pPr>
    <w:rPr>
      <w:rFonts w:ascii="Calibri" w:hAnsi="Calibri" w:eastAsia="Calibri" w:cs="Calibri"/>
      <w:sz w:val="19"/>
      <w:szCs w:val="19"/>
      <w:shd w:fill="FFFFFF" w:val="clear"/>
      <w:lang w:eastAsia="en-US"/>
    </w:rPr>
  </w:style>
  <w:style w:type="paragraph" w:styleId="Style128" w:customStyle="1">
    <w:name w:val="Колонтитул"/>
    <w:basedOn w:val="Normal"/>
    <w:qFormat/>
    <w:rsid w:val="000b487d"/>
    <w:pPr>
      <w:widowControl w:val="false"/>
      <w:shd w:val="clear" w:color="auto" w:fill="FFFFFF"/>
    </w:pPr>
    <w:rPr>
      <w:rFonts w:ascii="Arial Narrow" w:hAnsi="Arial Narrow" w:eastAsia="Arial Narrow" w:cs="Arial Narrow"/>
      <w:b/>
      <w:bCs/>
      <w:sz w:val="15"/>
      <w:szCs w:val="15"/>
      <w:lang w:eastAsia="en-US"/>
    </w:rPr>
  </w:style>
  <w:style w:type="paragraph" w:styleId="2114" w:customStyle="1">
    <w:name w:val="Абзац списка21"/>
    <w:basedOn w:val="Normal"/>
    <w:qFormat/>
    <w:rsid w:val="000b487d"/>
    <w:pPr>
      <w:widowControl w:val="false"/>
      <w:spacing w:before="120" w:after="120"/>
      <w:textAlignment w:val="baseline"/>
    </w:pPr>
    <w:rPr>
      <w:spacing w:val="-5"/>
      <w:sz w:val="28"/>
      <w:lang w:eastAsia="ru-RU"/>
    </w:rPr>
  </w:style>
  <w:style w:type="paragraph" w:styleId="56" w:customStyle="1">
    <w:name w:val="Абзац списка5"/>
    <w:basedOn w:val="Normal"/>
    <w:qFormat/>
    <w:rsid w:val="000b487d"/>
    <w:pPr>
      <w:widowControl w:val="false"/>
      <w:spacing w:before="120" w:after="120"/>
    </w:pPr>
    <w:rPr>
      <w:spacing w:val="-5"/>
      <w:sz w:val="28"/>
      <w:lang w:eastAsia="ru-RU"/>
    </w:rPr>
  </w:style>
  <w:style w:type="paragraph" w:styleId="3110" w:customStyle="1">
    <w:name w:val="Подпись к таблице (3)1"/>
    <w:basedOn w:val="Normal"/>
    <w:uiPriority w:val="99"/>
    <w:qFormat/>
    <w:rsid w:val="000b487d"/>
    <w:pPr>
      <w:shd w:val="clear" w:color="auto" w:fill="FFFFFF"/>
      <w:spacing w:lineRule="exact" w:line="274"/>
    </w:pPr>
    <w:rPr>
      <w:rFonts w:ascii="Calibri" w:hAnsi="Calibri" w:eastAsia="Calibri" w:cs="Calibri"/>
      <w:sz w:val="23"/>
      <w:szCs w:val="23"/>
      <w:shd w:fill="FFFFFF" w:val="clear"/>
      <w:lang w:eastAsia="en-US"/>
    </w:rPr>
  </w:style>
  <w:style w:type="paragraph" w:styleId="ListParagraph11" w:customStyle="1">
    <w:name w:val="List Paragraph1"/>
    <w:basedOn w:val="Normal"/>
    <w:qFormat/>
    <w:rsid w:val="000b487d"/>
    <w:pPr>
      <w:widowControl w:val="false"/>
    </w:pPr>
    <w:rPr>
      <w:rFonts w:ascii="Calibri" w:hAnsi="Calibri"/>
      <w:sz w:val="22"/>
      <w:lang w:val="en-US" w:eastAsia="ru-RU"/>
    </w:rPr>
  </w:style>
  <w:style w:type="paragraph" w:styleId="2410" w:customStyle="1">
    <w:name w:val="Основной текст (24)"/>
    <w:basedOn w:val="Normal"/>
    <w:qFormat/>
    <w:rsid w:val="000b487d"/>
    <w:pPr>
      <w:widowControl w:val="false"/>
      <w:shd w:val="clear" w:color="auto" w:fill="FFFFFF"/>
      <w:ind w:hanging="360"/>
    </w:pPr>
    <w:rPr>
      <w:rFonts w:ascii="Arial" w:hAnsi="Arial" w:eastAsia="Arial" w:cs="Arial"/>
      <w:b/>
      <w:bCs/>
      <w:sz w:val="23"/>
      <w:szCs w:val="23"/>
      <w:lang w:bidi="hi-IN"/>
    </w:rPr>
  </w:style>
  <w:style w:type="paragraph" w:styleId="65" w:customStyle="1">
    <w:name w:val="Основной текст (6)"/>
    <w:basedOn w:val="Normal"/>
    <w:qFormat/>
    <w:rsid w:val="000b487d"/>
    <w:pPr>
      <w:widowControl w:val="false"/>
      <w:shd w:val="clear" w:color="auto" w:fill="FFFFFF"/>
      <w:spacing w:lineRule="exact" w:line="274" w:before="480" w:after="360"/>
      <w:ind w:hanging="1140"/>
    </w:pPr>
    <w:rPr>
      <w:rFonts w:ascii="Arial" w:hAnsi="Arial" w:eastAsia="Arial" w:cs="Arial"/>
      <w:b/>
      <w:bCs/>
      <w:sz w:val="22"/>
      <w:szCs w:val="22"/>
      <w:lang w:eastAsia="en-US"/>
    </w:rPr>
  </w:style>
  <w:style w:type="paragraph" w:styleId="74" w:customStyle="1">
    <w:name w:val="Абзац списка7"/>
    <w:basedOn w:val="Normal"/>
    <w:qFormat/>
    <w:rsid w:val="000b487d"/>
    <w:pPr>
      <w:widowControl w:val="false"/>
      <w:spacing w:before="120" w:after="120"/>
      <w:textAlignment w:val="baseline"/>
    </w:pPr>
    <w:rPr>
      <w:spacing w:val="-5"/>
      <w:sz w:val="28"/>
      <w:lang w:eastAsia="ru-RU"/>
    </w:rPr>
  </w:style>
  <w:style w:type="paragraph" w:styleId="1119" w:customStyle="1">
    <w:name w:val="Абзац списка11"/>
    <w:basedOn w:val="Normal"/>
    <w:qFormat/>
    <w:rsid w:val="000b487d"/>
    <w:pPr>
      <w:widowControl w:val="false"/>
      <w:spacing w:before="120" w:after="120"/>
    </w:pPr>
    <w:rPr>
      <w:spacing w:val="-5"/>
      <w:sz w:val="28"/>
      <w:lang w:eastAsia="ru-RU"/>
    </w:rPr>
  </w:style>
  <w:style w:type="paragraph" w:styleId="66" w:customStyle="1">
    <w:name w:val="Абзац списка6"/>
    <w:basedOn w:val="Normal"/>
    <w:qFormat/>
    <w:rsid w:val="000b487d"/>
    <w:pPr>
      <w:widowControl w:val="false"/>
      <w:spacing w:before="120" w:after="120"/>
      <w:textAlignment w:val="baseline"/>
    </w:pPr>
    <w:rPr>
      <w:spacing w:val="-5"/>
      <w:sz w:val="28"/>
      <w:lang w:eastAsia="ru-RU"/>
    </w:rPr>
  </w:style>
  <w:style w:type="paragraph" w:styleId="84" w:customStyle="1">
    <w:name w:val="Абзац списка8"/>
    <w:basedOn w:val="Normal"/>
    <w:qFormat/>
    <w:rsid w:val="000b487d"/>
    <w:pPr>
      <w:widowControl w:val="false"/>
      <w:spacing w:before="120" w:after="120"/>
      <w:textAlignment w:val="baseline"/>
    </w:pPr>
    <w:rPr>
      <w:spacing w:val="-5"/>
      <w:sz w:val="28"/>
      <w:lang w:eastAsia="ru-RU"/>
    </w:rPr>
  </w:style>
  <w:style w:type="paragraph" w:styleId="251" w:customStyle="1">
    <w:name w:val="Название объекта2"/>
    <w:basedOn w:val="Normal"/>
    <w:next w:val="Normal"/>
    <w:qFormat/>
    <w:rsid w:val="000b487d"/>
    <w:pPr>
      <w:spacing w:before="0" w:after="200"/>
    </w:pPr>
    <w:rPr>
      <w:b/>
      <w:bCs/>
      <w:color w:val="4F81BD"/>
      <w:sz w:val="18"/>
      <w:szCs w:val="18"/>
    </w:rPr>
  </w:style>
  <w:style w:type="paragraph" w:styleId="164" w:customStyle="1">
    <w:name w:val="Заголовок таблицы ссылок1"/>
    <w:basedOn w:val="1113"/>
    <w:next w:val="Normal"/>
    <w:qFormat/>
    <w:rsid w:val="000b487d"/>
    <w:pPr>
      <w:keepLines/>
      <w:spacing w:before="480" w:after="240"/>
      <w:jc w:val="left"/>
    </w:pPr>
    <w:rPr>
      <w:rFonts w:eastAsia="Times New Roman"/>
      <w:b/>
      <w:bCs/>
      <w:spacing w:val="0"/>
      <w:szCs w:val="28"/>
    </w:rPr>
  </w:style>
  <w:style w:type="paragraph" w:styleId="Style129" w:customStyle="1">
    <w:name w:val="Выделение внутри заголовка"/>
    <w:basedOn w:val="Normal"/>
    <w:next w:val="Normal"/>
    <w:qFormat/>
    <w:rsid w:val="000b487d"/>
    <w:pPr>
      <w:spacing w:lineRule="auto" w:line="360" w:before="240" w:after="120"/>
      <w:ind w:firstLine="709"/>
    </w:pPr>
    <w:rPr>
      <w:b/>
      <w:sz w:val="26"/>
      <w:lang w:eastAsia="ru-RU"/>
    </w:rPr>
  </w:style>
  <w:style w:type="paragraph" w:styleId="Style130" w:customStyle="1">
    <w:name w:val="Список марк."/>
    <w:basedOn w:val="Normal"/>
    <w:autoRedefine/>
    <w:qFormat/>
    <w:rsid w:val="000b487d"/>
    <w:pPr>
      <w:widowControl w:val="false"/>
      <w:ind w:firstLine="709"/>
      <w:textAlignment w:val="baseline"/>
    </w:pPr>
    <w:rPr>
      <w:lang w:eastAsia="ru-RU"/>
    </w:rPr>
  </w:style>
  <w:style w:type="paragraph" w:styleId="Style131" w:customStyle="1">
    <w:name w:val="АТаблицы"/>
    <w:basedOn w:val="Caption"/>
    <w:qFormat/>
    <w:rsid w:val="000b487d"/>
    <w:pPr>
      <w:keepNext w:val="true"/>
      <w:widowControl w:val="false"/>
      <w:spacing w:lineRule="auto" w:line="276" w:before="240" w:after="0"/>
      <w:ind w:firstLine="567"/>
      <w:jc w:val="both"/>
      <w:textAlignment w:val="baseline"/>
    </w:pPr>
    <w:rPr>
      <w:rFonts w:ascii="Times New Roman" w:hAnsi="Times New Roman" w:eastAsia="Microsoft YaHei" w:cs="Times New Roman"/>
      <w:b/>
      <w:bCs/>
      <w:iCs w:val="false"/>
      <w:spacing w:val="-5"/>
      <w:lang w:eastAsia="ru-RU"/>
    </w:rPr>
  </w:style>
  <w:style w:type="paragraph" w:styleId="Preformat" w:customStyle="1">
    <w:name w:val="Preformat"/>
    <w:qFormat/>
    <w:rsid w:val="000b487d"/>
    <w:pPr>
      <w:widowControl/>
      <w:suppressAutoHyphens w:val="true"/>
      <w:bidi w:val="0"/>
      <w:spacing w:before="0" w:after="0"/>
      <w:jc w:val="left"/>
    </w:pPr>
    <w:rPr>
      <w:rFonts w:ascii="Courier New" w:hAnsi="Courier New" w:eastAsia="Times New Roman" w:cs="Times New Roman"/>
      <w:color w:val="auto"/>
      <w:kern w:val="0"/>
      <w:sz w:val="24"/>
      <w:szCs w:val="20"/>
      <w:lang w:val="ru-RU" w:eastAsia="ru-RU" w:bidi="ar-SA"/>
    </w:rPr>
  </w:style>
  <w:style w:type="paragraph" w:styleId="Style132" w:customStyle="1">
    <w:name w:val="Приложение"/>
    <w:basedOn w:val="Normal"/>
    <w:next w:val="Normal"/>
    <w:qFormat/>
    <w:rsid w:val="000b487d"/>
    <w:pPr>
      <w:ind w:firstLine="709"/>
      <w:jc w:val="center"/>
    </w:pPr>
    <w:rPr>
      <w:sz w:val="28"/>
      <w:szCs w:val="28"/>
      <w:lang w:eastAsia="ru-RU"/>
    </w:rPr>
  </w:style>
  <w:style w:type="paragraph" w:styleId="Style133" w:customStyle="1">
    <w:name w:val="Тело таблицы_Наименование"/>
    <w:basedOn w:val="Normal"/>
    <w:qFormat/>
    <w:rsid w:val="000b487d"/>
    <w:pPr>
      <w:spacing w:lineRule="auto" w:line="360" w:before="0" w:after="0"/>
      <w:contextualSpacing/>
    </w:pPr>
    <w:rPr>
      <w:rFonts w:cs="Arial"/>
      <w:sz w:val="16"/>
      <w:szCs w:val="16"/>
      <w:lang w:eastAsia="ru-RU"/>
    </w:rPr>
  </w:style>
  <w:style w:type="paragraph" w:styleId="ListNumber">
    <w:name w:val="List Number"/>
    <w:basedOn w:val="Normal"/>
    <w:unhideWhenUsed/>
    <w:qFormat/>
    <w:rsid w:val="000b487d"/>
    <w:pPr>
      <w:keepLines/>
      <w:spacing w:lineRule="exact" w:line="280"/>
      <w:ind w:firstLine="709"/>
    </w:pPr>
    <w:rPr>
      <w:rFonts w:ascii="Arial" w:hAnsi="Arial"/>
      <w:sz w:val="28"/>
      <w:szCs w:val="28"/>
      <w:lang w:eastAsia="ru-RU"/>
    </w:rPr>
  </w:style>
  <w:style w:type="paragraph" w:styleId="ListBullet3">
    <w:name w:val="List Bullet 3"/>
    <w:basedOn w:val="Normal"/>
    <w:uiPriority w:val="36"/>
    <w:unhideWhenUsed/>
    <w:qFormat/>
    <w:rsid w:val="000b487d"/>
    <w:pPr>
      <w:spacing w:before="0" w:after="0"/>
      <w:ind w:firstLine="720"/>
      <w:contextualSpacing/>
    </w:pPr>
    <w:rPr>
      <w:color w:val="000000"/>
      <w:sz w:val="28"/>
      <w:szCs w:val="28"/>
      <w:lang w:eastAsia="ru-RU"/>
    </w:rPr>
  </w:style>
  <w:style w:type="paragraph" w:styleId="ListBullet4">
    <w:name w:val="List Bullet 4"/>
    <w:basedOn w:val="Normal"/>
    <w:uiPriority w:val="36"/>
    <w:unhideWhenUsed/>
    <w:qFormat/>
    <w:rsid w:val="000b487d"/>
    <w:pPr>
      <w:spacing w:before="0" w:after="0"/>
      <w:ind w:firstLine="709"/>
      <w:contextualSpacing/>
    </w:pPr>
    <w:rPr>
      <w:rFonts w:ascii="Calibri" w:hAnsi="Calibri"/>
      <w:color w:val="000000"/>
      <w:sz w:val="20"/>
      <w:szCs w:val="20"/>
      <w:lang w:eastAsia="ru-RU"/>
    </w:rPr>
  </w:style>
  <w:style w:type="paragraph" w:styleId="ListBullet5">
    <w:name w:val="List Bullet 5"/>
    <w:basedOn w:val="Normal"/>
    <w:uiPriority w:val="36"/>
    <w:unhideWhenUsed/>
    <w:qFormat/>
    <w:rsid w:val="000b487d"/>
    <w:pPr>
      <w:spacing w:before="0" w:after="0"/>
      <w:ind w:left="720" w:firstLine="709"/>
      <w:contextualSpacing/>
    </w:pPr>
    <w:rPr>
      <w:rFonts w:ascii="Calibri" w:hAnsi="Calibri"/>
      <w:color w:val="000000"/>
      <w:sz w:val="20"/>
      <w:szCs w:val="20"/>
      <w:lang w:eastAsia="ru-RU"/>
    </w:rPr>
  </w:style>
  <w:style w:type="paragraph" w:styleId="ListNumber2">
    <w:name w:val="List Number 2"/>
    <w:basedOn w:val="Normal"/>
    <w:uiPriority w:val="99"/>
    <w:semiHidden/>
    <w:unhideWhenUsed/>
    <w:qFormat/>
    <w:rsid w:val="000b487d"/>
    <w:pPr>
      <w:spacing w:lineRule="auto" w:line="360" w:before="0" w:after="0"/>
      <w:ind w:firstLine="709"/>
      <w:contextualSpacing/>
    </w:pPr>
    <w:rPr>
      <w:rFonts w:ascii="Arial" w:hAnsi="Arial" w:cs="Arial"/>
      <w:sz w:val="28"/>
      <w:szCs w:val="28"/>
      <w:lang w:eastAsia="ru-RU"/>
    </w:rPr>
  </w:style>
  <w:style w:type="paragraph" w:styleId="BlockText">
    <w:name w:val="Block Text"/>
    <w:basedOn w:val="Normal"/>
    <w:uiPriority w:val="99"/>
    <w:semiHidden/>
    <w:unhideWhenUsed/>
    <w:qFormat/>
    <w:rsid w:val="000b487d"/>
    <w:pPr>
      <w:spacing w:lineRule="auto" w:line="360"/>
      <w:ind w:left="285" w:right="-165" w:hanging="0"/>
      <w:jc w:val="center"/>
    </w:pPr>
    <w:rPr>
      <w:b/>
      <w:i/>
      <w:sz w:val="32"/>
      <w:szCs w:val="28"/>
      <w:lang w:eastAsia="ru-RU"/>
    </w:rPr>
  </w:style>
  <w:style w:type="paragraph" w:styleId="Quote">
    <w:name w:val="Quote"/>
    <w:basedOn w:val="Normal"/>
    <w:next w:val="Normal"/>
    <w:uiPriority w:val="29"/>
    <w:qFormat/>
    <w:rsid w:val="000b487d"/>
    <w:pPr>
      <w:ind w:firstLine="709"/>
    </w:pPr>
    <w:rPr>
      <w:i/>
      <w:iCs/>
      <w:color w:val="000000"/>
      <w:sz w:val="28"/>
      <w:szCs w:val="28"/>
      <w:lang w:eastAsia="ru-RU"/>
    </w:rPr>
  </w:style>
  <w:style w:type="paragraph" w:styleId="Bibliography">
    <w:name w:val="Bibliography"/>
    <w:basedOn w:val="Normal"/>
    <w:next w:val="Normal"/>
    <w:uiPriority w:val="37"/>
    <w:semiHidden/>
    <w:unhideWhenUsed/>
    <w:qFormat/>
    <w:rsid w:val="000b487d"/>
    <w:pPr>
      <w:spacing w:lineRule="auto" w:line="360"/>
    </w:pPr>
    <w:rPr>
      <w:szCs w:val="28"/>
      <w:lang w:val="en-US" w:eastAsia="ru-RU"/>
    </w:rPr>
  </w:style>
  <w:style w:type="paragraph" w:styleId="Style134" w:customStyle="1">
    <w:name w:val="Номер страниц"/>
    <w:basedOn w:val="Normal"/>
    <w:next w:val="Normal"/>
    <w:autoRedefine/>
    <w:qFormat/>
    <w:rsid w:val="000b487d"/>
    <w:pPr>
      <w:ind w:firstLine="709"/>
      <w:jc w:val="center"/>
    </w:pPr>
    <w:rPr>
      <w:sz w:val="28"/>
      <w:szCs w:val="28"/>
      <w:lang w:eastAsia="ru-RU"/>
    </w:rPr>
  </w:style>
  <w:style w:type="paragraph" w:styleId="Style135" w:customStyle="1">
    <w:name w:val="Стиль таблица"/>
    <w:basedOn w:val="Normal"/>
    <w:qFormat/>
    <w:rsid w:val="000b487d"/>
    <w:pPr>
      <w:spacing w:lineRule="auto" w:line="360"/>
    </w:pPr>
    <w:rPr>
      <w:rFonts w:ascii="Calibri" w:hAnsi="Calibri" w:cs="Calibri"/>
      <w:color w:val="000000"/>
      <w:sz w:val="22"/>
      <w:szCs w:val="22"/>
      <w:lang w:eastAsia="en-US"/>
    </w:rPr>
  </w:style>
  <w:style w:type="paragraph" w:styleId="PVN" w:customStyle="1">
    <w:name w:val="Текст сноски_PVN"/>
    <w:basedOn w:val="Normal"/>
    <w:qFormat/>
    <w:rsid w:val="000b487d"/>
    <w:pPr>
      <w:ind w:firstLine="709"/>
    </w:pPr>
    <w:rPr>
      <w:sz w:val="18"/>
      <w:szCs w:val="28"/>
      <w:lang w:eastAsia="ru-RU"/>
    </w:rPr>
  </w:style>
  <w:style w:type="paragraph" w:styleId="Style136" w:customStyle="1">
    <w:name w:val="Тело таблицы_едины измерения"/>
    <w:basedOn w:val="Style133"/>
    <w:qFormat/>
    <w:rsid w:val="000b487d"/>
    <w:pPr>
      <w:jc w:val="center"/>
    </w:pPr>
    <w:rPr/>
  </w:style>
  <w:style w:type="paragraph" w:styleId="Style211" w:customStyle="1">
    <w:name w:val="Style2"/>
    <w:basedOn w:val="Normal"/>
    <w:uiPriority w:val="99"/>
    <w:qFormat/>
    <w:rsid w:val="000b487d"/>
    <w:pPr>
      <w:widowControl w:val="false"/>
    </w:pPr>
    <w:rPr>
      <w:lang w:eastAsia="ru-RU"/>
    </w:rPr>
  </w:style>
  <w:style w:type="paragraph" w:styleId="Style1110" w:customStyle="1">
    <w:name w:val="Style11"/>
    <w:basedOn w:val="Normal"/>
    <w:uiPriority w:val="99"/>
    <w:qFormat/>
    <w:rsid w:val="000b487d"/>
    <w:pPr>
      <w:widowControl w:val="false"/>
    </w:pPr>
    <w:rPr>
      <w:lang w:eastAsia="ru-RU"/>
    </w:rPr>
  </w:style>
  <w:style w:type="paragraph" w:styleId="Style410" w:customStyle="1">
    <w:name w:val="Style4"/>
    <w:basedOn w:val="Normal"/>
    <w:qFormat/>
    <w:rsid w:val="000b487d"/>
    <w:pPr>
      <w:widowControl w:val="false"/>
    </w:pPr>
    <w:rPr>
      <w:lang w:eastAsia="ru-RU"/>
    </w:rPr>
  </w:style>
  <w:style w:type="paragraph" w:styleId="Style610" w:customStyle="1">
    <w:name w:val="Style6"/>
    <w:basedOn w:val="Normal"/>
    <w:qFormat/>
    <w:rsid w:val="000b487d"/>
    <w:pPr>
      <w:widowControl w:val="false"/>
      <w:ind w:firstLine="709"/>
    </w:pPr>
    <w:rPr>
      <w:lang w:eastAsia="ru-RU"/>
    </w:rPr>
  </w:style>
  <w:style w:type="paragraph" w:styleId="Style910" w:customStyle="1">
    <w:name w:val="Style9"/>
    <w:basedOn w:val="Normal"/>
    <w:uiPriority w:val="99"/>
    <w:qFormat/>
    <w:rsid w:val="000b487d"/>
    <w:pPr>
      <w:widowControl w:val="false"/>
      <w:spacing w:lineRule="exact" w:line="197"/>
      <w:ind w:firstLine="709"/>
    </w:pPr>
    <w:rPr>
      <w:lang w:eastAsia="ru-RU"/>
    </w:rPr>
  </w:style>
  <w:style w:type="paragraph" w:styleId="Style1010" w:customStyle="1">
    <w:name w:val="Style10"/>
    <w:basedOn w:val="Normal"/>
    <w:uiPriority w:val="99"/>
    <w:qFormat/>
    <w:rsid w:val="000b487d"/>
    <w:pPr>
      <w:widowControl w:val="false"/>
      <w:spacing w:lineRule="exact" w:line="199"/>
      <w:ind w:firstLine="709"/>
      <w:jc w:val="center"/>
    </w:pPr>
    <w:rPr>
      <w:lang w:eastAsia="ru-RU"/>
    </w:rPr>
  </w:style>
  <w:style w:type="paragraph" w:styleId="Style137" w:customStyle="1">
    <w:name w:val="Style13"/>
    <w:basedOn w:val="Normal"/>
    <w:uiPriority w:val="99"/>
    <w:qFormat/>
    <w:rsid w:val="000b487d"/>
    <w:pPr>
      <w:widowControl w:val="false"/>
      <w:ind w:firstLine="709"/>
    </w:pPr>
    <w:rPr>
      <w:lang w:eastAsia="ru-RU"/>
    </w:rPr>
  </w:style>
  <w:style w:type="paragraph" w:styleId="Style141" w:customStyle="1">
    <w:name w:val="Style14"/>
    <w:basedOn w:val="Normal"/>
    <w:uiPriority w:val="99"/>
    <w:qFormat/>
    <w:rsid w:val="000b487d"/>
    <w:pPr>
      <w:widowControl w:val="false"/>
      <w:spacing w:lineRule="exact" w:line="192"/>
      <w:ind w:firstLine="709"/>
      <w:jc w:val="center"/>
    </w:pPr>
    <w:rPr>
      <w:lang w:eastAsia="ru-RU"/>
    </w:rPr>
  </w:style>
  <w:style w:type="paragraph" w:styleId="Style151" w:customStyle="1">
    <w:name w:val="Style15"/>
    <w:basedOn w:val="Normal"/>
    <w:uiPriority w:val="99"/>
    <w:qFormat/>
    <w:rsid w:val="000b487d"/>
    <w:pPr>
      <w:widowControl w:val="false"/>
      <w:spacing w:lineRule="exact" w:line="151"/>
      <w:ind w:firstLine="709"/>
      <w:jc w:val="center"/>
    </w:pPr>
    <w:rPr>
      <w:lang w:eastAsia="ru-RU"/>
    </w:rPr>
  </w:style>
  <w:style w:type="paragraph" w:styleId="Style1210" w:customStyle="1">
    <w:name w:val="Style12"/>
    <w:basedOn w:val="Normal"/>
    <w:uiPriority w:val="99"/>
    <w:qFormat/>
    <w:rsid w:val="000b487d"/>
    <w:pPr>
      <w:widowControl w:val="false"/>
      <w:ind w:firstLine="709"/>
    </w:pPr>
    <w:rPr>
      <w:lang w:eastAsia="ru-RU"/>
    </w:rPr>
  </w:style>
  <w:style w:type="paragraph" w:styleId="Style201" w:customStyle="1">
    <w:name w:val="Style20"/>
    <w:basedOn w:val="Normal"/>
    <w:uiPriority w:val="99"/>
    <w:qFormat/>
    <w:rsid w:val="000b487d"/>
    <w:pPr>
      <w:widowControl w:val="false"/>
      <w:spacing w:lineRule="exact" w:line="240"/>
      <w:ind w:firstLine="709"/>
    </w:pPr>
    <w:rPr>
      <w:lang w:eastAsia="ru-RU"/>
    </w:rPr>
  </w:style>
  <w:style w:type="paragraph" w:styleId="Style321" w:customStyle="1">
    <w:name w:val="Style32"/>
    <w:basedOn w:val="Normal"/>
    <w:uiPriority w:val="99"/>
    <w:qFormat/>
    <w:rsid w:val="000b487d"/>
    <w:pPr>
      <w:widowControl w:val="false"/>
      <w:ind w:firstLine="709"/>
      <w:jc w:val="right"/>
    </w:pPr>
    <w:rPr>
      <w:lang w:eastAsia="ru-RU"/>
    </w:rPr>
  </w:style>
  <w:style w:type="paragraph" w:styleId="Style421" w:customStyle="1">
    <w:name w:val="Style42"/>
    <w:basedOn w:val="Normal"/>
    <w:uiPriority w:val="99"/>
    <w:qFormat/>
    <w:rsid w:val="000b487d"/>
    <w:pPr>
      <w:widowControl w:val="false"/>
      <w:ind w:firstLine="709"/>
    </w:pPr>
    <w:rPr>
      <w:lang w:eastAsia="ru-RU"/>
    </w:rPr>
  </w:style>
  <w:style w:type="paragraph" w:styleId="Style431" w:customStyle="1">
    <w:name w:val="Style43"/>
    <w:basedOn w:val="Normal"/>
    <w:uiPriority w:val="99"/>
    <w:qFormat/>
    <w:rsid w:val="000b487d"/>
    <w:pPr>
      <w:widowControl w:val="false"/>
      <w:ind w:firstLine="709"/>
    </w:pPr>
    <w:rPr>
      <w:lang w:eastAsia="ru-RU"/>
    </w:rPr>
  </w:style>
  <w:style w:type="paragraph" w:styleId="Style261" w:customStyle="1">
    <w:name w:val="Style26"/>
    <w:basedOn w:val="Normal"/>
    <w:uiPriority w:val="99"/>
    <w:qFormat/>
    <w:rsid w:val="000b487d"/>
    <w:pPr>
      <w:widowControl w:val="false"/>
      <w:ind w:firstLine="709"/>
    </w:pPr>
    <w:rPr>
      <w:lang w:eastAsia="ru-RU"/>
    </w:rPr>
  </w:style>
  <w:style w:type="paragraph" w:styleId="Style611" w:customStyle="1">
    <w:name w:val="Style61"/>
    <w:basedOn w:val="Normal"/>
    <w:uiPriority w:val="99"/>
    <w:qFormat/>
    <w:rsid w:val="000b487d"/>
    <w:pPr>
      <w:widowControl w:val="false"/>
      <w:ind w:firstLine="709"/>
    </w:pPr>
    <w:rPr>
      <w:lang w:eastAsia="ru-RU"/>
    </w:rPr>
  </w:style>
  <w:style w:type="paragraph" w:styleId="Style621" w:customStyle="1">
    <w:name w:val="Style62"/>
    <w:basedOn w:val="Normal"/>
    <w:uiPriority w:val="99"/>
    <w:qFormat/>
    <w:rsid w:val="000b487d"/>
    <w:pPr>
      <w:widowControl w:val="false"/>
      <w:ind w:firstLine="709"/>
    </w:pPr>
    <w:rPr>
      <w:lang w:eastAsia="ru-RU"/>
    </w:rPr>
  </w:style>
  <w:style w:type="paragraph" w:styleId="Style631" w:customStyle="1">
    <w:name w:val="Style63"/>
    <w:basedOn w:val="Normal"/>
    <w:uiPriority w:val="99"/>
    <w:qFormat/>
    <w:rsid w:val="000b487d"/>
    <w:pPr>
      <w:widowControl w:val="false"/>
      <w:ind w:firstLine="709"/>
    </w:pPr>
    <w:rPr>
      <w:lang w:eastAsia="ru-RU"/>
    </w:rPr>
  </w:style>
  <w:style w:type="paragraph" w:styleId="Style661" w:customStyle="1">
    <w:name w:val="Style66"/>
    <w:basedOn w:val="Normal"/>
    <w:uiPriority w:val="99"/>
    <w:qFormat/>
    <w:rsid w:val="000b487d"/>
    <w:pPr>
      <w:widowControl w:val="false"/>
      <w:ind w:firstLine="709"/>
      <w:jc w:val="right"/>
    </w:pPr>
    <w:rPr>
      <w:lang w:eastAsia="ru-RU"/>
    </w:rPr>
  </w:style>
  <w:style w:type="paragraph" w:styleId="Style671" w:customStyle="1">
    <w:name w:val="Style67"/>
    <w:basedOn w:val="Normal"/>
    <w:uiPriority w:val="99"/>
    <w:qFormat/>
    <w:rsid w:val="000b487d"/>
    <w:pPr>
      <w:widowControl w:val="false"/>
      <w:ind w:firstLine="709"/>
    </w:pPr>
    <w:rPr>
      <w:lang w:eastAsia="ru-RU"/>
    </w:rPr>
  </w:style>
  <w:style w:type="paragraph" w:styleId="Style761" w:customStyle="1">
    <w:name w:val="Style76"/>
    <w:basedOn w:val="Normal"/>
    <w:uiPriority w:val="99"/>
    <w:qFormat/>
    <w:rsid w:val="000b487d"/>
    <w:pPr>
      <w:widowControl w:val="false"/>
      <w:ind w:firstLine="709"/>
    </w:pPr>
    <w:rPr>
      <w:lang w:eastAsia="ru-RU"/>
    </w:rPr>
  </w:style>
  <w:style w:type="paragraph" w:styleId="Style791" w:customStyle="1">
    <w:name w:val="Style79"/>
    <w:basedOn w:val="Normal"/>
    <w:uiPriority w:val="99"/>
    <w:qFormat/>
    <w:rsid w:val="000b487d"/>
    <w:pPr>
      <w:widowControl w:val="false"/>
      <w:spacing w:lineRule="exact" w:line="156"/>
      <w:ind w:firstLine="709"/>
      <w:jc w:val="center"/>
    </w:pPr>
    <w:rPr>
      <w:lang w:eastAsia="ru-RU"/>
    </w:rPr>
  </w:style>
  <w:style w:type="paragraph" w:styleId="Style841" w:customStyle="1">
    <w:name w:val="Style84"/>
    <w:basedOn w:val="Normal"/>
    <w:uiPriority w:val="99"/>
    <w:qFormat/>
    <w:rsid w:val="000b487d"/>
    <w:pPr>
      <w:widowControl w:val="false"/>
      <w:ind w:firstLine="709"/>
    </w:pPr>
    <w:rPr>
      <w:lang w:eastAsia="ru-RU"/>
    </w:rPr>
  </w:style>
  <w:style w:type="paragraph" w:styleId="Style861" w:customStyle="1">
    <w:name w:val="Style86"/>
    <w:basedOn w:val="Normal"/>
    <w:uiPriority w:val="99"/>
    <w:qFormat/>
    <w:rsid w:val="000b487d"/>
    <w:pPr>
      <w:widowControl w:val="false"/>
      <w:ind w:firstLine="709"/>
    </w:pPr>
    <w:rPr>
      <w:lang w:eastAsia="ru-RU"/>
    </w:rPr>
  </w:style>
  <w:style w:type="paragraph" w:styleId="Style821" w:customStyle="1">
    <w:name w:val="Style82"/>
    <w:basedOn w:val="Normal"/>
    <w:uiPriority w:val="99"/>
    <w:qFormat/>
    <w:rsid w:val="000b487d"/>
    <w:pPr>
      <w:widowControl w:val="false"/>
      <w:ind w:firstLine="709"/>
    </w:pPr>
    <w:rPr>
      <w:lang w:eastAsia="ru-RU"/>
    </w:rPr>
  </w:style>
  <w:style w:type="paragraph" w:styleId="Style601" w:customStyle="1">
    <w:name w:val="Style60"/>
    <w:basedOn w:val="Normal"/>
    <w:uiPriority w:val="99"/>
    <w:qFormat/>
    <w:rsid w:val="000b487d"/>
    <w:pPr>
      <w:widowControl w:val="false"/>
      <w:spacing w:lineRule="exact" w:line="250"/>
      <w:ind w:firstLine="396"/>
    </w:pPr>
    <w:rPr>
      <w:lang w:eastAsia="ru-RU"/>
    </w:rPr>
  </w:style>
  <w:style w:type="paragraph" w:styleId="Style751" w:customStyle="1">
    <w:name w:val="Style75"/>
    <w:basedOn w:val="Normal"/>
    <w:uiPriority w:val="99"/>
    <w:qFormat/>
    <w:rsid w:val="000b487d"/>
    <w:pPr>
      <w:widowControl w:val="false"/>
      <w:ind w:firstLine="709"/>
    </w:pPr>
    <w:rPr>
      <w:lang w:eastAsia="ru-RU"/>
    </w:rPr>
  </w:style>
  <w:style w:type="paragraph" w:styleId="Style711" w:customStyle="1">
    <w:name w:val="Style71"/>
    <w:basedOn w:val="Normal"/>
    <w:uiPriority w:val="99"/>
    <w:qFormat/>
    <w:rsid w:val="000b487d"/>
    <w:pPr>
      <w:widowControl w:val="false"/>
      <w:ind w:firstLine="709"/>
    </w:pPr>
    <w:rPr>
      <w:lang w:eastAsia="ru-RU"/>
    </w:rPr>
  </w:style>
  <w:style w:type="paragraph" w:styleId="Style461" w:customStyle="1">
    <w:name w:val="Style46"/>
    <w:basedOn w:val="Normal"/>
    <w:uiPriority w:val="99"/>
    <w:qFormat/>
    <w:rsid w:val="000b487d"/>
    <w:pPr>
      <w:widowControl w:val="false"/>
      <w:spacing w:lineRule="exact" w:line="151"/>
      <w:ind w:firstLine="389"/>
    </w:pPr>
    <w:rPr>
      <w:lang w:eastAsia="ru-RU"/>
    </w:rPr>
  </w:style>
  <w:style w:type="paragraph" w:styleId="Style281" w:customStyle="1">
    <w:name w:val="Style28"/>
    <w:basedOn w:val="Normal"/>
    <w:uiPriority w:val="99"/>
    <w:qFormat/>
    <w:rsid w:val="000b487d"/>
    <w:pPr>
      <w:widowControl w:val="false"/>
      <w:ind w:firstLine="709"/>
    </w:pPr>
    <w:rPr>
      <w:lang w:eastAsia="ru-RU"/>
    </w:rPr>
  </w:style>
  <w:style w:type="paragraph" w:styleId="Style931" w:customStyle="1">
    <w:name w:val="Style93"/>
    <w:basedOn w:val="Normal"/>
    <w:uiPriority w:val="99"/>
    <w:qFormat/>
    <w:rsid w:val="000b487d"/>
    <w:pPr>
      <w:widowControl w:val="false"/>
      <w:spacing w:lineRule="exact" w:line="151"/>
      <w:ind w:firstLine="113"/>
    </w:pPr>
    <w:rPr>
      <w:lang w:eastAsia="ru-RU"/>
    </w:rPr>
  </w:style>
  <w:style w:type="paragraph" w:styleId="Style951" w:customStyle="1">
    <w:name w:val="Style95"/>
    <w:basedOn w:val="Normal"/>
    <w:uiPriority w:val="99"/>
    <w:qFormat/>
    <w:rsid w:val="000b487d"/>
    <w:pPr>
      <w:widowControl w:val="false"/>
      <w:spacing w:lineRule="exact" w:line="206"/>
      <w:ind w:hanging="132"/>
    </w:pPr>
    <w:rPr>
      <w:lang w:eastAsia="ru-RU"/>
    </w:rPr>
  </w:style>
  <w:style w:type="paragraph" w:styleId="Style1031" w:customStyle="1">
    <w:name w:val="Style103"/>
    <w:basedOn w:val="Normal"/>
    <w:uiPriority w:val="99"/>
    <w:qFormat/>
    <w:rsid w:val="000b487d"/>
    <w:pPr>
      <w:widowControl w:val="false"/>
      <w:spacing w:lineRule="exact" w:line="206"/>
      <w:ind w:hanging="204"/>
    </w:pPr>
    <w:rPr>
      <w:lang w:eastAsia="ru-RU"/>
    </w:rPr>
  </w:style>
  <w:style w:type="paragraph" w:styleId="Style701" w:customStyle="1">
    <w:name w:val="Style70"/>
    <w:basedOn w:val="Normal"/>
    <w:uiPriority w:val="99"/>
    <w:qFormat/>
    <w:rsid w:val="000b487d"/>
    <w:pPr>
      <w:widowControl w:val="false"/>
      <w:spacing w:lineRule="exact" w:line="221"/>
      <w:ind w:hanging="235"/>
    </w:pPr>
    <w:rPr>
      <w:lang w:eastAsia="ru-RU"/>
    </w:rPr>
  </w:style>
  <w:style w:type="paragraph" w:styleId="Style741" w:customStyle="1">
    <w:name w:val="Style74"/>
    <w:basedOn w:val="Normal"/>
    <w:uiPriority w:val="99"/>
    <w:qFormat/>
    <w:rsid w:val="000b487d"/>
    <w:pPr>
      <w:widowControl w:val="false"/>
      <w:ind w:firstLine="709"/>
    </w:pPr>
    <w:rPr>
      <w:lang w:eastAsia="ru-RU"/>
    </w:rPr>
  </w:style>
  <w:style w:type="paragraph" w:styleId="Style941" w:customStyle="1">
    <w:name w:val="Style94"/>
    <w:basedOn w:val="Normal"/>
    <w:uiPriority w:val="99"/>
    <w:qFormat/>
    <w:rsid w:val="000b487d"/>
    <w:pPr>
      <w:widowControl w:val="false"/>
      <w:spacing w:lineRule="exact" w:line="228"/>
      <w:ind w:firstLine="709"/>
      <w:jc w:val="center"/>
    </w:pPr>
    <w:rPr>
      <w:lang w:eastAsia="ru-RU"/>
    </w:rPr>
  </w:style>
  <w:style w:type="paragraph" w:styleId="Style591" w:customStyle="1">
    <w:name w:val="Style59"/>
    <w:basedOn w:val="Normal"/>
    <w:uiPriority w:val="99"/>
    <w:qFormat/>
    <w:rsid w:val="000b487d"/>
    <w:pPr>
      <w:widowControl w:val="false"/>
      <w:ind w:firstLine="709"/>
    </w:pPr>
    <w:rPr>
      <w:lang w:eastAsia="ru-RU"/>
    </w:rPr>
  </w:style>
  <w:style w:type="paragraph" w:styleId="Style561" w:customStyle="1">
    <w:name w:val="Style56"/>
    <w:basedOn w:val="Normal"/>
    <w:uiPriority w:val="99"/>
    <w:qFormat/>
    <w:rsid w:val="000b487d"/>
    <w:pPr>
      <w:widowControl w:val="false"/>
      <w:ind w:firstLine="709"/>
    </w:pPr>
    <w:rPr>
      <w:lang w:eastAsia="ru-RU"/>
    </w:rPr>
  </w:style>
  <w:style w:type="paragraph" w:styleId="Style401" w:customStyle="1">
    <w:name w:val="Style40"/>
    <w:basedOn w:val="Normal"/>
    <w:uiPriority w:val="99"/>
    <w:qFormat/>
    <w:rsid w:val="000b487d"/>
    <w:pPr>
      <w:widowControl w:val="false"/>
      <w:ind w:firstLine="709"/>
    </w:pPr>
    <w:rPr>
      <w:lang w:eastAsia="ru-RU"/>
    </w:rPr>
  </w:style>
  <w:style w:type="paragraph" w:styleId="Style721" w:customStyle="1">
    <w:name w:val="Style72"/>
    <w:basedOn w:val="Normal"/>
    <w:uiPriority w:val="99"/>
    <w:qFormat/>
    <w:rsid w:val="000b487d"/>
    <w:pPr>
      <w:widowControl w:val="false"/>
      <w:ind w:firstLine="709"/>
    </w:pPr>
    <w:rPr>
      <w:lang w:eastAsia="ru-RU"/>
    </w:rPr>
  </w:style>
  <w:style w:type="paragraph" w:styleId="Style491" w:customStyle="1">
    <w:name w:val="Style49"/>
    <w:basedOn w:val="Normal"/>
    <w:uiPriority w:val="99"/>
    <w:qFormat/>
    <w:rsid w:val="000b487d"/>
    <w:pPr>
      <w:widowControl w:val="false"/>
      <w:spacing w:lineRule="exact" w:line="322"/>
      <w:ind w:firstLine="4178"/>
    </w:pPr>
    <w:rPr>
      <w:lang w:eastAsia="ru-RU"/>
    </w:rPr>
  </w:style>
  <w:style w:type="paragraph" w:styleId="Style161" w:customStyle="1">
    <w:name w:val="Style16"/>
    <w:basedOn w:val="Normal"/>
    <w:uiPriority w:val="99"/>
    <w:qFormat/>
    <w:rsid w:val="000b487d"/>
    <w:pPr>
      <w:widowControl w:val="false"/>
      <w:ind w:firstLine="709"/>
    </w:pPr>
    <w:rPr>
      <w:lang w:eastAsia="ru-RU"/>
    </w:rPr>
  </w:style>
  <w:style w:type="paragraph" w:styleId="Style251" w:customStyle="1">
    <w:name w:val="Style25"/>
    <w:basedOn w:val="Normal"/>
    <w:uiPriority w:val="99"/>
    <w:qFormat/>
    <w:rsid w:val="000b487d"/>
    <w:pPr>
      <w:widowControl w:val="false"/>
      <w:ind w:firstLine="709"/>
    </w:pPr>
    <w:rPr>
      <w:lang w:eastAsia="ru-RU"/>
    </w:rPr>
  </w:style>
  <w:style w:type="paragraph" w:styleId="Style301" w:customStyle="1">
    <w:name w:val="Style30"/>
    <w:basedOn w:val="Normal"/>
    <w:uiPriority w:val="99"/>
    <w:qFormat/>
    <w:rsid w:val="000b487d"/>
    <w:pPr>
      <w:widowControl w:val="false"/>
      <w:ind w:firstLine="709"/>
    </w:pPr>
    <w:rPr>
      <w:lang w:eastAsia="ru-RU"/>
    </w:rPr>
  </w:style>
  <w:style w:type="paragraph" w:styleId="Style212" w:customStyle="1">
    <w:name w:val="Style21"/>
    <w:basedOn w:val="Normal"/>
    <w:uiPriority w:val="99"/>
    <w:qFormat/>
    <w:rsid w:val="000b487d"/>
    <w:pPr>
      <w:widowControl w:val="false"/>
      <w:ind w:firstLine="709"/>
    </w:pPr>
    <w:rPr>
      <w:lang w:eastAsia="ru-RU"/>
    </w:rPr>
  </w:style>
  <w:style w:type="paragraph" w:styleId="Style221" w:customStyle="1">
    <w:name w:val="Style22"/>
    <w:basedOn w:val="Normal"/>
    <w:uiPriority w:val="99"/>
    <w:qFormat/>
    <w:rsid w:val="000b487d"/>
    <w:pPr>
      <w:widowControl w:val="false"/>
      <w:ind w:firstLine="709"/>
    </w:pPr>
    <w:rPr>
      <w:lang w:eastAsia="ru-RU"/>
    </w:rPr>
  </w:style>
  <w:style w:type="paragraph" w:styleId="Style271" w:customStyle="1">
    <w:name w:val="Style27"/>
    <w:basedOn w:val="Normal"/>
    <w:uiPriority w:val="99"/>
    <w:qFormat/>
    <w:rsid w:val="000b487d"/>
    <w:pPr>
      <w:widowControl w:val="false"/>
      <w:ind w:firstLine="709"/>
    </w:pPr>
    <w:rPr>
      <w:lang w:eastAsia="ru-RU"/>
    </w:rPr>
  </w:style>
  <w:style w:type="paragraph" w:styleId="Style681" w:customStyle="1">
    <w:name w:val="Style68"/>
    <w:basedOn w:val="Normal"/>
    <w:uiPriority w:val="99"/>
    <w:qFormat/>
    <w:rsid w:val="000b487d"/>
    <w:pPr>
      <w:widowControl w:val="false"/>
      <w:ind w:firstLine="709"/>
    </w:pPr>
    <w:rPr>
      <w:lang w:eastAsia="ru-RU"/>
    </w:rPr>
  </w:style>
  <w:style w:type="paragraph" w:styleId="Style691" w:customStyle="1">
    <w:name w:val="Style69"/>
    <w:basedOn w:val="Normal"/>
    <w:uiPriority w:val="99"/>
    <w:qFormat/>
    <w:rsid w:val="000b487d"/>
    <w:pPr>
      <w:widowControl w:val="false"/>
      <w:spacing w:lineRule="exact" w:line="91"/>
      <w:ind w:firstLine="709"/>
      <w:jc w:val="right"/>
    </w:pPr>
    <w:rPr>
      <w:lang w:eastAsia="ru-RU"/>
    </w:rPr>
  </w:style>
  <w:style w:type="paragraph" w:styleId="Style731" w:customStyle="1">
    <w:name w:val="Style73"/>
    <w:basedOn w:val="Normal"/>
    <w:uiPriority w:val="99"/>
    <w:qFormat/>
    <w:rsid w:val="000b487d"/>
    <w:pPr>
      <w:widowControl w:val="false"/>
      <w:ind w:firstLine="709"/>
    </w:pPr>
    <w:rPr>
      <w:lang w:eastAsia="ru-RU"/>
    </w:rPr>
  </w:style>
  <w:style w:type="paragraph" w:styleId="Style851" w:customStyle="1">
    <w:name w:val="Style85"/>
    <w:basedOn w:val="Normal"/>
    <w:uiPriority w:val="99"/>
    <w:qFormat/>
    <w:rsid w:val="000b487d"/>
    <w:pPr>
      <w:widowControl w:val="false"/>
      <w:ind w:firstLine="709"/>
    </w:pPr>
    <w:rPr>
      <w:lang w:eastAsia="ru-RU"/>
    </w:rPr>
  </w:style>
  <w:style w:type="paragraph" w:styleId="Style521" w:customStyle="1">
    <w:name w:val="Style52"/>
    <w:basedOn w:val="Normal"/>
    <w:uiPriority w:val="99"/>
    <w:qFormat/>
    <w:rsid w:val="000b487d"/>
    <w:pPr>
      <w:widowControl w:val="false"/>
      <w:ind w:firstLine="709"/>
    </w:pPr>
    <w:rPr>
      <w:lang w:eastAsia="ru-RU"/>
    </w:rPr>
  </w:style>
  <w:style w:type="paragraph" w:styleId="Style451" w:customStyle="1">
    <w:name w:val="Style45"/>
    <w:basedOn w:val="Normal"/>
    <w:uiPriority w:val="99"/>
    <w:qFormat/>
    <w:rsid w:val="000b487d"/>
    <w:pPr>
      <w:widowControl w:val="false"/>
      <w:ind w:firstLine="709"/>
    </w:pPr>
    <w:rPr>
      <w:lang w:eastAsia="ru-RU"/>
    </w:rPr>
  </w:style>
  <w:style w:type="paragraph" w:styleId="Style981" w:customStyle="1">
    <w:name w:val="Style98"/>
    <w:basedOn w:val="Normal"/>
    <w:uiPriority w:val="99"/>
    <w:qFormat/>
    <w:rsid w:val="000b487d"/>
    <w:pPr>
      <w:widowControl w:val="false"/>
      <w:ind w:firstLine="709"/>
    </w:pPr>
    <w:rPr>
      <w:lang w:eastAsia="ru-RU"/>
    </w:rPr>
  </w:style>
  <w:style w:type="paragraph" w:styleId="Style891" w:customStyle="1">
    <w:name w:val="Style89"/>
    <w:basedOn w:val="Normal"/>
    <w:uiPriority w:val="99"/>
    <w:qFormat/>
    <w:rsid w:val="000b487d"/>
    <w:pPr>
      <w:widowControl w:val="false"/>
      <w:spacing w:lineRule="exact" w:line="218"/>
      <w:ind w:hanging="2686"/>
    </w:pPr>
    <w:rPr>
      <w:lang w:eastAsia="ru-RU"/>
    </w:rPr>
  </w:style>
  <w:style w:type="paragraph" w:styleId="Style371" w:customStyle="1">
    <w:name w:val="Style37"/>
    <w:basedOn w:val="Normal"/>
    <w:uiPriority w:val="99"/>
    <w:qFormat/>
    <w:rsid w:val="000b487d"/>
    <w:pPr>
      <w:widowControl w:val="false"/>
      <w:ind w:firstLine="709"/>
    </w:pPr>
    <w:rPr>
      <w:lang w:eastAsia="ru-RU"/>
    </w:rPr>
  </w:style>
  <w:style w:type="paragraph" w:styleId="Style191" w:customStyle="1">
    <w:name w:val="Style19"/>
    <w:basedOn w:val="Normal"/>
    <w:uiPriority w:val="99"/>
    <w:qFormat/>
    <w:rsid w:val="000b487d"/>
    <w:pPr>
      <w:widowControl w:val="false"/>
      <w:ind w:firstLine="709"/>
    </w:pPr>
    <w:rPr>
      <w:lang w:eastAsia="ru-RU"/>
    </w:rPr>
  </w:style>
  <w:style w:type="paragraph" w:styleId="Style331" w:customStyle="1">
    <w:name w:val="Style33"/>
    <w:basedOn w:val="Normal"/>
    <w:uiPriority w:val="99"/>
    <w:qFormat/>
    <w:rsid w:val="000b487d"/>
    <w:pPr>
      <w:widowControl w:val="false"/>
      <w:ind w:firstLine="709"/>
    </w:pPr>
    <w:rPr>
      <w:lang w:eastAsia="ru-RU"/>
    </w:rPr>
  </w:style>
  <w:style w:type="paragraph" w:styleId="Style351" w:customStyle="1">
    <w:name w:val="Style35"/>
    <w:basedOn w:val="Normal"/>
    <w:uiPriority w:val="99"/>
    <w:qFormat/>
    <w:rsid w:val="000b487d"/>
    <w:pPr>
      <w:widowControl w:val="false"/>
      <w:ind w:firstLine="709"/>
    </w:pPr>
    <w:rPr>
      <w:lang w:eastAsia="ru-RU"/>
    </w:rPr>
  </w:style>
  <w:style w:type="paragraph" w:styleId="Style361" w:customStyle="1">
    <w:name w:val="Style36"/>
    <w:basedOn w:val="Normal"/>
    <w:uiPriority w:val="99"/>
    <w:qFormat/>
    <w:rsid w:val="000b487d"/>
    <w:pPr>
      <w:widowControl w:val="false"/>
      <w:ind w:firstLine="709"/>
    </w:pPr>
    <w:rPr>
      <w:lang w:eastAsia="ru-RU"/>
    </w:rPr>
  </w:style>
  <w:style w:type="paragraph" w:styleId="Style391" w:customStyle="1">
    <w:name w:val="Style39"/>
    <w:basedOn w:val="Normal"/>
    <w:uiPriority w:val="99"/>
    <w:qFormat/>
    <w:rsid w:val="000b487d"/>
    <w:pPr>
      <w:widowControl w:val="false"/>
      <w:ind w:firstLine="709"/>
    </w:pPr>
    <w:rPr>
      <w:lang w:eastAsia="ru-RU"/>
    </w:rPr>
  </w:style>
  <w:style w:type="paragraph" w:styleId="Style411" w:customStyle="1">
    <w:name w:val="Style41"/>
    <w:basedOn w:val="Normal"/>
    <w:uiPriority w:val="99"/>
    <w:qFormat/>
    <w:rsid w:val="000b487d"/>
    <w:pPr>
      <w:widowControl w:val="false"/>
      <w:ind w:firstLine="709"/>
    </w:pPr>
    <w:rPr>
      <w:lang w:eastAsia="ru-RU"/>
    </w:rPr>
  </w:style>
  <w:style w:type="paragraph" w:styleId="Style501" w:customStyle="1">
    <w:name w:val="Style50"/>
    <w:basedOn w:val="Normal"/>
    <w:uiPriority w:val="99"/>
    <w:qFormat/>
    <w:rsid w:val="000b487d"/>
    <w:pPr>
      <w:widowControl w:val="false"/>
      <w:ind w:firstLine="709"/>
    </w:pPr>
    <w:rPr>
      <w:lang w:eastAsia="ru-RU"/>
    </w:rPr>
  </w:style>
  <w:style w:type="paragraph" w:styleId="Style511" w:customStyle="1">
    <w:name w:val="Style51"/>
    <w:basedOn w:val="Normal"/>
    <w:uiPriority w:val="99"/>
    <w:qFormat/>
    <w:rsid w:val="000b487d"/>
    <w:pPr>
      <w:widowControl w:val="false"/>
      <w:ind w:firstLine="709"/>
    </w:pPr>
    <w:rPr>
      <w:lang w:eastAsia="ru-RU"/>
    </w:rPr>
  </w:style>
  <w:style w:type="paragraph" w:styleId="Style531" w:customStyle="1">
    <w:name w:val="Style53"/>
    <w:basedOn w:val="Normal"/>
    <w:uiPriority w:val="99"/>
    <w:qFormat/>
    <w:rsid w:val="000b487d"/>
    <w:pPr>
      <w:widowControl w:val="false"/>
      <w:ind w:firstLine="709"/>
    </w:pPr>
    <w:rPr>
      <w:lang w:eastAsia="ru-RU"/>
    </w:rPr>
  </w:style>
  <w:style w:type="paragraph" w:styleId="Style651" w:customStyle="1">
    <w:name w:val="Style65"/>
    <w:basedOn w:val="Normal"/>
    <w:uiPriority w:val="99"/>
    <w:qFormat/>
    <w:rsid w:val="000b487d"/>
    <w:pPr>
      <w:widowControl w:val="false"/>
      <w:ind w:firstLine="709"/>
    </w:pPr>
    <w:rPr>
      <w:lang w:eastAsia="ru-RU"/>
    </w:rPr>
  </w:style>
  <w:style w:type="paragraph" w:styleId="Style801" w:customStyle="1">
    <w:name w:val="Style80"/>
    <w:basedOn w:val="Normal"/>
    <w:uiPriority w:val="99"/>
    <w:qFormat/>
    <w:rsid w:val="000b487d"/>
    <w:pPr>
      <w:widowControl w:val="false"/>
      <w:ind w:firstLine="709"/>
    </w:pPr>
    <w:rPr>
      <w:lang w:eastAsia="ru-RU"/>
    </w:rPr>
  </w:style>
  <w:style w:type="paragraph" w:styleId="Style831" w:customStyle="1">
    <w:name w:val="Style83"/>
    <w:basedOn w:val="Normal"/>
    <w:uiPriority w:val="99"/>
    <w:qFormat/>
    <w:rsid w:val="000b487d"/>
    <w:pPr>
      <w:widowControl w:val="false"/>
      <w:ind w:firstLine="709"/>
    </w:pPr>
    <w:rPr>
      <w:lang w:eastAsia="ru-RU"/>
    </w:rPr>
  </w:style>
  <w:style w:type="paragraph" w:styleId="Style901" w:customStyle="1">
    <w:name w:val="Style90"/>
    <w:basedOn w:val="Normal"/>
    <w:uiPriority w:val="99"/>
    <w:qFormat/>
    <w:rsid w:val="000b487d"/>
    <w:pPr>
      <w:widowControl w:val="false"/>
      <w:ind w:firstLine="709"/>
    </w:pPr>
    <w:rPr>
      <w:lang w:eastAsia="ru-RU"/>
    </w:rPr>
  </w:style>
  <w:style w:type="paragraph" w:styleId="Style1011" w:customStyle="1">
    <w:name w:val="Style101"/>
    <w:basedOn w:val="Normal"/>
    <w:uiPriority w:val="99"/>
    <w:qFormat/>
    <w:rsid w:val="000b487d"/>
    <w:pPr>
      <w:widowControl w:val="false"/>
      <w:ind w:firstLine="709"/>
    </w:pPr>
    <w:rPr>
      <w:lang w:eastAsia="ru-RU"/>
    </w:rPr>
  </w:style>
  <w:style w:type="paragraph" w:styleId="Style241" w:customStyle="1">
    <w:name w:val="Style24"/>
    <w:basedOn w:val="Normal"/>
    <w:uiPriority w:val="99"/>
    <w:qFormat/>
    <w:rsid w:val="000b487d"/>
    <w:pPr>
      <w:widowControl w:val="false"/>
      <w:ind w:firstLine="709"/>
    </w:pPr>
    <w:rPr>
      <w:lang w:eastAsia="ru-RU"/>
    </w:rPr>
  </w:style>
  <w:style w:type="paragraph" w:styleId="Style311" w:customStyle="1">
    <w:name w:val="Style31"/>
    <w:basedOn w:val="Normal"/>
    <w:uiPriority w:val="99"/>
    <w:qFormat/>
    <w:rsid w:val="000b487d"/>
    <w:pPr>
      <w:widowControl w:val="false"/>
      <w:spacing w:lineRule="exact" w:line="235"/>
      <w:ind w:hanging="984"/>
    </w:pPr>
    <w:rPr>
      <w:lang w:eastAsia="ru-RU"/>
    </w:rPr>
  </w:style>
  <w:style w:type="paragraph" w:styleId="Style341" w:customStyle="1">
    <w:name w:val="Style34"/>
    <w:basedOn w:val="Normal"/>
    <w:uiPriority w:val="99"/>
    <w:qFormat/>
    <w:rsid w:val="000b487d"/>
    <w:pPr>
      <w:widowControl w:val="false"/>
      <w:spacing w:lineRule="exact" w:line="266"/>
      <w:ind w:firstLine="403"/>
    </w:pPr>
    <w:rPr>
      <w:lang w:eastAsia="ru-RU"/>
    </w:rPr>
  </w:style>
  <w:style w:type="paragraph" w:styleId="Style231" w:customStyle="1">
    <w:name w:val="Style23"/>
    <w:basedOn w:val="Normal"/>
    <w:uiPriority w:val="99"/>
    <w:qFormat/>
    <w:rsid w:val="000b487d"/>
    <w:pPr>
      <w:widowControl w:val="false"/>
      <w:ind w:firstLine="709"/>
    </w:pPr>
    <w:rPr>
      <w:lang w:eastAsia="ru-RU"/>
    </w:rPr>
  </w:style>
  <w:style w:type="paragraph" w:styleId="Style911" w:customStyle="1">
    <w:name w:val="Style91"/>
    <w:basedOn w:val="Normal"/>
    <w:uiPriority w:val="99"/>
    <w:qFormat/>
    <w:rsid w:val="000b487d"/>
    <w:pPr>
      <w:widowControl w:val="false"/>
      <w:ind w:firstLine="709"/>
    </w:pPr>
    <w:rPr>
      <w:lang w:eastAsia="ru-RU"/>
    </w:rPr>
  </w:style>
  <w:style w:type="paragraph" w:styleId="Style291" w:customStyle="1">
    <w:name w:val="Style29"/>
    <w:basedOn w:val="Normal"/>
    <w:uiPriority w:val="99"/>
    <w:qFormat/>
    <w:rsid w:val="000b487d"/>
    <w:pPr>
      <w:widowControl w:val="false"/>
      <w:ind w:firstLine="709"/>
    </w:pPr>
    <w:rPr>
      <w:lang w:eastAsia="ru-RU"/>
    </w:rPr>
  </w:style>
  <w:style w:type="paragraph" w:styleId="Style481" w:customStyle="1">
    <w:name w:val="Style48"/>
    <w:basedOn w:val="Normal"/>
    <w:uiPriority w:val="99"/>
    <w:qFormat/>
    <w:rsid w:val="000b487d"/>
    <w:pPr>
      <w:widowControl w:val="false"/>
      <w:ind w:firstLine="709"/>
    </w:pPr>
    <w:rPr>
      <w:lang w:eastAsia="ru-RU"/>
    </w:rPr>
  </w:style>
  <w:style w:type="paragraph" w:styleId="Style771" w:customStyle="1">
    <w:name w:val="Style77"/>
    <w:basedOn w:val="Normal"/>
    <w:uiPriority w:val="99"/>
    <w:qFormat/>
    <w:rsid w:val="000b487d"/>
    <w:pPr>
      <w:widowControl w:val="false"/>
      <w:ind w:firstLine="709"/>
    </w:pPr>
    <w:rPr>
      <w:lang w:eastAsia="ru-RU"/>
    </w:rPr>
  </w:style>
  <w:style w:type="paragraph" w:styleId="Style921" w:customStyle="1">
    <w:name w:val="Style92"/>
    <w:basedOn w:val="Normal"/>
    <w:uiPriority w:val="99"/>
    <w:qFormat/>
    <w:rsid w:val="000b487d"/>
    <w:pPr>
      <w:widowControl w:val="false"/>
      <w:spacing w:lineRule="exact" w:line="244"/>
      <w:ind w:firstLine="709"/>
      <w:jc w:val="right"/>
    </w:pPr>
    <w:rPr>
      <w:lang w:eastAsia="ru-RU"/>
    </w:rPr>
  </w:style>
  <w:style w:type="paragraph" w:styleId="Style441" w:customStyle="1">
    <w:name w:val="Style44"/>
    <w:basedOn w:val="Normal"/>
    <w:uiPriority w:val="99"/>
    <w:qFormat/>
    <w:rsid w:val="000b487d"/>
    <w:pPr>
      <w:widowControl w:val="false"/>
      <w:ind w:firstLine="709"/>
    </w:pPr>
    <w:rPr>
      <w:lang w:eastAsia="ru-RU"/>
    </w:rPr>
  </w:style>
  <w:style w:type="paragraph" w:styleId="Style471" w:customStyle="1">
    <w:name w:val="Style47"/>
    <w:basedOn w:val="Normal"/>
    <w:uiPriority w:val="99"/>
    <w:qFormat/>
    <w:rsid w:val="000b487d"/>
    <w:pPr>
      <w:widowControl w:val="false"/>
      <w:ind w:firstLine="709"/>
    </w:pPr>
    <w:rPr>
      <w:lang w:eastAsia="ru-RU"/>
    </w:rPr>
  </w:style>
  <w:style w:type="paragraph" w:styleId="Style811" w:customStyle="1">
    <w:name w:val="Style81"/>
    <w:basedOn w:val="Normal"/>
    <w:uiPriority w:val="99"/>
    <w:qFormat/>
    <w:rsid w:val="000b487d"/>
    <w:pPr>
      <w:widowControl w:val="false"/>
      <w:spacing w:lineRule="exact" w:line="146"/>
      <w:ind w:hanging="46"/>
    </w:pPr>
    <w:rPr>
      <w:lang w:eastAsia="ru-RU"/>
    </w:rPr>
  </w:style>
  <w:style w:type="paragraph" w:styleId="Style971" w:customStyle="1">
    <w:name w:val="Style97"/>
    <w:basedOn w:val="Normal"/>
    <w:uiPriority w:val="99"/>
    <w:qFormat/>
    <w:rsid w:val="000b487d"/>
    <w:pPr>
      <w:widowControl w:val="false"/>
      <w:ind w:firstLine="709"/>
    </w:pPr>
    <w:rPr>
      <w:lang w:eastAsia="ru-RU"/>
    </w:rPr>
  </w:style>
  <w:style w:type="paragraph" w:styleId="Style1021" w:customStyle="1">
    <w:name w:val="Style102"/>
    <w:basedOn w:val="Normal"/>
    <w:uiPriority w:val="99"/>
    <w:qFormat/>
    <w:rsid w:val="000b487d"/>
    <w:pPr>
      <w:widowControl w:val="false"/>
      <w:ind w:firstLine="709"/>
    </w:pPr>
    <w:rPr>
      <w:lang w:eastAsia="ru-RU"/>
    </w:rPr>
  </w:style>
  <w:style w:type="paragraph" w:styleId="Style138" w:customStyle="1">
    <w:name w:val="Обычный (таблица)"/>
    <w:basedOn w:val="Normal"/>
    <w:qFormat/>
    <w:rsid w:val="000b487d"/>
    <w:pPr>
      <w:ind w:firstLine="709"/>
    </w:pPr>
    <w:rPr>
      <w:rFonts w:ascii="Arial" w:hAnsi="Arial" w:cs="Arial"/>
      <w:lang w:eastAsia="ru-RU"/>
    </w:rPr>
  </w:style>
  <w:style w:type="paragraph" w:styleId="165" w:customStyle="1">
    <w:name w:val="Заголовок 1 (без№)"/>
    <w:basedOn w:val="1113"/>
    <w:qFormat/>
    <w:rsid w:val="000b487d"/>
    <w:pPr>
      <w:keepLines/>
      <w:tabs>
        <w:tab w:val="clear" w:pos="408"/>
        <w:tab w:val="left" w:pos="0" w:leader="none"/>
      </w:tabs>
      <w:spacing w:lineRule="auto" w:line="360" w:before="0" w:after="240"/>
      <w:ind w:left="720" w:right="567" w:firstLine="709"/>
      <w:jc w:val="left"/>
    </w:pPr>
    <w:rPr>
      <w:rFonts w:ascii="Arial" w:hAnsi="Arial" w:eastAsia="Times New Roman"/>
      <w:b/>
      <w:bCs/>
      <w:spacing w:val="0"/>
      <w:szCs w:val="28"/>
      <w:lang w:eastAsia="ru-RU"/>
    </w:rPr>
  </w:style>
  <w:style w:type="paragraph" w:styleId="Tableoffigures">
    <w:name w:val="table of figures"/>
    <w:basedOn w:val="Normal"/>
    <w:next w:val="Normal"/>
    <w:uiPriority w:val="99"/>
    <w:unhideWhenUsed/>
    <w:qFormat/>
    <w:rsid w:val="000b487d"/>
    <w:pPr/>
    <w:rPr>
      <w:rFonts w:ascii="Calibri" w:hAnsi="Calibri"/>
      <w:sz w:val="22"/>
      <w:lang w:eastAsia="ru-RU"/>
    </w:rPr>
  </w:style>
  <w:style w:type="paragraph" w:styleId="ConsCell" w:customStyle="1">
    <w:name w:val="ConsCell"/>
    <w:uiPriority w:val="99"/>
    <w:qFormat/>
    <w:rsid w:val="000b487d"/>
    <w:pPr>
      <w:widowControl w:val="false"/>
      <w:suppressAutoHyphens w:val="true"/>
      <w:bidi w:val="0"/>
      <w:spacing w:before="0" w:after="0"/>
      <w:ind w:right="19772" w:hanging="0"/>
      <w:jc w:val="left"/>
    </w:pPr>
    <w:rPr>
      <w:rFonts w:ascii="Arial" w:hAnsi="Arial" w:eastAsia="Times New Roman" w:cs="Arial"/>
      <w:color w:val="auto"/>
      <w:kern w:val="0"/>
      <w:sz w:val="24"/>
      <w:szCs w:val="20"/>
      <w:lang w:val="ru-RU" w:eastAsia="ru-RU" w:bidi="ar-SA"/>
    </w:rPr>
  </w:style>
  <w:style w:type="paragraph" w:styleId="Style139" w:customStyle="1">
    <w:name w:val="Абзац"/>
    <w:uiPriority w:val="99"/>
    <w:qFormat/>
    <w:rsid w:val="000b487d"/>
    <w:pPr>
      <w:widowControl/>
      <w:suppressAutoHyphens w:val="true"/>
      <w:bidi w:val="0"/>
      <w:spacing w:before="120" w:after="60"/>
      <w:ind w:firstLine="567"/>
      <w:jc w:val="both"/>
    </w:pPr>
    <w:rPr>
      <w:rFonts w:ascii="Times New Roman" w:hAnsi="Times New Roman" w:eastAsia="Times New Roman" w:cs="Calibri"/>
      <w:color w:val="auto"/>
      <w:kern w:val="0"/>
      <w:sz w:val="24"/>
      <w:szCs w:val="24"/>
      <w:lang w:val="ru-RU" w:eastAsia="en-US" w:bidi="ar-SA"/>
    </w:rPr>
  </w:style>
  <w:style w:type="paragraph" w:styleId="PzOglav" w:customStyle="1">
    <w:name w:val="PzOglav"/>
    <w:basedOn w:val="Normal"/>
    <w:uiPriority w:val="99"/>
    <w:qFormat/>
    <w:rsid w:val="000b487d"/>
    <w:pPr>
      <w:tabs>
        <w:tab w:val="clear" w:pos="408"/>
        <w:tab w:val="left" w:pos="8505" w:leader="dot"/>
      </w:tabs>
      <w:spacing w:before="240" w:after="120"/>
      <w:ind w:firstLine="567"/>
    </w:pPr>
    <w:rPr>
      <w:rFonts w:ascii="Arial" w:hAnsi="Arial" w:cs="Arial"/>
      <w:sz w:val="20"/>
      <w:szCs w:val="20"/>
      <w:lang w:eastAsia="ru-RU"/>
    </w:rPr>
  </w:style>
  <w:style w:type="paragraph" w:styleId="1412" w:customStyle="1">
    <w:name w:val="Обычный + 14 пт"/>
    <w:basedOn w:val="Normal"/>
    <w:uiPriority w:val="99"/>
    <w:qFormat/>
    <w:rsid w:val="000b487d"/>
    <w:pPr>
      <w:ind w:right="-10" w:firstLine="708"/>
    </w:pPr>
    <w:rPr>
      <w:sz w:val="28"/>
      <w:szCs w:val="28"/>
      <w:lang w:eastAsia="ru-RU"/>
    </w:rPr>
  </w:style>
  <w:style w:type="paragraph" w:styleId="Style140" w:customStyle="1">
    <w:name w:val="текст табл"/>
    <w:basedOn w:val="Normal"/>
    <w:uiPriority w:val="99"/>
    <w:qFormat/>
    <w:rsid w:val="000b487d"/>
    <w:pPr>
      <w:keepNext w:val="true"/>
      <w:keepLines/>
      <w:suppressLineNumbers/>
      <w:tabs>
        <w:tab w:val="clear" w:pos="408"/>
        <w:tab w:val="left" w:pos="9356" w:leader="dot"/>
      </w:tabs>
      <w:spacing w:before="60" w:after="60"/>
    </w:pPr>
    <w:rPr>
      <w:lang w:eastAsia="ru-RU"/>
    </w:rPr>
  </w:style>
  <w:style w:type="paragraph" w:styleId="1331" w:customStyle="1">
    <w:name w:val="Обычный 13 Знак3"/>
    <w:basedOn w:val="Normal"/>
    <w:autoRedefine/>
    <w:uiPriority w:val="99"/>
    <w:qFormat/>
    <w:rsid w:val="000b487d"/>
    <w:pPr>
      <w:keepNext w:val="true"/>
      <w:keepLines/>
      <w:suppressLineNumbers/>
      <w:tabs>
        <w:tab w:val="clear" w:pos="408"/>
        <w:tab w:val="left" w:pos="9356" w:leader="dot"/>
      </w:tabs>
      <w:spacing w:lineRule="auto" w:line="360" w:before="60" w:after="0"/>
      <w:ind w:firstLine="567"/>
    </w:pPr>
    <w:rPr>
      <w:sz w:val="26"/>
      <w:szCs w:val="26"/>
      <w:lang w:eastAsia="ru-RU"/>
    </w:rPr>
  </w:style>
  <w:style w:type="paragraph" w:styleId="S3" w:customStyle="1">
    <w:name w:val="S_Обычный жирный"/>
    <w:basedOn w:val="Normal"/>
    <w:uiPriority w:val="99"/>
    <w:qFormat/>
    <w:rsid w:val="000b487d"/>
    <w:pPr>
      <w:ind w:firstLine="709"/>
    </w:pPr>
    <w:rPr>
      <w:sz w:val="28"/>
      <w:lang w:eastAsia="ru-RU"/>
    </w:rPr>
  </w:style>
  <w:style w:type="paragraph" w:styleId="S11" w:customStyle="1">
    <w:name w:val="s_1"/>
    <w:basedOn w:val="Normal"/>
    <w:qFormat/>
    <w:rsid w:val="000b487d"/>
    <w:pPr>
      <w:spacing w:beforeAutospacing="1" w:afterAutospacing="1"/>
    </w:pPr>
    <w:rPr>
      <w:lang w:eastAsia="ru-RU"/>
    </w:rPr>
  </w:style>
  <w:style w:type="paragraph" w:styleId="Style142" w:customStyle="1">
    <w:name w:val="ТИ_текст абзаца"/>
    <w:basedOn w:val="Normal"/>
    <w:qFormat/>
    <w:rsid w:val="000b487d"/>
    <w:pPr>
      <w:tabs>
        <w:tab w:val="clear" w:pos="408"/>
        <w:tab w:val="left" w:pos="1418" w:leader="none"/>
      </w:tabs>
      <w:ind w:firstLine="709"/>
    </w:pPr>
    <w:rPr>
      <w:bCs/>
      <w:sz w:val="28"/>
      <w:szCs w:val="28"/>
      <w:lang w:eastAsia="ru-RU"/>
    </w:rPr>
  </w:style>
  <w:style w:type="paragraph" w:styleId="Style143" w:customStyle="1">
    <w:name w:val="ТИ_табл_текст"/>
    <w:basedOn w:val="Normal"/>
    <w:qFormat/>
    <w:rsid w:val="000b487d"/>
    <w:pPr>
      <w:jc w:val="center"/>
    </w:pPr>
    <w:rPr>
      <w:rFonts w:ascii="Arial Narrow" w:hAnsi="Arial Narrow"/>
      <w:color w:val="000000"/>
      <w:sz w:val="22"/>
      <w:lang w:eastAsia="ru-RU"/>
    </w:rPr>
  </w:style>
  <w:style w:type="paragraph" w:styleId="Style144" w:customStyle="1">
    <w:name w:val="ТИ_список маркированный"/>
    <w:basedOn w:val="Style142"/>
    <w:qFormat/>
    <w:rsid w:val="000b487d"/>
    <w:pPr>
      <w:tabs>
        <w:tab w:val="clear" w:pos="1418"/>
      </w:tabs>
      <w:spacing w:before="120" w:after="120"/>
      <w:ind w:left="720" w:firstLine="709"/>
      <w:contextualSpacing/>
    </w:pPr>
    <w:rPr/>
  </w:style>
  <w:style w:type="paragraph" w:styleId="Style145" w:customStyle="1">
    <w:name w:val="АРисун"/>
    <w:basedOn w:val="Caption"/>
    <w:qFormat/>
    <w:rsid w:val="000b487d"/>
    <w:pPr>
      <w:widowControl w:val="false"/>
      <w:spacing w:lineRule="auto" w:line="276" w:before="0" w:after="240"/>
      <w:ind w:firstLine="567"/>
      <w:jc w:val="center"/>
      <w:textAlignment w:val="baseline"/>
    </w:pPr>
    <w:rPr>
      <w:rFonts w:ascii="Times New Roman" w:hAnsi="Times New Roman" w:eastAsia="Microsoft YaHei" w:cs="Times New Roman"/>
      <w:b/>
      <w:bCs/>
      <w:iCs w:val="false"/>
      <w:spacing w:val="-5"/>
      <w:lang w:eastAsia="ru-RU"/>
    </w:rPr>
  </w:style>
  <w:style w:type="paragraph" w:styleId="Pc" w:customStyle="1">
    <w:name w:val="pc"/>
    <w:basedOn w:val="Normal"/>
    <w:qFormat/>
    <w:rsid w:val="000b487d"/>
    <w:pPr>
      <w:spacing w:beforeAutospacing="1" w:afterAutospacing="1"/>
    </w:pPr>
    <w:rPr>
      <w:lang w:eastAsia="ru-RU"/>
    </w:rPr>
  </w:style>
  <w:style w:type="paragraph" w:styleId="Style146" w:customStyle="1">
    <w:name w:val="Другое"/>
    <w:basedOn w:val="Normal"/>
    <w:uiPriority w:val="99"/>
    <w:qFormat/>
    <w:rsid w:val="000b487d"/>
    <w:pPr>
      <w:widowControl w:val="false"/>
      <w:shd w:val="clear" w:color="auto" w:fill="FFFFFF"/>
      <w:spacing w:lineRule="auto" w:line="360"/>
      <w:ind w:firstLine="400"/>
    </w:pPr>
    <w:rPr>
      <w:rFonts w:cs="Calibri"/>
      <w:sz w:val="28"/>
      <w:szCs w:val="28"/>
      <w:lang w:eastAsia="en-US"/>
    </w:rPr>
  </w:style>
  <w:style w:type="paragraph" w:styleId="Style147" w:customStyle="1">
    <w:name w:val="Обычн"/>
    <w:basedOn w:val="Normal"/>
    <w:qFormat/>
    <w:rsid w:val="000b487d"/>
    <w:pPr>
      <w:ind w:firstLine="709"/>
    </w:pPr>
    <w:rPr>
      <w:szCs w:val="36"/>
      <w:lang w:eastAsia="ru-RU"/>
    </w:rPr>
  </w:style>
  <w:style w:type="paragraph" w:styleId="172" w:customStyle="1">
    <w:name w:val="Основной текст17"/>
    <w:basedOn w:val="Normal"/>
    <w:qFormat/>
    <w:rsid w:val="000b487d"/>
    <w:pPr>
      <w:widowControl w:val="false"/>
      <w:shd w:val="clear" w:color="auto" w:fill="FFFFFF"/>
      <w:spacing w:before="240" w:after="60"/>
      <w:ind w:hanging="360"/>
    </w:pPr>
    <w:rPr>
      <w:rFonts w:ascii="Tahoma" w:hAnsi="Tahoma" w:eastAsia="Tahoma" w:cs="Tahoma"/>
      <w:color w:val="000000"/>
      <w:sz w:val="18"/>
      <w:szCs w:val="18"/>
      <w:lang w:eastAsia="ru-RU" w:bidi="ru-RU"/>
    </w:rPr>
  </w:style>
  <w:style w:type="paragraph" w:styleId="Style148" w:customStyle="1">
    <w:name w:val="Таблица_название_таблицы"/>
    <w:basedOn w:val="Normal"/>
    <w:next w:val="Normal"/>
    <w:qFormat/>
    <w:rsid w:val="000b487d"/>
    <w:pPr>
      <w:widowControl w:val="false"/>
      <w:spacing w:lineRule="exact" w:line="360" w:before="120" w:after="120"/>
      <w:ind w:firstLine="709"/>
      <w:jc w:val="right"/>
    </w:pPr>
    <w:rPr>
      <w:rFonts w:ascii="GOST Type BU" w:hAnsi="GOST Type BU"/>
      <w:bCs/>
      <w:color w:val="000000"/>
      <w:sz w:val="28"/>
      <w:lang w:eastAsia="ru-RU"/>
    </w:rPr>
  </w:style>
  <w:style w:type="paragraph" w:styleId="166" w:customStyle="1">
    <w:name w:val="Список_маркир.1"/>
    <w:basedOn w:val="Normal"/>
    <w:qFormat/>
    <w:rsid w:val="000b487d"/>
    <w:pPr>
      <w:tabs>
        <w:tab w:val="clear" w:pos="408"/>
        <w:tab w:val="left" w:pos="1021" w:leader="none"/>
      </w:tabs>
      <w:spacing w:lineRule="auto" w:line="360"/>
      <w:ind w:firstLine="567"/>
    </w:pPr>
    <w:rPr>
      <w:rFonts w:ascii="GOST Type BU" w:hAnsi="GOST Type BU"/>
      <w:color w:val="000000"/>
      <w:sz w:val="28"/>
      <w:lang w:eastAsia="ru-RU"/>
    </w:rPr>
  </w:style>
  <w:style w:type="paragraph" w:styleId="E1" w:customStyle="1">
    <w:name w:val="Основной тeкст"/>
    <w:qFormat/>
    <w:rsid w:val="000b487d"/>
    <w:pPr>
      <w:keepLines/>
      <w:widowControl/>
      <w:suppressAutoHyphens w:val="true"/>
      <w:bidi w:val="0"/>
      <w:spacing w:before="120" w:after="0"/>
      <w:ind w:firstLine="709"/>
      <w:jc w:val="both"/>
    </w:pPr>
    <w:rPr>
      <w:rFonts w:ascii="Times New Roman" w:hAnsi="Times New Roman" w:eastAsia="Times New Roman" w:cs="Times New Roman"/>
      <w:color w:val="auto"/>
      <w:kern w:val="0"/>
      <w:sz w:val="24"/>
      <w:szCs w:val="24"/>
      <w:lang w:val="ru-RU" w:eastAsia="ru-RU" w:bidi="ar-SA"/>
    </w:rPr>
  </w:style>
  <w:style w:type="paragraph" w:styleId="2115" w:customStyle="1">
    <w:name w:val="21"/>
    <w:basedOn w:val="Normal"/>
    <w:qFormat/>
    <w:rsid w:val="000b487d"/>
    <w:pPr>
      <w:spacing w:beforeAutospacing="1" w:afterAutospacing="1"/>
    </w:pPr>
    <w:rPr>
      <w:lang w:eastAsia="ru-RU"/>
    </w:rPr>
  </w:style>
  <w:style w:type="paragraph" w:styleId="332" w:customStyle="1">
    <w:name w:val="Обычный 3"/>
    <w:basedOn w:val="Normal"/>
    <w:qFormat/>
    <w:rsid w:val="000b487d"/>
    <w:pPr>
      <w:ind w:firstLine="708"/>
    </w:pPr>
    <w:rPr>
      <w:lang w:eastAsia="ar-SA"/>
    </w:rPr>
  </w:style>
  <w:style w:type="paragraph" w:styleId="S311" w:customStyle="1">
    <w:name w:val="S_Нумерованный_3.1 Знак Знак Знак"/>
    <w:basedOn w:val="Normal"/>
    <w:autoRedefine/>
    <w:qFormat/>
    <w:rsid w:val="000b487d"/>
    <w:pPr>
      <w:tabs>
        <w:tab w:val="clear" w:pos="408"/>
        <w:tab w:val="left" w:pos="720" w:leader="none"/>
      </w:tabs>
      <w:ind w:firstLine="708"/>
    </w:pPr>
    <w:rPr>
      <w:color w:val="000000"/>
      <w:lang w:eastAsia="ar-SA"/>
    </w:rPr>
  </w:style>
  <w:style w:type="paragraph" w:styleId="Style149" w:customStyle="1">
    <w:name w:val="Обычный текст"/>
    <w:basedOn w:val="Normal"/>
    <w:qFormat/>
    <w:rsid w:val="000b487d"/>
    <w:pPr>
      <w:ind w:firstLine="709"/>
    </w:pPr>
    <w:rPr>
      <w:lang w:val="en-US" w:eastAsia="ar-SA" w:bidi="en-US"/>
    </w:rPr>
  </w:style>
  <w:style w:type="paragraph" w:styleId="10" w:customStyle="1">
    <w:name w:val="Табличный_центр_10"/>
    <w:basedOn w:val="Normal"/>
    <w:qFormat/>
    <w:rsid w:val="00fb6364"/>
    <w:pPr>
      <w:ind w:firstLine="709"/>
      <w:jc w:val="center"/>
    </w:pPr>
    <w:rPr>
      <w:sz w:val="20"/>
      <w:lang w:eastAsia="ru-RU"/>
    </w:rPr>
  </w:style>
  <w:style w:type="paragraph" w:styleId="Style150">
    <w:name w:val="Header"/>
    <w:basedOn w:val="Style75"/>
    <w:pPr/>
    <w:rPr/>
  </w:style>
  <w:style w:type="paragraph" w:styleId="Style152">
    <w:name w:val="Footer"/>
    <w:basedOn w:val="Style75"/>
    <w:pPr/>
    <w:rPr/>
  </w:style>
  <w:style w:type="numbering" w:styleId="NoList" w:default="1">
    <w:name w:val="No List"/>
    <w:uiPriority w:val="99"/>
    <w:semiHidden/>
    <w:unhideWhenUsed/>
    <w:qFormat/>
  </w:style>
  <w:style w:type="numbering" w:styleId="WW8Num1" w:customStyle="1">
    <w:name w:val="WW8Num1"/>
    <w:qFormat/>
    <w:rsid w:val="00f61309"/>
  </w:style>
  <w:style w:type="numbering" w:styleId="WW8Num2" w:customStyle="1">
    <w:name w:val="WW8Num2"/>
    <w:qFormat/>
    <w:rsid w:val="00f61309"/>
  </w:style>
  <w:style w:type="numbering" w:styleId="167" w:customStyle="1">
    <w:name w:val="Нет списка1"/>
    <w:uiPriority w:val="99"/>
    <w:semiHidden/>
    <w:unhideWhenUsed/>
    <w:qFormat/>
    <w:rsid w:val="000b487d"/>
  </w:style>
  <w:style w:type="numbering" w:styleId="1120" w:customStyle="1">
    <w:name w:val="Нет списка11"/>
    <w:uiPriority w:val="99"/>
    <w:semiHidden/>
    <w:unhideWhenUsed/>
    <w:qFormat/>
    <w:rsid w:val="000b487d"/>
  </w:style>
  <w:style w:type="numbering" w:styleId="11110" w:customStyle="1">
    <w:name w:val="Нет списка111"/>
    <w:uiPriority w:val="99"/>
    <w:semiHidden/>
    <w:unhideWhenUsed/>
    <w:qFormat/>
    <w:rsid w:val="000b487d"/>
  </w:style>
  <w:style w:type="numbering" w:styleId="252" w:customStyle="1">
    <w:name w:val="Нет списка2"/>
    <w:uiPriority w:val="99"/>
    <w:semiHidden/>
    <w:unhideWhenUsed/>
    <w:qFormat/>
    <w:rsid w:val="000b487d"/>
  </w:style>
  <w:style w:type="numbering" w:styleId="333" w:customStyle="1">
    <w:name w:val="Нет списка3"/>
    <w:uiPriority w:val="99"/>
    <w:semiHidden/>
    <w:unhideWhenUsed/>
    <w:qFormat/>
    <w:rsid w:val="000b487d"/>
  </w:style>
  <w:style w:type="numbering" w:styleId="415" w:customStyle="1">
    <w:name w:val="Нет списка4"/>
    <w:uiPriority w:val="99"/>
    <w:semiHidden/>
    <w:unhideWhenUsed/>
    <w:qFormat/>
    <w:rsid w:val="000b487d"/>
  </w:style>
  <w:style w:type="numbering" w:styleId="57" w:customStyle="1">
    <w:name w:val="Нет списка5"/>
    <w:uiPriority w:val="99"/>
    <w:semiHidden/>
    <w:unhideWhenUsed/>
    <w:qFormat/>
    <w:rsid w:val="000b487d"/>
  </w:style>
  <w:style w:type="numbering" w:styleId="67" w:customStyle="1">
    <w:name w:val="Нет списка6"/>
    <w:uiPriority w:val="99"/>
    <w:semiHidden/>
    <w:unhideWhenUsed/>
    <w:qFormat/>
    <w:rsid w:val="000b487d"/>
  </w:style>
  <w:style w:type="numbering" w:styleId="11111" w:customStyle="1">
    <w:name w:val="Нет списка1111"/>
    <w:uiPriority w:val="99"/>
    <w:semiHidden/>
    <w:unhideWhenUsed/>
    <w:qFormat/>
    <w:rsid w:val="000b487d"/>
  </w:style>
  <w:style w:type="numbering" w:styleId="2116" w:customStyle="1">
    <w:name w:val="Нет списка21"/>
    <w:uiPriority w:val="99"/>
    <w:semiHidden/>
    <w:unhideWhenUsed/>
    <w:qFormat/>
    <w:rsid w:val="000b487d"/>
  </w:style>
  <w:style w:type="numbering" w:styleId="3111" w:customStyle="1">
    <w:name w:val="Нет списка31"/>
    <w:uiPriority w:val="99"/>
    <w:semiHidden/>
    <w:unhideWhenUsed/>
    <w:qFormat/>
    <w:rsid w:val="000b487d"/>
  </w:style>
  <w:style w:type="numbering" w:styleId="416" w:customStyle="1">
    <w:name w:val="Нет списка41"/>
    <w:uiPriority w:val="99"/>
    <w:semiHidden/>
    <w:unhideWhenUsed/>
    <w:qFormat/>
    <w:rsid w:val="000b487d"/>
  </w:style>
  <w:style w:type="numbering" w:styleId="513" w:customStyle="1">
    <w:name w:val="Нет списка51"/>
    <w:uiPriority w:val="99"/>
    <w:semiHidden/>
    <w:unhideWhenUsed/>
    <w:qFormat/>
    <w:rsid w:val="000b487d"/>
  </w:style>
  <w:style w:type="numbering" w:styleId="75" w:customStyle="1">
    <w:name w:val="Нет списка7"/>
    <w:uiPriority w:val="99"/>
    <w:semiHidden/>
    <w:unhideWhenUsed/>
    <w:qFormat/>
    <w:rsid w:val="000b487d"/>
  </w:style>
  <w:style w:type="numbering" w:styleId="1214" w:customStyle="1">
    <w:name w:val="Нет списка12"/>
    <w:uiPriority w:val="99"/>
    <w:semiHidden/>
    <w:unhideWhenUsed/>
    <w:qFormat/>
    <w:rsid w:val="000b487d"/>
  </w:style>
  <w:style w:type="numbering" w:styleId="2211" w:customStyle="1">
    <w:name w:val="Нет списка22"/>
    <w:uiPriority w:val="99"/>
    <w:semiHidden/>
    <w:unhideWhenUsed/>
    <w:qFormat/>
    <w:rsid w:val="000b487d"/>
  </w:style>
  <w:style w:type="numbering" w:styleId="3210" w:customStyle="1">
    <w:name w:val="Нет списка32"/>
    <w:uiPriority w:val="99"/>
    <w:semiHidden/>
    <w:unhideWhenUsed/>
    <w:qFormat/>
    <w:rsid w:val="000b487d"/>
  </w:style>
  <w:style w:type="numbering" w:styleId="422" w:customStyle="1">
    <w:name w:val="Нет списка42"/>
    <w:uiPriority w:val="99"/>
    <w:semiHidden/>
    <w:unhideWhenUsed/>
    <w:qFormat/>
    <w:rsid w:val="000b487d"/>
  </w:style>
  <w:style w:type="numbering" w:styleId="522" w:customStyle="1">
    <w:name w:val="Нет списка52"/>
    <w:uiPriority w:val="99"/>
    <w:semiHidden/>
    <w:unhideWhenUsed/>
    <w:qFormat/>
    <w:rsid w:val="000b487d"/>
  </w:style>
  <w:style w:type="numbering" w:styleId="85" w:customStyle="1">
    <w:name w:val="Нет списка8"/>
    <w:uiPriority w:val="99"/>
    <w:semiHidden/>
    <w:unhideWhenUsed/>
    <w:qFormat/>
    <w:rsid w:val="000b487d"/>
  </w:style>
  <w:style w:type="numbering" w:styleId="93" w:customStyle="1">
    <w:name w:val="Нет списка9"/>
    <w:uiPriority w:val="99"/>
    <w:semiHidden/>
    <w:unhideWhenUsed/>
    <w:qFormat/>
    <w:rsid w:val="000b487d"/>
  </w:style>
  <w:style w:type="numbering" w:styleId="1311" w:customStyle="1">
    <w:name w:val="Нет списка13"/>
    <w:uiPriority w:val="99"/>
    <w:semiHidden/>
    <w:unhideWhenUsed/>
    <w:qFormat/>
    <w:rsid w:val="000b487d"/>
  </w:style>
  <w:style w:type="numbering" w:styleId="2310" w:customStyle="1">
    <w:name w:val="Нет списка23"/>
    <w:uiPriority w:val="99"/>
    <w:semiHidden/>
    <w:unhideWhenUsed/>
    <w:qFormat/>
    <w:rsid w:val="000b487d"/>
  </w:style>
  <w:style w:type="numbering" w:styleId="334" w:customStyle="1">
    <w:name w:val="Нет списка33"/>
    <w:uiPriority w:val="99"/>
    <w:semiHidden/>
    <w:unhideWhenUsed/>
    <w:qFormat/>
    <w:rsid w:val="000b487d"/>
  </w:style>
  <w:style w:type="numbering" w:styleId="431" w:customStyle="1">
    <w:name w:val="Нет списка43"/>
    <w:uiPriority w:val="99"/>
    <w:semiHidden/>
    <w:unhideWhenUsed/>
    <w:qFormat/>
    <w:rsid w:val="000b487d"/>
  </w:style>
  <w:style w:type="numbering" w:styleId="531" w:customStyle="1">
    <w:name w:val="Нет списка53"/>
    <w:uiPriority w:val="99"/>
    <w:semiHidden/>
    <w:unhideWhenUsed/>
    <w:qFormat/>
    <w:rsid w:val="000b487d"/>
  </w:style>
  <w:style w:type="numbering" w:styleId="1215" w:customStyle="1">
    <w:name w:val="Заголовок 1 Знак2"/>
    <w:uiPriority w:val="99"/>
    <w:semiHidden/>
    <w:unhideWhenUsed/>
    <w:qFormat/>
    <w:rsid w:val="000b487d"/>
  </w:style>
  <w:style w:type="numbering" w:styleId="1413" w:customStyle="1">
    <w:name w:val="Нет списка14"/>
    <w:uiPriority w:val="99"/>
    <w:semiHidden/>
    <w:unhideWhenUsed/>
    <w:qFormat/>
    <w:rsid w:val="000b487d"/>
  </w:style>
  <w:style w:type="numbering" w:styleId="2411" w:customStyle="1">
    <w:name w:val="Нет списка24"/>
    <w:uiPriority w:val="99"/>
    <w:semiHidden/>
    <w:unhideWhenUsed/>
    <w:qFormat/>
    <w:rsid w:val="000b487d"/>
  </w:style>
  <w:style w:type="numbering" w:styleId="342" w:customStyle="1">
    <w:name w:val="Нет списка34"/>
    <w:uiPriority w:val="99"/>
    <w:semiHidden/>
    <w:unhideWhenUsed/>
    <w:qFormat/>
    <w:rsid w:val="000b487d"/>
  </w:style>
  <w:style w:type="numbering" w:styleId="441" w:customStyle="1">
    <w:name w:val="Нет списка44"/>
    <w:uiPriority w:val="99"/>
    <w:semiHidden/>
    <w:unhideWhenUsed/>
    <w:qFormat/>
    <w:rsid w:val="000b487d"/>
  </w:style>
  <w:style w:type="numbering" w:styleId="541" w:customStyle="1">
    <w:name w:val="Нет списка54"/>
    <w:uiPriority w:val="99"/>
    <w:semiHidden/>
    <w:unhideWhenUsed/>
    <w:qFormat/>
    <w:rsid w:val="000b487d"/>
  </w:style>
  <w:style w:type="numbering" w:styleId="614" w:customStyle="1">
    <w:name w:val="Нет списка61"/>
    <w:uiPriority w:val="99"/>
    <w:semiHidden/>
    <w:unhideWhenUsed/>
    <w:qFormat/>
    <w:rsid w:val="000b487d"/>
  </w:style>
  <w:style w:type="numbering" w:styleId="1121" w:customStyle="1">
    <w:name w:val="Нет списка112"/>
    <w:uiPriority w:val="99"/>
    <w:semiHidden/>
    <w:unhideWhenUsed/>
    <w:qFormat/>
    <w:rsid w:val="000b487d"/>
  </w:style>
  <w:style w:type="numbering" w:styleId="2117" w:customStyle="1">
    <w:name w:val="Нет списка211"/>
    <w:uiPriority w:val="99"/>
    <w:semiHidden/>
    <w:unhideWhenUsed/>
    <w:qFormat/>
    <w:rsid w:val="000b487d"/>
  </w:style>
  <w:style w:type="numbering" w:styleId="3112" w:customStyle="1">
    <w:name w:val="Нет списка311"/>
    <w:uiPriority w:val="99"/>
    <w:semiHidden/>
    <w:unhideWhenUsed/>
    <w:qFormat/>
    <w:rsid w:val="000b487d"/>
  </w:style>
  <w:style w:type="numbering" w:styleId="4111" w:customStyle="1">
    <w:name w:val="Нет списка411"/>
    <w:uiPriority w:val="99"/>
    <w:semiHidden/>
    <w:unhideWhenUsed/>
    <w:qFormat/>
    <w:rsid w:val="000b487d"/>
  </w:style>
  <w:style w:type="numbering" w:styleId="5111" w:customStyle="1">
    <w:name w:val="Нет списка511"/>
    <w:uiPriority w:val="99"/>
    <w:semiHidden/>
    <w:unhideWhenUsed/>
    <w:qFormat/>
    <w:rsid w:val="000b487d"/>
  </w:style>
  <w:style w:type="numbering" w:styleId="714" w:customStyle="1">
    <w:name w:val="Нет списка71"/>
    <w:uiPriority w:val="99"/>
    <w:semiHidden/>
    <w:unhideWhenUsed/>
    <w:qFormat/>
    <w:rsid w:val="000b487d"/>
  </w:style>
  <w:style w:type="numbering" w:styleId="1216" w:customStyle="1">
    <w:name w:val="Нет списка121"/>
    <w:uiPriority w:val="99"/>
    <w:semiHidden/>
    <w:unhideWhenUsed/>
    <w:qFormat/>
    <w:rsid w:val="000b487d"/>
  </w:style>
  <w:style w:type="numbering" w:styleId="2212" w:customStyle="1">
    <w:name w:val="Нет списка221"/>
    <w:uiPriority w:val="99"/>
    <w:semiHidden/>
    <w:unhideWhenUsed/>
    <w:qFormat/>
    <w:rsid w:val="000b487d"/>
  </w:style>
  <w:style w:type="numbering" w:styleId="3211" w:customStyle="1">
    <w:name w:val="Нет списка321"/>
    <w:uiPriority w:val="99"/>
    <w:semiHidden/>
    <w:unhideWhenUsed/>
    <w:qFormat/>
    <w:rsid w:val="000b487d"/>
  </w:style>
  <w:style w:type="numbering" w:styleId="4211" w:customStyle="1">
    <w:name w:val="Нет списка421"/>
    <w:uiPriority w:val="99"/>
    <w:semiHidden/>
    <w:unhideWhenUsed/>
    <w:qFormat/>
    <w:rsid w:val="000b487d"/>
  </w:style>
  <w:style w:type="numbering" w:styleId="5211" w:customStyle="1">
    <w:name w:val="Нет списка521"/>
    <w:uiPriority w:val="99"/>
    <w:semiHidden/>
    <w:unhideWhenUsed/>
    <w:qFormat/>
    <w:rsid w:val="000b487d"/>
  </w:style>
  <w:style w:type="numbering" w:styleId="814" w:customStyle="1">
    <w:name w:val="Нет списка81"/>
    <w:uiPriority w:val="99"/>
    <w:semiHidden/>
    <w:unhideWhenUsed/>
    <w:qFormat/>
    <w:rsid w:val="000b487d"/>
  </w:style>
  <w:style w:type="numbering" w:styleId="913" w:customStyle="1">
    <w:name w:val="Нет списка91"/>
    <w:uiPriority w:val="99"/>
    <w:semiHidden/>
    <w:unhideWhenUsed/>
    <w:qFormat/>
    <w:rsid w:val="000b487d"/>
  </w:style>
  <w:style w:type="numbering" w:styleId="1312" w:customStyle="1">
    <w:name w:val="Нет списка131"/>
    <w:uiPriority w:val="99"/>
    <w:semiHidden/>
    <w:unhideWhenUsed/>
    <w:qFormat/>
    <w:rsid w:val="000b487d"/>
  </w:style>
  <w:style w:type="numbering" w:styleId="2311" w:customStyle="1">
    <w:name w:val="Нет списка231"/>
    <w:uiPriority w:val="99"/>
    <w:semiHidden/>
    <w:unhideWhenUsed/>
    <w:qFormat/>
    <w:rsid w:val="000b487d"/>
  </w:style>
  <w:style w:type="numbering" w:styleId="3311" w:customStyle="1">
    <w:name w:val="Нет списка331"/>
    <w:uiPriority w:val="99"/>
    <w:semiHidden/>
    <w:unhideWhenUsed/>
    <w:qFormat/>
    <w:rsid w:val="000b487d"/>
  </w:style>
  <w:style w:type="numbering" w:styleId="4311" w:customStyle="1">
    <w:name w:val="Нет списка431"/>
    <w:uiPriority w:val="99"/>
    <w:semiHidden/>
    <w:unhideWhenUsed/>
    <w:qFormat/>
    <w:rsid w:val="000b487d"/>
  </w:style>
  <w:style w:type="numbering" w:styleId="5311" w:customStyle="1">
    <w:name w:val="Нет списка531"/>
    <w:uiPriority w:val="99"/>
    <w:semiHidden/>
    <w:unhideWhenUsed/>
    <w:qFormat/>
    <w:rsid w:val="000b487d"/>
  </w:style>
  <w:style w:type="numbering" w:styleId="1510" w:customStyle="1">
    <w:name w:val="Нет списка15"/>
    <w:uiPriority w:val="99"/>
    <w:semiHidden/>
    <w:unhideWhenUsed/>
    <w:qFormat/>
    <w:rsid w:val="000b487d"/>
  </w:style>
  <w:style w:type="numbering" w:styleId="168" w:customStyle="1">
    <w:name w:val="Нет списка16"/>
    <w:uiPriority w:val="99"/>
    <w:semiHidden/>
    <w:unhideWhenUsed/>
    <w:qFormat/>
    <w:rsid w:val="000b487d"/>
  </w:style>
  <w:style w:type="numbering" w:styleId="253" w:customStyle="1">
    <w:name w:val="Нет списка25"/>
    <w:uiPriority w:val="99"/>
    <w:semiHidden/>
    <w:unhideWhenUsed/>
    <w:qFormat/>
    <w:rsid w:val="000b487d"/>
  </w:style>
  <w:style w:type="numbering" w:styleId="351" w:customStyle="1">
    <w:name w:val="Нет списка35"/>
    <w:uiPriority w:val="99"/>
    <w:semiHidden/>
    <w:unhideWhenUsed/>
    <w:qFormat/>
    <w:rsid w:val="000b487d"/>
  </w:style>
  <w:style w:type="numbering" w:styleId="451" w:customStyle="1">
    <w:name w:val="Нет списка45"/>
    <w:uiPriority w:val="99"/>
    <w:semiHidden/>
    <w:unhideWhenUsed/>
    <w:qFormat/>
    <w:rsid w:val="000b487d"/>
  </w:style>
  <w:style w:type="numbering" w:styleId="551" w:customStyle="1">
    <w:name w:val="Нет списка55"/>
    <w:uiPriority w:val="99"/>
    <w:semiHidden/>
    <w:unhideWhenUsed/>
    <w:qFormat/>
    <w:rsid w:val="000b487d"/>
  </w:style>
  <w:style w:type="numbering" w:styleId="622" w:customStyle="1">
    <w:name w:val="Нет списка62"/>
    <w:uiPriority w:val="99"/>
    <w:semiHidden/>
    <w:unhideWhenUsed/>
    <w:qFormat/>
    <w:rsid w:val="000b487d"/>
  </w:style>
  <w:style w:type="numbering" w:styleId="1131" w:customStyle="1">
    <w:name w:val="Нет списка113"/>
    <w:uiPriority w:val="99"/>
    <w:semiHidden/>
    <w:unhideWhenUsed/>
    <w:qFormat/>
    <w:rsid w:val="000b487d"/>
  </w:style>
  <w:style w:type="numbering" w:styleId="2121" w:customStyle="1">
    <w:name w:val="Нет списка212"/>
    <w:uiPriority w:val="99"/>
    <w:semiHidden/>
    <w:unhideWhenUsed/>
    <w:qFormat/>
    <w:rsid w:val="000b487d"/>
  </w:style>
  <w:style w:type="numbering" w:styleId="3121" w:customStyle="1">
    <w:name w:val="Нет списка312"/>
    <w:uiPriority w:val="99"/>
    <w:semiHidden/>
    <w:unhideWhenUsed/>
    <w:qFormat/>
    <w:rsid w:val="000b487d"/>
  </w:style>
  <w:style w:type="numbering" w:styleId="4121" w:customStyle="1">
    <w:name w:val="Нет списка412"/>
    <w:uiPriority w:val="99"/>
    <w:semiHidden/>
    <w:unhideWhenUsed/>
    <w:qFormat/>
    <w:rsid w:val="000b487d"/>
  </w:style>
  <w:style w:type="numbering" w:styleId="5121" w:customStyle="1">
    <w:name w:val="Нет списка512"/>
    <w:uiPriority w:val="99"/>
    <w:semiHidden/>
    <w:unhideWhenUsed/>
    <w:qFormat/>
    <w:rsid w:val="000b487d"/>
  </w:style>
  <w:style w:type="numbering" w:styleId="722" w:customStyle="1">
    <w:name w:val="Нет списка72"/>
    <w:uiPriority w:val="99"/>
    <w:semiHidden/>
    <w:unhideWhenUsed/>
    <w:qFormat/>
    <w:rsid w:val="000b487d"/>
  </w:style>
  <w:style w:type="numbering" w:styleId="1221" w:customStyle="1">
    <w:name w:val="Нет списка122"/>
    <w:uiPriority w:val="99"/>
    <w:semiHidden/>
    <w:unhideWhenUsed/>
    <w:qFormat/>
    <w:rsid w:val="000b487d"/>
  </w:style>
  <w:style w:type="numbering" w:styleId="2222" w:customStyle="1">
    <w:name w:val="Нет списка222"/>
    <w:link w:val="222"/>
    <w:semiHidden/>
    <w:unhideWhenUsed/>
    <w:qFormat/>
    <w:rsid w:val="000b487d"/>
  </w:style>
  <w:style w:type="numbering" w:styleId="3221" w:customStyle="1">
    <w:name w:val="Нет списка322"/>
    <w:uiPriority w:val="99"/>
    <w:semiHidden/>
    <w:unhideWhenUsed/>
    <w:qFormat/>
    <w:rsid w:val="000b487d"/>
  </w:style>
  <w:style w:type="numbering" w:styleId="4221" w:customStyle="1">
    <w:name w:val="Нет списка422"/>
    <w:uiPriority w:val="99"/>
    <w:semiHidden/>
    <w:unhideWhenUsed/>
    <w:qFormat/>
    <w:rsid w:val="000b487d"/>
  </w:style>
  <w:style w:type="numbering" w:styleId="5221" w:customStyle="1">
    <w:name w:val="Нет списка522"/>
    <w:uiPriority w:val="99"/>
    <w:semiHidden/>
    <w:unhideWhenUsed/>
    <w:qFormat/>
    <w:rsid w:val="000b487d"/>
  </w:style>
  <w:style w:type="numbering" w:styleId="822" w:customStyle="1">
    <w:name w:val="Нет списка82"/>
    <w:uiPriority w:val="99"/>
    <w:semiHidden/>
    <w:unhideWhenUsed/>
    <w:qFormat/>
    <w:rsid w:val="000b487d"/>
  </w:style>
  <w:style w:type="numbering" w:styleId="921" w:customStyle="1">
    <w:name w:val="Нет списка92"/>
    <w:uiPriority w:val="99"/>
    <w:semiHidden/>
    <w:unhideWhenUsed/>
    <w:qFormat/>
    <w:rsid w:val="000b487d"/>
  </w:style>
  <w:style w:type="numbering" w:styleId="1321" w:customStyle="1">
    <w:name w:val="Нет списка132"/>
    <w:uiPriority w:val="99"/>
    <w:semiHidden/>
    <w:unhideWhenUsed/>
    <w:qFormat/>
    <w:rsid w:val="000b487d"/>
  </w:style>
  <w:style w:type="numbering" w:styleId="2321" w:customStyle="1">
    <w:name w:val="Нет списка232"/>
    <w:uiPriority w:val="99"/>
    <w:semiHidden/>
    <w:unhideWhenUsed/>
    <w:qFormat/>
    <w:rsid w:val="000b487d"/>
  </w:style>
  <w:style w:type="numbering" w:styleId="3321" w:customStyle="1">
    <w:name w:val="Нет списка332"/>
    <w:uiPriority w:val="99"/>
    <w:semiHidden/>
    <w:unhideWhenUsed/>
    <w:qFormat/>
    <w:rsid w:val="000b487d"/>
  </w:style>
  <w:style w:type="numbering" w:styleId="432" w:customStyle="1">
    <w:name w:val="Нет списка432"/>
    <w:uiPriority w:val="99"/>
    <w:semiHidden/>
    <w:unhideWhenUsed/>
    <w:qFormat/>
    <w:rsid w:val="000b487d"/>
  </w:style>
  <w:style w:type="numbering" w:styleId="532" w:customStyle="1">
    <w:name w:val="Нет списка532"/>
    <w:uiPriority w:val="99"/>
    <w:semiHidden/>
    <w:unhideWhenUsed/>
    <w:qFormat/>
    <w:rsid w:val="000b487d"/>
  </w:style>
  <w:style w:type="numbering" w:styleId="173" w:customStyle="1">
    <w:name w:val="Нет списка17"/>
    <w:uiPriority w:val="99"/>
    <w:semiHidden/>
    <w:unhideWhenUsed/>
    <w:qFormat/>
    <w:rsid w:val="000b487d"/>
  </w:style>
  <w:style w:type="numbering" w:styleId="181" w:customStyle="1">
    <w:name w:val="Нет списка18"/>
    <w:uiPriority w:val="99"/>
    <w:semiHidden/>
    <w:unhideWhenUsed/>
    <w:qFormat/>
    <w:rsid w:val="000b487d"/>
  </w:style>
  <w:style w:type="numbering" w:styleId="261" w:customStyle="1">
    <w:name w:val="Нет списка26"/>
    <w:uiPriority w:val="99"/>
    <w:semiHidden/>
    <w:unhideWhenUsed/>
    <w:qFormat/>
    <w:rsid w:val="000b487d"/>
  </w:style>
  <w:style w:type="numbering" w:styleId="361" w:customStyle="1">
    <w:name w:val="Нет списка36"/>
    <w:uiPriority w:val="99"/>
    <w:semiHidden/>
    <w:unhideWhenUsed/>
    <w:qFormat/>
    <w:rsid w:val="000b487d"/>
  </w:style>
  <w:style w:type="numbering" w:styleId="461" w:customStyle="1">
    <w:name w:val="Нет списка46"/>
    <w:uiPriority w:val="99"/>
    <w:semiHidden/>
    <w:unhideWhenUsed/>
    <w:qFormat/>
    <w:rsid w:val="000b487d"/>
  </w:style>
  <w:style w:type="numbering" w:styleId="561" w:customStyle="1">
    <w:name w:val="Нет списка56"/>
    <w:uiPriority w:val="99"/>
    <w:semiHidden/>
    <w:unhideWhenUsed/>
    <w:qFormat/>
    <w:rsid w:val="000b487d"/>
  </w:style>
  <w:style w:type="numbering" w:styleId="631" w:customStyle="1">
    <w:name w:val="Нет списка63"/>
    <w:uiPriority w:val="99"/>
    <w:semiHidden/>
    <w:unhideWhenUsed/>
    <w:qFormat/>
    <w:rsid w:val="000b487d"/>
  </w:style>
  <w:style w:type="numbering" w:styleId="1141" w:customStyle="1">
    <w:name w:val="Нет списка114"/>
    <w:uiPriority w:val="99"/>
    <w:semiHidden/>
    <w:unhideWhenUsed/>
    <w:qFormat/>
    <w:rsid w:val="000b487d"/>
  </w:style>
  <w:style w:type="numbering" w:styleId="2131" w:customStyle="1">
    <w:name w:val="Нет списка213"/>
    <w:uiPriority w:val="99"/>
    <w:semiHidden/>
    <w:unhideWhenUsed/>
    <w:qFormat/>
    <w:rsid w:val="000b487d"/>
  </w:style>
  <w:style w:type="numbering" w:styleId="3131" w:customStyle="1">
    <w:name w:val="Нет списка313"/>
    <w:uiPriority w:val="99"/>
    <w:semiHidden/>
    <w:unhideWhenUsed/>
    <w:qFormat/>
    <w:rsid w:val="000b487d"/>
  </w:style>
  <w:style w:type="numbering" w:styleId="4131" w:customStyle="1">
    <w:name w:val="Нет списка413"/>
    <w:uiPriority w:val="99"/>
    <w:semiHidden/>
    <w:unhideWhenUsed/>
    <w:qFormat/>
    <w:rsid w:val="000b487d"/>
  </w:style>
  <w:style w:type="numbering" w:styleId="5131" w:customStyle="1">
    <w:name w:val="Нет списка513"/>
    <w:uiPriority w:val="99"/>
    <w:semiHidden/>
    <w:unhideWhenUsed/>
    <w:qFormat/>
    <w:rsid w:val="000b487d"/>
  </w:style>
  <w:style w:type="numbering" w:styleId="731" w:customStyle="1">
    <w:name w:val="Нет списка73"/>
    <w:uiPriority w:val="99"/>
    <w:semiHidden/>
    <w:unhideWhenUsed/>
    <w:qFormat/>
    <w:rsid w:val="000b487d"/>
  </w:style>
  <w:style w:type="numbering" w:styleId="1231" w:customStyle="1">
    <w:name w:val="Нет списка123"/>
    <w:uiPriority w:val="99"/>
    <w:semiHidden/>
    <w:unhideWhenUsed/>
    <w:qFormat/>
    <w:rsid w:val="000b487d"/>
  </w:style>
  <w:style w:type="numbering" w:styleId="2231" w:customStyle="1">
    <w:name w:val="Нет списка223"/>
    <w:uiPriority w:val="99"/>
    <w:semiHidden/>
    <w:unhideWhenUsed/>
    <w:qFormat/>
    <w:rsid w:val="000b487d"/>
  </w:style>
  <w:style w:type="numbering" w:styleId="3231" w:customStyle="1">
    <w:name w:val="Нет списка323"/>
    <w:uiPriority w:val="99"/>
    <w:semiHidden/>
    <w:unhideWhenUsed/>
    <w:qFormat/>
    <w:rsid w:val="000b487d"/>
  </w:style>
  <w:style w:type="numbering" w:styleId="423" w:customStyle="1">
    <w:name w:val="Нет списка423"/>
    <w:uiPriority w:val="99"/>
    <w:semiHidden/>
    <w:unhideWhenUsed/>
    <w:qFormat/>
    <w:rsid w:val="000b487d"/>
  </w:style>
  <w:style w:type="numbering" w:styleId="523" w:customStyle="1">
    <w:name w:val="Нет списка523"/>
    <w:uiPriority w:val="99"/>
    <w:semiHidden/>
    <w:unhideWhenUsed/>
    <w:qFormat/>
    <w:rsid w:val="000b487d"/>
  </w:style>
  <w:style w:type="numbering" w:styleId="831" w:customStyle="1">
    <w:name w:val="Нет списка83"/>
    <w:uiPriority w:val="99"/>
    <w:semiHidden/>
    <w:unhideWhenUsed/>
    <w:qFormat/>
    <w:rsid w:val="000b487d"/>
  </w:style>
  <w:style w:type="numbering" w:styleId="931" w:customStyle="1">
    <w:name w:val="Нет списка93"/>
    <w:uiPriority w:val="99"/>
    <w:semiHidden/>
    <w:unhideWhenUsed/>
    <w:qFormat/>
    <w:rsid w:val="000b487d"/>
  </w:style>
  <w:style w:type="numbering" w:styleId="1332" w:customStyle="1">
    <w:name w:val="Нет списка133"/>
    <w:uiPriority w:val="99"/>
    <w:semiHidden/>
    <w:unhideWhenUsed/>
    <w:qFormat/>
    <w:rsid w:val="000b487d"/>
  </w:style>
  <w:style w:type="numbering" w:styleId="2331" w:customStyle="1">
    <w:name w:val="Нет списка233"/>
    <w:uiPriority w:val="99"/>
    <w:semiHidden/>
    <w:unhideWhenUsed/>
    <w:qFormat/>
    <w:rsid w:val="000b487d"/>
  </w:style>
  <w:style w:type="numbering" w:styleId="3331" w:customStyle="1">
    <w:name w:val="Нет списка333"/>
    <w:uiPriority w:val="99"/>
    <w:semiHidden/>
    <w:unhideWhenUsed/>
    <w:qFormat/>
    <w:rsid w:val="000b487d"/>
  </w:style>
  <w:style w:type="numbering" w:styleId="433" w:customStyle="1">
    <w:name w:val="Нет списка433"/>
    <w:uiPriority w:val="99"/>
    <w:semiHidden/>
    <w:unhideWhenUsed/>
    <w:qFormat/>
    <w:rsid w:val="000b487d"/>
  </w:style>
  <w:style w:type="numbering" w:styleId="533" w:customStyle="1">
    <w:name w:val="Нет списка533"/>
    <w:uiPriority w:val="99"/>
    <w:semiHidden/>
    <w:unhideWhenUsed/>
    <w:qFormat/>
    <w:rsid w:val="000b487d"/>
  </w:style>
  <w:style w:type="numbering" w:styleId="191" w:customStyle="1">
    <w:name w:val="Нет списка19"/>
    <w:uiPriority w:val="99"/>
    <w:semiHidden/>
    <w:unhideWhenUsed/>
    <w:qFormat/>
    <w:rsid w:val="000b487d"/>
  </w:style>
  <w:style w:type="numbering" w:styleId="1101" w:customStyle="1">
    <w:name w:val="Нет списка110"/>
    <w:uiPriority w:val="99"/>
    <w:semiHidden/>
    <w:unhideWhenUsed/>
    <w:qFormat/>
    <w:rsid w:val="000b487d"/>
  </w:style>
  <w:style w:type="numbering" w:styleId="271" w:customStyle="1">
    <w:name w:val="Нет списка27"/>
    <w:uiPriority w:val="99"/>
    <w:semiHidden/>
    <w:unhideWhenUsed/>
    <w:qFormat/>
    <w:rsid w:val="000b487d"/>
  </w:style>
  <w:style w:type="numbering" w:styleId="371" w:customStyle="1">
    <w:name w:val="Нет списка37"/>
    <w:uiPriority w:val="99"/>
    <w:semiHidden/>
    <w:unhideWhenUsed/>
    <w:qFormat/>
    <w:rsid w:val="000b487d"/>
  </w:style>
  <w:style w:type="numbering" w:styleId="471" w:customStyle="1">
    <w:name w:val="Нет списка47"/>
    <w:uiPriority w:val="99"/>
    <w:semiHidden/>
    <w:unhideWhenUsed/>
    <w:qFormat/>
    <w:rsid w:val="000b487d"/>
  </w:style>
  <w:style w:type="numbering" w:styleId="571" w:customStyle="1">
    <w:name w:val="Нет списка57"/>
    <w:uiPriority w:val="99"/>
    <w:semiHidden/>
    <w:unhideWhenUsed/>
    <w:qFormat/>
    <w:rsid w:val="000b487d"/>
  </w:style>
  <w:style w:type="numbering" w:styleId="641" w:customStyle="1">
    <w:name w:val="Нет списка64"/>
    <w:uiPriority w:val="99"/>
    <w:semiHidden/>
    <w:unhideWhenUsed/>
    <w:qFormat/>
    <w:rsid w:val="000b487d"/>
  </w:style>
  <w:style w:type="numbering" w:styleId="1151" w:customStyle="1">
    <w:name w:val="Нет списка115"/>
    <w:uiPriority w:val="99"/>
    <w:semiHidden/>
    <w:unhideWhenUsed/>
    <w:qFormat/>
    <w:rsid w:val="000b487d"/>
  </w:style>
  <w:style w:type="numbering" w:styleId="2141" w:customStyle="1">
    <w:name w:val="Нет списка214"/>
    <w:uiPriority w:val="99"/>
    <w:semiHidden/>
    <w:unhideWhenUsed/>
    <w:qFormat/>
    <w:rsid w:val="000b487d"/>
  </w:style>
  <w:style w:type="numbering" w:styleId="3141" w:customStyle="1">
    <w:name w:val="Нет списка314"/>
    <w:uiPriority w:val="99"/>
    <w:semiHidden/>
    <w:unhideWhenUsed/>
    <w:qFormat/>
    <w:rsid w:val="000b487d"/>
  </w:style>
  <w:style w:type="numbering" w:styleId="4141" w:customStyle="1">
    <w:name w:val="Нет списка414"/>
    <w:uiPriority w:val="99"/>
    <w:semiHidden/>
    <w:unhideWhenUsed/>
    <w:qFormat/>
    <w:rsid w:val="000b487d"/>
  </w:style>
  <w:style w:type="numbering" w:styleId="514" w:customStyle="1">
    <w:name w:val="Нет списка514"/>
    <w:uiPriority w:val="99"/>
    <w:semiHidden/>
    <w:unhideWhenUsed/>
    <w:qFormat/>
    <w:rsid w:val="000b487d"/>
  </w:style>
  <w:style w:type="numbering" w:styleId="741" w:customStyle="1">
    <w:name w:val="Нет списка74"/>
    <w:uiPriority w:val="99"/>
    <w:semiHidden/>
    <w:unhideWhenUsed/>
    <w:qFormat/>
    <w:rsid w:val="000b487d"/>
  </w:style>
  <w:style w:type="numbering" w:styleId="1241" w:customStyle="1">
    <w:name w:val="Нет списка124"/>
    <w:uiPriority w:val="99"/>
    <w:semiHidden/>
    <w:unhideWhenUsed/>
    <w:qFormat/>
    <w:rsid w:val="000b487d"/>
  </w:style>
  <w:style w:type="numbering" w:styleId="2241" w:customStyle="1">
    <w:name w:val="Нет списка224"/>
    <w:uiPriority w:val="99"/>
    <w:semiHidden/>
    <w:unhideWhenUsed/>
    <w:qFormat/>
    <w:rsid w:val="000b487d"/>
  </w:style>
  <w:style w:type="numbering" w:styleId="3241" w:customStyle="1">
    <w:name w:val="Нет списка324"/>
    <w:uiPriority w:val="99"/>
    <w:semiHidden/>
    <w:unhideWhenUsed/>
    <w:qFormat/>
    <w:rsid w:val="000b487d"/>
  </w:style>
  <w:style w:type="numbering" w:styleId="424" w:customStyle="1">
    <w:name w:val="Нет списка424"/>
    <w:uiPriority w:val="99"/>
    <w:semiHidden/>
    <w:unhideWhenUsed/>
    <w:qFormat/>
    <w:rsid w:val="000b487d"/>
  </w:style>
  <w:style w:type="numbering" w:styleId="524" w:customStyle="1">
    <w:name w:val="Нет списка524"/>
    <w:uiPriority w:val="99"/>
    <w:semiHidden/>
    <w:unhideWhenUsed/>
    <w:qFormat/>
    <w:rsid w:val="000b487d"/>
  </w:style>
  <w:style w:type="numbering" w:styleId="841" w:customStyle="1">
    <w:name w:val="Нет списка84"/>
    <w:uiPriority w:val="99"/>
    <w:semiHidden/>
    <w:unhideWhenUsed/>
    <w:qFormat/>
    <w:rsid w:val="000b487d"/>
  </w:style>
  <w:style w:type="numbering" w:styleId="94" w:customStyle="1">
    <w:name w:val="Нет списка94"/>
    <w:uiPriority w:val="99"/>
    <w:semiHidden/>
    <w:unhideWhenUsed/>
    <w:qFormat/>
    <w:rsid w:val="000b487d"/>
  </w:style>
  <w:style w:type="numbering" w:styleId="1341" w:customStyle="1">
    <w:name w:val="Нет списка134"/>
    <w:uiPriority w:val="99"/>
    <w:semiHidden/>
    <w:unhideWhenUsed/>
    <w:qFormat/>
    <w:rsid w:val="000b487d"/>
  </w:style>
  <w:style w:type="numbering" w:styleId="2341" w:customStyle="1">
    <w:name w:val="Нет списка234"/>
    <w:uiPriority w:val="99"/>
    <w:semiHidden/>
    <w:unhideWhenUsed/>
    <w:qFormat/>
    <w:rsid w:val="000b487d"/>
  </w:style>
  <w:style w:type="numbering" w:styleId="3341" w:customStyle="1">
    <w:name w:val="Нет списка334"/>
    <w:uiPriority w:val="99"/>
    <w:semiHidden/>
    <w:unhideWhenUsed/>
    <w:qFormat/>
    <w:rsid w:val="000b487d"/>
  </w:style>
  <w:style w:type="numbering" w:styleId="434" w:customStyle="1">
    <w:name w:val="Нет списка434"/>
    <w:uiPriority w:val="99"/>
    <w:semiHidden/>
    <w:unhideWhenUsed/>
    <w:qFormat/>
    <w:rsid w:val="000b487d"/>
  </w:style>
  <w:style w:type="numbering" w:styleId="534" w:customStyle="1">
    <w:name w:val="Нет списка534"/>
    <w:uiPriority w:val="99"/>
    <w:semiHidden/>
    <w:unhideWhenUsed/>
    <w:qFormat/>
    <w:rsid w:val="000b487d"/>
  </w:style>
  <w:style w:type="numbering" w:styleId="2213" w:customStyle="1">
    <w:name w:val="Заголовок 2 Знак2"/>
    <w:uiPriority w:val="99"/>
    <w:semiHidden/>
    <w:unhideWhenUsed/>
    <w:qFormat/>
    <w:rsid w:val="000b487d"/>
  </w:style>
  <w:style w:type="numbering" w:styleId="1161" w:customStyle="1">
    <w:name w:val="Нет списка116"/>
    <w:uiPriority w:val="99"/>
    <w:semiHidden/>
    <w:unhideWhenUsed/>
    <w:qFormat/>
    <w:rsid w:val="000b487d"/>
  </w:style>
  <w:style w:type="numbering" w:styleId="281" w:customStyle="1">
    <w:name w:val="Нет списка28"/>
    <w:uiPriority w:val="99"/>
    <w:semiHidden/>
    <w:unhideWhenUsed/>
    <w:qFormat/>
    <w:rsid w:val="000b487d"/>
  </w:style>
  <w:style w:type="numbering" w:styleId="381" w:customStyle="1">
    <w:name w:val="Нет списка38"/>
    <w:uiPriority w:val="99"/>
    <w:semiHidden/>
    <w:unhideWhenUsed/>
    <w:qFormat/>
    <w:rsid w:val="000b487d"/>
  </w:style>
  <w:style w:type="numbering" w:styleId="481" w:customStyle="1">
    <w:name w:val="Нет списка48"/>
    <w:uiPriority w:val="99"/>
    <w:semiHidden/>
    <w:unhideWhenUsed/>
    <w:qFormat/>
    <w:rsid w:val="000b487d"/>
  </w:style>
  <w:style w:type="numbering" w:styleId="58" w:customStyle="1">
    <w:name w:val="Нет списка58"/>
    <w:uiPriority w:val="99"/>
    <w:semiHidden/>
    <w:unhideWhenUsed/>
    <w:qFormat/>
    <w:rsid w:val="000b487d"/>
  </w:style>
  <w:style w:type="numbering" w:styleId="651" w:customStyle="1">
    <w:name w:val="Нет списка65"/>
    <w:uiPriority w:val="99"/>
    <w:semiHidden/>
    <w:unhideWhenUsed/>
    <w:qFormat/>
    <w:rsid w:val="000b487d"/>
  </w:style>
  <w:style w:type="numbering" w:styleId="1171" w:customStyle="1">
    <w:name w:val="Нет списка117"/>
    <w:uiPriority w:val="99"/>
    <w:semiHidden/>
    <w:unhideWhenUsed/>
    <w:qFormat/>
    <w:rsid w:val="000b487d"/>
  </w:style>
  <w:style w:type="numbering" w:styleId="2151" w:customStyle="1">
    <w:name w:val="Нет списка215"/>
    <w:uiPriority w:val="99"/>
    <w:semiHidden/>
    <w:unhideWhenUsed/>
    <w:qFormat/>
    <w:rsid w:val="000b487d"/>
  </w:style>
  <w:style w:type="numbering" w:styleId="3151" w:customStyle="1">
    <w:name w:val="Нет списка315"/>
    <w:uiPriority w:val="99"/>
    <w:semiHidden/>
    <w:unhideWhenUsed/>
    <w:qFormat/>
    <w:rsid w:val="000b487d"/>
  </w:style>
  <w:style w:type="numbering" w:styleId="4151" w:customStyle="1">
    <w:name w:val="Нет списка415"/>
    <w:uiPriority w:val="99"/>
    <w:semiHidden/>
    <w:unhideWhenUsed/>
    <w:qFormat/>
    <w:rsid w:val="000b487d"/>
  </w:style>
  <w:style w:type="numbering" w:styleId="515" w:customStyle="1">
    <w:name w:val="Нет списка515"/>
    <w:uiPriority w:val="99"/>
    <w:semiHidden/>
    <w:unhideWhenUsed/>
    <w:qFormat/>
    <w:rsid w:val="000b487d"/>
  </w:style>
  <w:style w:type="numbering" w:styleId="751" w:customStyle="1">
    <w:name w:val="Нет списка75"/>
    <w:uiPriority w:val="99"/>
    <w:semiHidden/>
    <w:unhideWhenUsed/>
    <w:qFormat/>
    <w:rsid w:val="000b487d"/>
  </w:style>
  <w:style w:type="numbering" w:styleId="1251" w:customStyle="1">
    <w:name w:val="Нет списка125"/>
    <w:uiPriority w:val="99"/>
    <w:semiHidden/>
    <w:unhideWhenUsed/>
    <w:qFormat/>
    <w:rsid w:val="000b487d"/>
  </w:style>
  <w:style w:type="numbering" w:styleId="2251" w:customStyle="1">
    <w:name w:val="Нет списка225"/>
    <w:uiPriority w:val="99"/>
    <w:semiHidden/>
    <w:unhideWhenUsed/>
    <w:qFormat/>
    <w:rsid w:val="000b487d"/>
  </w:style>
  <w:style w:type="numbering" w:styleId="3251" w:customStyle="1">
    <w:name w:val="Нет списка325"/>
    <w:uiPriority w:val="99"/>
    <w:semiHidden/>
    <w:unhideWhenUsed/>
    <w:qFormat/>
    <w:rsid w:val="000b487d"/>
  </w:style>
  <w:style w:type="numbering" w:styleId="425" w:customStyle="1">
    <w:name w:val="Нет списка425"/>
    <w:uiPriority w:val="99"/>
    <w:semiHidden/>
    <w:unhideWhenUsed/>
    <w:qFormat/>
    <w:rsid w:val="000b487d"/>
  </w:style>
  <w:style w:type="numbering" w:styleId="525" w:customStyle="1">
    <w:name w:val="Нет списка525"/>
    <w:uiPriority w:val="99"/>
    <w:semiHidden/>
    <w:unhideWhenUsed/>
    <w:qFormat/>
    <w:rsid w:val="000b487d"/>
  </w:style>
  <w:style w:type="numbering" w:styleId="851" w:customStyle="1">
    <w:name w:val="Нет списка85"/>
    <w:uiPriority w:val="99"/>
    <w:semiHidden/>
    <w:unhideWhenUsed/>
    <w:qFormat/>
    <w:rsid w:val="000b487d"/>
  </w:style>
  <w:style w:type="numbering" w:styleId="95" w:customStyle="1">
    <w:name w:val="Нет списка95"/>
    <w:uiPriority w:val="99"/>
    <w:semiHidden/>
    <w:unhideWhenUsed/>
    <w:qFormat/>
    <w:rsid w:val="000b487d"/>
  </w:style>
  <w:style w:type="numbering" w:styleId="1351" w:customStyle="1">
    <w:name w:val="Нет списка135"/>
    <w:uiPriority w:val="99"/>
    <w:semiHidden/>
    <w:unhideWhenUsed/>
    <w:qFormat/>
    <w:rsid w:val="000b487d"/>
  </w:style>
  <w:style w:type="numbering" w:styleId="2351" w:customStyle="1">
    <w:name w:val="Нет списка235"/>
    <w:uiPriority w:val="99"/>
    <w:semiHidden/>
    <w:unhideWhenUsed/>
    <w:qFormat/>
    <w:rsid w:val="000b487d"/>
  </w:style>
  <w:style w:type="numbering" w:styleId="335" w:customStyle="1">
    <w:name w:val="Нет списка335"/>
    <w:uiPriority w:val="99"/>
    <w:semiHidden/>
    <w:unhideWhenUsed/>
    <w:qFormat/>
    <w:rsid w:val="000b487d"/>
  </w:style>
  <w:style w:type="numbering" w:styleId="435" w:customStyle="1">
    <w:name w:val="Нет списка435"/>
    <w:uiPriority w:val="99"/>
    <w:semiHidden/>
    <w:unhideWhenUsed/>
    <w:qFormat/>
    <w:rsid w:val="000b487d"/>
  </w:style>
  <w:style w:type="numbering" w:styleId="535" w:customStyle="1">
    <w:name w:val="Нет списка535"/>
    <w:uiPriority w:val="99"/>
    <w:semiHidden/>
    <w:unhideWhenUsed/>
    <w:qFormat/>
    <w:rsid w:val="000b487d"/>
  </w:style>
  <w:style w:type="numbering" w:styleId="293" w:customStyle="1">
    <w:name w:val="Нет списка29"/>
    <w:uiPriority w:val="99"/>
    <w:semiHidden/>
    <w:unhideWhenUsed/>
    <w:qFormat/>
    <w:rsid w:val="000b487d"/>
  </w:style>
  <w:style w:type="numbering" w:styleId="1181" w:customStyle="1">
    <w:name w:val="Нет списка118"/>
    <w:uiPriority w:val="99"/>
    <w:semiHidden/>
    <w:unhideWhenUsed/>
    <w:qFormat/>
    <w:rsid w:val="000b487d"/>
  </w:style>
  <w:style w:type="numbering" w:styleId="2101" w:customStyle="1">
    <w:name w:val="Нет списка210"/>
    <w:uiPriority w:val="99"/>
    <w:semiHidden/>
    <w:unhideWhenUsed/>
    <w:qFormat/>
    <w:rsid w:val="000b487d"/>
  </w:style>
  <w:style w:type="numbering" w:styleId="391" w:customStyle="1">
    <w:name w:val="Нет списка39"/>
    <w:uiPriority w:val="99"/>
    <w:semiHidden/>
    <w:unhideWhenUsed/>
    <w:qFormat/>
    <w:rsid w:val="000b487d"/>
  </w:style>
  <w:style w:type="numbering" w:styleId="491" w:customStyle="1">
    <w:name w:val="Нет списка49"/>
    <w:uiPriority w:val="99"/>
    <w:semiHidden/>
    <w:unhideWhenUsed/>
    <w:qFormat/>
    <w:rsid w:val="000b487d"/>
  </w:style>
  <w:style w:type="numbering" w:styleId="59" w:customStyle="1">
    <w:name w:val="Нет списка59"/>
    <w:uiPriority w:val="99"/>
    <w:semiHidden/>
    <w:unhideWhenUsed/>
    <w:qFormat/>
    <w:rsid w:val="000b487d"/>
  </w:style>
  <w:style w:type="numbering" w:styleId="661" w:customStyle="1">
    <w:name w:val="Нет списка66"/>
    <w:uiPriority w:val="99"/>
    <w:semiHidden/>
    <w:unhideWhenUsed/>
    <w:qFormat/>
    <w:rsid w:val="000b487d"/>
  </w:style>
  <w:style w:type="numbering" w:styleId="1191" w:customStyle="1">
    <w:name w:val="Нет списка119"/>
    <w:uiPriority w:val="99"/>
    <w:semiHidden/>
    <w:unhideWhenUsed/>
    <w:qFormat/>
    <w:rsid w:val="000b487d"/>
  </w:style>
  <w:style w:type="numbering" w:styleId="2161" w:customStyle="1">
    <w:name w:val="Нет списка216"/>
    <w:uiPriority w:val="99"/>
    <w:semiHidden/>
    <w:unhideWhenUsed/>
    <w:qFormat/>
    <w:rsid w:val="000b487d"/>
  </w:style>
  <w:style w:type="numbering" w:styleId="3161" w:customStyle="1">
    <w:name w:val="Нет списка316"/>
    <w:uiPriority w:val="99"/>
    <w:semiHidden/>
    <w:unhideWhenUsed/>
    <w:qFormat/>
    <w:rsid w:val="000b487d"/>
  </w:style>
  <w:style w:type="numbering" w:styleId="4161" w:customStyle="1">
    <w:name w:val="Нет списка416"/>
    <w:uiPriority w:val="99"/>
    <w:semiHidden/>
    <w:unhideWhenUsed/>
    <w:qFormat/>
    <w:rsid w:val="000b487d"/>
  </w:style>
  <w:style w:type="numbering" w:styleId="516" w:customStyle="1">
    <w:name w:val="Нет списка516"/>
    <w:uiPriority w:val="99"/>
    <w:semiHidden/>
    <w:unhideWhenUsed/>
    <w:qFormat/>
    <w:rsid w:val="000b487d"/>
  </w:style>
  <w:style w:type="numbering" w:styleId="76" w:customStyle="1">
    <w:name w:val="Нет списка76"/>
    <w:uiPriority w:val="99"/>
    <w:semiHidden/>
    <w:unhideWhenUsed/>
    <w:qFormat/>
    <w:rsid w:val="000b487d"/>
  </w:style>
  <w:style w:type="numbering" w:styleId="1261" w:customStyle="1">
    <w:name w:val="Нет списка126"/>
    <w:uiPriority w:val="99"/>
    <w:semiHidden/>
    <w:unhideWhenUsed/>
    <w:qFormat/>
    <w:rsid w:val="000b487d"/>
  </w:style>
  <w:style w:type="numbering" w:styleId="2261" w:customStyle="1">
    <w:name w:val="Нет списка226"/>
    <w:uiPriority w:val="99"/>
    <w:semiHidden/>
    <w:unhideWhenUsed/>
    <w:qFormat/>
    <w:rsid w:val="000b487d"/>
  </w:style>
  <w:style w:type="numbering" w:styleId="3261" w:customStyle="1">
    <w:name w:val="Нет списка326"/>
    <w:uiPriority w:val="99"/>
    <w:semiHidden/>
    <w:unhideWhenUsed/>
    <w:qFormat/>
    <w:rsid w:val="000b487d"/>
  </w:style>
  <w:style w:type="numbering" w:styleId="426" w:customStyle="1">
    <w:name w:val="Нет списка426"/>
    <w:uiPriority w:val="99"/>
    <w:semiHidden/>
    <w:unhideWhenUsed/>
    <w:qFormat/>
    <w:rsid w:val="000b487d"/>
  </w:style>
  <w:style w:type="numbering" w:styleId="526" w:customStyle="1">
    <w:name w:val="Нет списка526"/>
    <w:uiPriority w:val="99"/>
    <w:semiHidden/>
    <w:unhideWhenUsed/>
    <w:qFormat/>
    <w:rsid w:val="000b487d"/>
  </w:style>
  <w:style w:type="numbering" w:styleId="86" w:customStyle="1">
    <w:name w:val="Нет списка86"/>
    <w:uiPriority w:val="99"/>
    <w:semiHidden/>
    <w:unhideWhenUsed/>
    <w:qFormat/>
    <w:rsid w:val="000b487d"/>
  </w:style>
  <w:style w:type="numbering" w:styleId="96" w:customStyle="1">
    <w:name w:val="Нет списка96"/>
    <w:uiPriority w:val="99"/>
    <w:semiHidden/>
    <w:unhideWhenUsed/>
    <w:qFormat/>
    <w:rsid w:val="000b487d"/>
  </w:style>
  <w:style w:type="numbering" w:styleId="1361" w:customStyle="1">
    <w:name w:val="Нет списка136"/>
    <w:uiPriority w:val="99"/>
    <w:semiHidden/>
    <w:unhideWhenUsed/>
    <w:qFormat/>
    <w:rsid w:val="000b487d"/>
  </w:style>
  <w:style w:type="numbering" w:styleId="2361" w:customStyle="1">
    <w:name w:val="Нет списка236"/>
    <w:uiPriority w:val="99"/>
    <w:semiHidden/>
    <w:unhideWhenUsed/>
    <w:qFormat/>
    <w:rsid w:val="000b487d"/>
  </w:style>
  <w:style w:type="numbering" w:styleId="336" w:customStyle="1">
    <w:name w:val="Нет списка336"/>
    <w:uiPriority w:val="99"/>
    <w:semiHidden/>
    <w:unhideWhenUsed/>
    <w:qFormat/>
    <w:rsid w:val="000b487d"/>
  </w:style>
  <w:style w:type="numbering" w:styleId="436" w:customStyle="1">
    <w:name w:val="Нет списка436"/>
    <w:uiPriority w:val="99"/>
    <w:semiHidden/>
    <w:unhideWhenUsed/>
    <w:qFormat/>
    <w:rsid w:val="000b487d"/>
  </w:style>
  <w:style w:type="numbering" w:styleId="536" w:customStyle="1">
    <w:name w:val="Нет списка536"/>
    <w:uiPriority w:val="99"/>
    <w:semiHidden/>
    <w:unhideWhenUsed/>
    <w:qFormat/>
    <w:rsid w:val="000b487d"/>
  </w:style>
  <w:style w:type="numbering" w:styleId="302" w:customStyle="1">
    <w:name w:val="Нет списка30"/>
    <w:link w:val="300"/>
    <w:semiHidden/>
    <w:unhideWhenUsed/>
    <w:qFormat/>
    <w:rsid w:val="000b487d"/>
  </w:style>
  <w:style w:type="numbering" w:styleId="1201" w:customStyle="1">
    <w:name w:val="Нет списка120"/>
    <w:uiPriority w:val="99"/>
    <w:semiHidden/>
    <w:unhideWhenUsed/>
    <w:qFormat/>
    <w:rsid w:val="000b487d"/>
  </w:style>
  <w:style w:type="numbering" w:styleId="2171" w:customStyle="1">
    <w:name w:val="Нет списка217"/>
    <w:uiPriority w:val="99"/>
    <w:semiHidden/>
    <w:unhideWhenUsed/>
    <w:qFormat/>
    <w:rsid w:val="000b487d"/>
  </w:style>
  <w:style w:type="numbering" w:styleId="3101" w:customStyle="1">
    <w:name w:val="Нет списка310"/>
    <w:uiPriority w:val="99"/>
    <w:semiHidden/>
    <w:unhideWhenUsed/>
    <w:qFormat/>
    <w:rsid w:val="000b487d"/>
  </w:style>
  <w:style w:type="numbering" w:styleId="4101" w:customStyle="1">
    <w:name w:val="Нет списка410"/>
    <w:uiPriority w:val="99"/>
    <w:semiHidden/>
    <w:unhideWhenUsed/>
    <w:qFormat/>
    <w:rsid w:val="000b487d"/>
  </w:style>
  <w:style w:type="numbering" w:styleId="510" w:customStyle="1">
    <w:name w:val="Нет списка510"/>
    <w:uiPriority w:val="99"/>
    <w:semiHidden/>
    <w:unhideWhenUsed/>
    <w:qFormat/>
    <w:rsid w:val="000b487d"/>
  </w:style>
  <w:style w:type="numbering" w:styleId="671" w:customStyle="1">
    <w:name w:val="Нет списка67"/>
    <w:uiPriority w:val="99"/>
    <w:semiHidden/>
    <w:unhideWhenUsed/>
    <w:qFormat/>
    <w:rsid w:val="000b487d"/>
  </w:style>
  <w:style w:type="numbering" w:styleId="11101" w:customStyle="1">
    <w:name w:val="Нет списка1110"/>
    <w:uiPriority w:val="99"/>
    <w:semiHidden/>
    <w:unhideWhenUsed/>
    <w:qFormat/>
    <w:rsid w:val="000b487d"/>
  </w:style>
  <w:style w:type="numbering" w:styleId="2181" w:customStyle="1">
    <w:name w:val="Нет списка218"/>
    <w:uiPriority w:val="99"/>
    <w:semiHidden/>
    <w:unhideWhenUsed/>
    <w:qFormat/>
    <w:rsid w:val="000b487d"/>
  </w:style>
  <w:style w:type="numbering" w:styleId="3171" w:customStyle="1">
    <w:name w:val="Нет списка317"/>
    <w:uiPriority w:val="99"/>
    <w:semiHidden/>
    <w:unhideWhenUsed/>
    <w:qFormat/>
    <w:rsid w:val="000b487d"/>
  </w:style>
  <w:style w:type="numbering" w:styleId="417" w:customStyle="1">
    <w:name w:val="Нет списка417"/>
    <w:uiPriority w:val="99"/>
    <w:semiHidden/>
    <w:unhideWhenUsed/>
    <w:qFormat/>
    <w:rsid w:val="000b487d"/>
  </w:style>
  <w:style w:type="numbering" w:styleId="517" w:customStyle="1">
    <w:name w:val="Нет списка517"/>
    <w:uiPriority w:val="99"/>
    <w:semiHidden/>
    <w:unhideWhenUsed/>
    <w:qFormat/>
    <w:rsid w:val="000b487d"/>
  </w:style>
  <w:style w:type="numbering" w:styleId="77" w:customStyle="1">
    <w:name w:val="Нет списка77"/>
    <w:uiPriority w:val="99"/>
    <w:semiHidden/>
    <w:unhideWhenUsed/>
    <w:qFormat/>
    <w:rsid w:val="000b487d"/>
  </w:style>
  <w:style w:type="numbering" w:styleId="1271" w:customStyle="1">
    <w:name w:val="Нет списка127"/>
    <w:uiPriority w:val="99"/>
    <w:semiHidden/>
    <w:unhideWhenUsed/>
    <w:qFormat/>
    <w:rsid w:val="000b487d"/>
  </w:style>
  <w:style w:type="numbering" w:styleId="2271" w:customStyle="1">
    <w:name w:val="Нет списка227"/>
    <w:uiPriority w:val="99"/>
    <w:semiHidden/>
    <w:unhideWhenUsed/>
    <w:qFormat/>
    <w:rsid w:val="000b487d"/>
  </w:style>
  <w:style w:type="numbering" w:styleId="3271" w:customStyle="1">
    <w:name w:val="Нет списка327"/>
    <w:uiPriority w:val="99"/>
    <w:semiHidden/>
    <w:unhideWhenUsed/>
    <w:qFormat/>
    <w:rsid w:val="000b487d"/>
  </w:style>
  <w:style w:type="numbering" w:styleId="427" w:customStyle="1">
    <w:name w:val="Нет списка427"/>
    <w:uiPriority w:val="99"/>
    <w:semiHidden/>
    <w:unhideWhenUsed/>
    <w:qFormat/>
    <w:rsid w:val="000b487d"/>
  </w:style>
  <w:style w:type="numbering" w:styleId="527" w:customStyle="1">
    <w:name w:val="Нет списка527"/>
    <w:uiPriority w:val="99"/>
    <w:semiHidden/>
    <w:unhideWhenUsed/>
    <w:qFormat/>
    <w:rsid w:val="000b487d"/>
  </w:style>
  <w:style w:type="numbering" w:styleId="87" w:customStyle="1">
    <w:name w:val="Нет списка87"/>
    <w:uiPriority w:val="99"/>
    <w:semiHidden/>
    <w:unhideWhenUsed/>
    <w:qFormat/>
    <w:rsid w:val="000b487d"/>
  </w:style>
  <w:style w:type="numbering" w:styleId="97" w:customStyle="1">
    <w:name w:val="Нет списка97"/>
    <w:uiPriority w:val="99"/>
    <w:semiHidden/>
    <w:unhideWhenUsed/>
    <w:qFormat/>
    <w:rsid w:val="000b487d"/>
  </w:style>
  <w:style w:type="numbering" w:styleId="1371" w:customStyle="1">
    <w:name w:val="Нет списка137"/>
    <w:uiPriority w:val="99"/>
    <w:semiHidden/>
    <w:unhideWhenUsed/>
    <w:qFormat/>
    <w:rsid w:val="000b487d"/>
  </w:style>
  <w:style w:type="numbering" w:styleId="2371" w:customStyle="1">
    <w:name w:val="Нет списка237"/>
    <w:uiPriority w:val="99"/>
    <w:semiHidden/>
    <w:unhideWhenUsed/>
    <w:qFormat/>
    <w:rsid w:val="000b487d"/>
  </w:style>
  <w:style w:type="numbering" w:styleId="337" w:customStyle="1">
    <w:name w:val="Нет списка337"/>
    <w:uiPriority w:val="99"/>
    <w:semiHidden/>
    <w:unhideWhenUsed/>
    <w:qFormat/>
    <w:rsid w:val="000b487d"/>
  </w:style>
  <w:style w:type="numbering" w:styleId="437" w:customStyle="1">
    <w:name w:val="Нет списка437"/>
    <w:uiPriority w:val="99"/>
    <w:semiHidden/>
    <w:unhideWhenUsed/>
    <w:qFormat/>
    <w:rsid w:val="000b487d"/>
  </w:style>
  <w:style w:type="numbering" w:styleId="537" w:customStyle="1">
    <w:name w:val="Нет списка537"/>
    <w:uiPriority w:val="99"/>
    <w:semiHidden/>
    <w:unhideWhenUsed/>
    <w:qFormat/>
    <w:rsid w:val="000b487d"/>
  </w:style>
  <w:style w:type="numbering" w:styleId="102" w:customStyle="1">
    <w:name w:val="Нет списка10"/>
    <w:uiPriority w:val="99"/>
    <w:semiHidden/>
    <w:unhideWhenUsed/>
    <w:qFormat/>
    <w:rsid w:val="000b487d"/>
  </w:style>
  <w:style w:type="numbering" w:styleId="1281" w:customStyle="1">
    <w:name w:val="Нет списка128"/>
    <w:uiPriority w:val="99"/>
    <w:semiHidden/>
    <w:unhideWhenUsed/>
    <w:qFormat/>
    <w:rsid w:val="000b487d"/>
  </w:style>
  <w:style w:type="numbering" w:styleId="11121" w:customStyle="1">
    <w:name w:val="Нет списка1112"/>
    <w:uiPriority w:val="99"/>
    <w:semiHidden/>
    <w:unhideWhenUsed/>
    <w:qFormat/>
    <w:rsid w:val="000b487d"/>
  </w:style>
  <w:style w:type="numbering" w:styleId="2191" w:customStyle="1">
    <w:name w:val="Нет списка219"/>
    <w:uiPriority w:val="99"/>
    <w:semiHidden/>
    <w:unhideWhenUsed/>
    <w:qFormat/>
    <w:rsid w:val="000b487d"/>
  </w:style>
  <w:style w:type="numbering" w:styleId="3181" w:customStyle="1">
    <w:name w:val="Нет списка318"/>
    <w:uiPriority w:val="99"/>
    <w:semiHidden/>
    <w:unhideWhenUsed/>
    <w:qFormat/>
    <w:rsid w:val="000b487d"/>
  </w:style>
  <w:style w:type="numbering" w:styleId="418" w:customStyle="1">
    <w:name w:val="Нет списка418"/>
    <w:uiPriority w:val="99"/>
    <w:semiHidden/>
    <w:unhideWhenUsed/>
    <w:qFormat/>
    <w:rsid w:val="000b487d"/>
  </w:style>
  <w:style w:type="numbering" w:styleId="518" w:customStyle="1">
    <w:name w:val="Нет списка518"/>
    <w:uiPriority w:val="99"/>
    <w:semiHidden/>
    <w:unhideWhenUsed/>
    <w:qFormat/>
    <w:rsid w:val="000b487d"/>
  </w:style>
  <w:style w:type="numbering" w:styleId="68" w:customStyle="1">
    <w:name w:val="Нет списка68"/>
    <w:uiPriority w:val="99"/>
    <w:semiHidden/>
    <w:unhideWhenUsed/>
    <w:qFormat/>
    <w:rsid w:val="000b487d"/>
  </w:style>
  <w:style w:type="numbering" w:styleId="11131" w:customStyle="1">
    <w:name w:val="Нет списка1113"/>
    <w:uiPriority w:val="99"/>
    <w:semiHidden/>
    <w:unhideWhenUsed/>
    <w:qFormat/>
    <w:rsid w:val="000b487d"/>
  </w:style>
  <w:style w:type="numbering" w:styleId="21101" w:customStyle="1">
    <w:name w:val="Нет списка2110"/>
    <w:uiPriority w:val="99"/>
    <w:semiHidden/>
    <w:unhideWhenUsed/>
    <w:qFormat/>
    <w:rsid w:val="000b487d"/>
  </w:style>
  <w:style w:type="numbering" w:styleId="3191" w:customStyle="1">
    <w:name w:val="Нет списка319"/>
    <w:uiPriority w:val="99"/>
    <w:semiHidden/>
    <w:unhideWhenUsed/>
    <w:qFormat/>
    <w:rsid w:val="000b487d"/>
  </w:style>
  <w:style w:type="numbering" w:styleId="419" w:customStyle="1">
    <w:name w:val="Нет списка419"/>
    <w:uiPriority w:val="99"/>
    <w:semiHidden/>
    <w:unhideWhenUsed/>
    <w:qFormat/>
    <w:rsid w:val="000b487d"/>
  </w:style>
  <w:style w:type="numbering" w:styleId="519" w:customStyle="1">
    <w:name w:val="Нет списка519"/>
    <w:uiPriority w:val="99"/>
    <w:semiHidden/>
    <w:unhideWhenUsed/>
    <w:qFormat/>
    <w:rsid w:val="000b487d"/>
  </w:style>
  <w:style w:type="numbering" w:styleId="78" w:customStyle="1">
    <w:name w:val="Нет списка78"/>
    <w:uiPriority w:val="99"/>
    <w:semiHidden/>
    <w:unhideWhenUsed/>
    <w:qFormat/>
    <w:rsid w:val="000b487d"/>
  </w:style>
  <w:style w:type="numbering" w:styleId="1291" w:customStyle="1">
    <w:name w:val="Нет списка129"/>
    <w:uiPriority w:val="99"/>
    <w:semiHidden/>
    <w:unhideWhenUsed/>
    <w:qFormat/>
    <w:rsid w:val="000b487d"/>
  </w:style>
  <w:style w:type="numbering" w:styleId="2281" w:customStyle="1">
    <w:name w:val="Нет списка228"/>
    <w:uiPriority w:val="99"/>
    <w:semiHidden/>
    <w:unhideWhenUsed/>
    <w:qFormat/>
    <w:rsid w:val="000b487d"/>
  </w:style>
  <w:style w:type="numbering" w:styleId="3281" w:customStyle="1">
    <w:name w:val="Нет списка328"/>
    <w:semiHidden/>
    <w:unhideWhenUsed/>
    <w:qFormat/>
    <w:rsid w:val="000b487d"/>
  </w:style>
  <w:style w:type="numbering" w:styleId="428" w:customStyle="1">
    <w:name w:val="Нет списка428"/>
    <w:semiHidden/>
    <w:unhideWhenUsed/>
    <w:qFormat/>
    <w:rsid w:val="000b487d"/>
  </w:style>
  <w:style w:type="numbering" w:styleId="528" w:customStyle="1">
    <w:name w:val="Нет списка528"/>
    <w:semiHidden/>
    <w:unhideWhenUsed/>
    <w:qFormat/>
    <w:rsid w:val="000b487d"/>
  </w:style>
  <w:style w:type="numbering" w:styleId="88" w:customStyle="1">
    <w:name w:val="Нет списка88"/>
    <w:uiPriority w:val="99"/>
    <w:semiHidden/>
    <w:unhideWhenUsed/>
    <w:qFormat/>
    <w:rsid w:val="000b487d"/>
  </w:style>
  <w:style w:type="numbering" w:styleId="98" w:customStyle="1">
    <w:name w:val="Нет списка98"/>
    <w:uiPriority w:val="99"/>
    <w:semiHidden/>
    <w:unhideWhenUsed/>
    <w:qFormat/>
    <w:rsid w:val="000b487d"/>
  </w:style>
  <w:style w:type="numbering" w:styleId="1381" w:customStyle="1">
    <w:name w:val="Нет списка138"/>
    <w:semiHidden/>
    <w:unhideWhenUsed/>
    <w:qFormat/>
    <w:rsid w:val="000b487d"/>
  </w:style>
  <w:style w:type="numbering" w:styleId="2381" w:customStyle="1">
    <w:name w:val="Нет списка238"/>
    <w:semiHidden/>
    <w:unhideWhenUsed/>
    <w:qFormat/>
    <w:rsid w:val="000b487d"/>
  </w:style>
  <w:style w:type="numbering" w:styleId="338" w:customStyle="1">
    <w:name w:val="Нет списка338"/>
    <w:semiHidden/>
    <w:unhideWhenUsed/>
    <w:qFormat/>
    <w:rsid w:val="000b487d"/>
  </w:style>
  <w:style w:type="numbering" w:styleId="438" w:customStyle="1">
    <w:name w:val="Нет списка438"/>
    <w:semiHidden/>
    <w:unhideWhenUsed/>
    <w:qFormat/>
    <w:rsid w:val="000b487d"/>
  </w:style>
  <w:style w:type="numbering" w:styleId="538" w:customStyle="1">
    <w:name w:val="Нет списка538"/>
    <w:semiHidden/>
    <w:unhideWhenUsed/>
    <w:qFormat/>
    <w:rsid w:val="000b487d"/>
  </w:style>
  <w:style w:type="numbering" w:styleId="1217" w:customStyle="1">
    <w:name w:val="Заголовок 1 Знак21"/>
    <w:uiPriority w:val="99"/>
    <w:semiHidden/>
    <w:unhideWhenUsed/>
    <w:qFormat/>
    <w:rsid w:val="000b487d"/>
  </w:style>
  <w:style w:type="numbering" w:styleId="1414" w:customStyle="1">
    <w:name w:val="Нет списка141"/>
    <w:semiHidden/>
    <w:unhideWhenUsed/>
    <w:qFormat/>
    <w:rsid w:val="000b487d"/>
  </w:style>
  <w:style w:type="numbering" w:styleId="2412" w:customStyle="1">
    <w:name w:val="Нет списка241"/>
    <w:semiHidden/>
    <w:unhideWhenUsed/>
    <w:qFormat/>
    <w:rsid w:val="000b487d"/>
  </w:style>
  <w:style w:type="numbering" w:styleId="3411" w:customStyle="1">
    <w:name w:val="Нет списка341"/>
    <w:semiHidden/>
    <w:unhideWhenUsed/>
    <w:qFormat/>
    <w:rsid w:val="000b487d"/>
  </w:style>
  <w:style w:type="numbering" w:styleId="4411" w:customStyle="1">
    <w:name w:val="Нет списка441"/>
    <w:semiHidden/>
    <w:unhideWhenUsed/>
    <w:qFormat/>
    <w:rsid w:val="000b487d"/>
  </w:style>
  <w:style w:type="numbering" w:styleId="5411" w:customStyle="1">
    <w:name w:val="Нет списка541"/>
    <w:semiHidden/>
    <w:unhideWhenUsed/>
    <w:qFormat/>
    <w:rsid w:val="000b487d"/>
  </w:style>
  <w:style w:type="numbering" w:styleId="6111" w:customStyle="1">
    <w:name w:val="Нет списка611"/>
    <w:semiHidden/>
    <w:unhideWhenUsed/>
    <w:qFormat/>
    <w:rsid w:val="000b487d"/>
  </w:style>
  <w:style w:type="numbering" w:styleId="11211" w:customStyle="1">
    <w:name w:val="Нет списка1121"/>
    <w:uiPriority w:val="99"/>
    <w:semiHidden/>
    <w:unhideWhenUsed/>
    <w:qFormat/>
    <w:rsid w:val="000b487d"/>
  </w:style>
  <w:style w:type="numbering" w:styleId="21111" w:customStyle="1">
    <w:name w:val="Нет списка2111"/>
    <w:uiPriority w:val="99"/>
    <w:semiHidden/>
    <w:unhideWhenUsed/>
    <w:qFormat/>
    <w:rsid w:val="000b487d"/>
  </w:style>
  <w:style w:type="numbering" w:styleId="31111" w:customStyle="1">
    <w:name w:val="Нет списка3111"/>
    <w:uiPriority w:val="99"/>
    <w:semiHidden/>
    <w:unhideWhenUsed/>
    <w:qFormat/>
    <w:rsid w:val="000b487d"/>
  </w:style>
  <w:style w:type="numbering" w:styleId="41111" w:customStyle="1">
    <w:name w:val="Нет списка4111"/>
    <w:uiPriority w:val="99"/>
    <w:semiHidden/>
    <w:unhideWhenUsed/>
    <w:qFormat/>
    <w:rsid w:val="000b487d"/>
  </w:style>
  <w:style w:type="numbering" w:styleId="51111" w:customStyle="1">
    <w:name w:val="Нет списка5111"/>
    <w:uiPriority w:val="99"/>
    <w:semiHidden/>
    <w:unhideWhenUsed/>
    <w:qFormat/>
    <w:rsid w:val="000b487d"/>
  </w:style>
  <w:style w:type="numbering" w:styleId="7111" w:customStyle="1">
    <w:name w:val="Нет списка711"/>
    <w:uiPriority w:val="99"/>
    <w:semiHidden/>
    <w:unhideWhenUsed/>
    <w:qFormat/>
    <w:rsid w:val="000b487d"/>
  </w:style>
  <w:style w:type="numbering" w:styleId="12111" w:customStyle="1">
    <w:name w:val="Нет списка1211"/>
    <w:uiPriority w:val="99"/>
    <w:semiHidden/>
    <w:unhideWhenUsed/>
    <w:qFormat/>
    <w:rsid w:val="000b487d"/>
  </w:style>
  <w:style w:type="numbering" w:styleId="22111" w:customStyle="1">
    <w:name w:val="Нет списка2211"/>
    <w:uiPriority w:val="99"/>
    <w:semiHidden/>
    <w:unhideWhenUsed/>
    <w:qFormat/>
    <w:rsid w:val="000b487d"/>
  </w:style>
  <w:style w:type="numbering" w:styleId="32111" w:customStyle="1">
    <w:name w:val="Нет списка3211"/>
    <w:uiPriority w:val="99"/>
    <w:semiHidden/>
    <w:unhideWhenUsed/>
    <w:qFormat/>
    <w:rsid w:val="000b487d"/>
  </w:style>
  <w:style w:type="numbering" w:styleId="42111" w:customStyle="1">
    <w:name w:val="Нет списка4211"/>
    <w:uiPriority w:val="99"/>
    <w:semiHidden/>
    <w:unhideWhenUsed/>
    <w:qFormat/>
    <w:rsid w:val="000b487d"/>
  </w:style>
  <w:style w:type="numbering" w:styleId="52111" w:customStyle="1">
    <w:name w:val="Нет списка5211"/>
    <w:uiPriority w:val="99"/>
    <w:semiHidden/>
    <w:unhideWhenUsed/>
    <w:qFormat/>
    <w:rsid w:val="000b487d"/>
  </w:style>
  <w:style w:type="numbering" w:styleId="8111" w:customStyle="1">
    <w:name w:val="Нет списка811"/>
    <w:uiPriority w:val="99"/>
    <w:semiHidden/>
    <w:unhideWhenUsed/>
    <w:qFormat/>
    <w:rsid w:val="000b487d"/>
  </w:style>
  <w:style w:type="numbering" w:styleId="9111" w:customStyle="1">
    <w:name w:val="Нет списка911"/>
    <w:uiPriority w:val="99"/>
    <w:semiHidden/>
    <w:unhideWhenUsed/>
    <w:qFormat/>
    <w:rsid w:val="000b487d"/>
  </w:style>
  <w:style w:type="numbering" w:styleId="13111" w:customStyle="1">
    <w:name w:val="Нет списка1311"/>
    <w:uiPriority w:val="99"/>
    <w:semiHidden/>
    <w:unhideWhenUsed/>
    <w:qFormat/>
    <w:rsid w:val="000b487d"/>
  </w:style>
  <w:style w:type="numbering" w:styleId="23111" w:customStyle="1">
    <w:name w:val="Нет списка2311"/>
    <w:uiPriority w:val="99"/>
    <w:semiHidden/>
    <w:unhideWhenUsed/>
    <w:qFormat/>
    <w:rsid w:val="000b487d"/>
  </w:style>
  <w:style w:type="numbering" w:styleId="33111" w:customStyle="1">
    <w:name w:val="Нет списка3311"/>
    <w:uiPriority w:val="99"/>
    <w:semiHidden/>
    <w:unhideWhenUsed/>
    <w:qFormat/>
    <w:rsid w:val="000b487d"/>
  </w:style>
  <w:style w:type="numbering" w:styleId="43111" w:customStyle="1">
    <w:name w:val="Нет списка4311"/>
    <w:uiPriority w:val="99"/>
    <w:semiHidden/>
    <w:unhideWhenUsed/>
    <w:qFormat/>
    <w:rsid w:val="000b487d"/>
  </w:style>
  <w:style w:type="numbering" w:styleId="53111" w:customStyle="1">
    <w:name w:val="Нет списка5311"/>
    <w:uiPriority w:val="99"/>
    <w:semiHidden/>
    <w:unhideWhenUsed/>
    <w:qFormat/>
    <w:rsid w:val="000b487d"/>
  </w:style>
  <w:style w:type="numbering" w:styleId="6211" w:customStyle="1">
    <w:name w:val="Нет списка621"/>
    <w:semiHidden/>
    <w:qFormat/>
    <w:rsid w:val="000b487d"/>
  </w:style>
  <w:style w:type="numbering" w:styleId="6311" w:customStyle="1">
    <w:name w:val="Нет списка631"/>
    <w:semiHidden/>
    <w:qFormat/>
    <w:rsid w:val="000b487d"/>
  </w:style>
  <w:style w:type="numbering" w:styleId="1511" w:customStyle="1">
    <w:name w:val="Нет списка151"/>
    <w:semiHidden/>
    <w:qFormat/>
    <w:rsid w:val="000b487d"/>
  </w:style>
  <w:style w:type="numbering" w:styleId="2511" w:customStyle="1">
    <w:name w:val="Нет списка251"/>
    <w:semiHidden/>
    <w:qFormat/>
    <w:rsid w:val="000b487d"/>
  </w:style>
  <w:style w:type="numbering" w:styleId="3511" w:customStyle="1">
    <w:name w:val="Нет списка351"/>
    <w:semiHidden/>
    <w:qFormat/>
    <w:rsid w:val="000b487d"/>
  </w:style>
  <w:style w:type="numbering" w:styleId="4511" w:customStyle="1">
    <w:name w:val="Нет списка451"/>
    <w:semiHidden/>
    <w:qFormat/>
    <w:rsid w:val="000b487d"/>
  </w:style>
  <w:style w:type="numbering" w:styleId="5511" w:customStyle="1">
    <w:name w:val="Нет списка551"/>
    <w:semiHidden/>
    <w:qFormat/>
    <w:rsid w:val="000b487d"/>
  </w:style>
  <w:style w:type="numbering" w:styleId="6411" w:customStyle="1">
    <w:name w:val="Нет списка641"/>
    <w:semiHidden/>
    <w:qFormat/>
    <w:rsid w:val="000b487d"/>
  </w:style>
  <w:style w:type="numbering" w:styleId="1611" w:customStyle="1">
    <w:name w:val="Нет списка161"/>
    <w:uiPriority w:val="99"/>
    <w:semiHidden/>
    <w:unhideWhenUsed/>
    <w:qFormat/>
    <w:rsid w:val="000b487d"/>
  </w:style>
  <w:style w:type="numbering" w:styleId="1711" w:customStyle="1">
    <w:name w:val="Нет списка171"/>
    <w:semiHidden/>
    <w:qFormat/>
    <w:rsid w:val="000b487d"/>
  </w:style>
  <w:style w:type="numbering" w:styleId="2611" w:customStyle="1">
    <w:name w:val="Нет списка261"/>
    <w:semiHidden/>
    <w:qFormat/>
    <w:rsid w:val="000b487d"/>
  </w:style>
  <w:style w:type="numbering" w:styleId="3611" w:customStyle="1">
    <w:name w:val="Нет списка361"/>
    <w:semiHidden/>
    <w:qFormat/>
    <w:rsid w:val="000b487d"/>
  </w:style>
  <w:style w:type="numbering" w:styleId="4611" w:customStyle="1">
    <w:name w:val="Нет списка461"/>
    <w:semiHidden/>
    <w:qFormat/>
    <w:rsid w:val="000b487d"/>
  </w:style>
  <w:style w:type="numbering" w:styleId="5611" w:customStyle="1">
    <w:name w:val="Нет списка561"/>
    <w:semiHidden/>
    <w:qFormat/>
    <w:rsid w:val="000b487d"/>
  </w:style>
  <w:style w:type="numbering" w:styleId="6511" w:customStyle="1">
    <w:name w:val="Нет списка651"/>
    <w:semiHidden/>
    <w:qFormat/>
    <w:rsid w:val="000b487d"/>
  </w:style>
  <w:style w:type="numbering" w:styleId="1811" w:customStyle="1">
    <w:name w:val="Нет списка181"/>
    <w:uiPriority w:val="99"/>
    <w:semiHidden/>
    <w:unhideWhenUsed/>
    <w:qFormat/>
    <w:rsid w:val="000b487d"/>
  </w:style>
  <w:style w:type="numbering" w:styleId="1911" w:customStyle="1">
    <w:name w:val="Нет списка191"/>
    <w:semiHidden/>
    <w:qFormat/>
    <w:rsid w:val="000b487d"/>
  </w:style>
  <w:style w:type="numbering" w:styleId="2711" w:customStyle="1">
    <w:name w:val="Нет списка271"/>
    <w:semiHidden/>
    <w:qFormat/>
    <w:rsid w:val="000b487d"/>
  </w:style>
  <w:style w:type="numbering" w:styleId="3711" w:customStyle="1">
    <w:name w:val="Нет списка371"/>
    <w:semiHidden/>
    <w:qFormat/>
    <w:rsid w:val="000b487d"/>
  </w:style>
  <w:style w:type="numbering" w:styleId="4711" w:customStyle="1">
    <w:name w:val="Нет списка471"/>
    <w:semiHidden/>
    <w:qFormat/>
    <w:rsid w:val="000b487d"/>
  </w:style>
  <w:style w:type="numbering" w:styleId="5711" w:customStyle="1">
    <w:name w:val="Нет списка571"/>
    <w:semiHidden/>
    <w:qFormat/>
    <w:rsid w:val="000b487d"/>
  </w:style>
  <w:style w:type="numbering" w:styleId="6611" w:customStyle="1">
    <w:name w:val="Нет списка661"/>
    <w:semiHidden/>
    <w:qFormat/>
    <w:rsid w:val="000b487d"/>
  </w:style>
  <w:style w:type="numbering" w:styleId="2312" w:customStyle="1">
    <w:name w:val="Заголовок 2 Знак3"/>
    <w:uiPriority w:val="99"/>
    <w:semiHidden/>
    <w:unhideWhenUsed/>
    <w:qFormat/>
    <w:rsid w:val="000b487d"/>
  </w:style>
  <w:style w:type="numbering" w:styleId="11011" w:customStyle="1">
    <w:name w:val="Нет списка1101"/>
    <w:semiHidden/>
    <w:qFormat/>
    <w:rsid w:val="000b487d"/>
  </w:style>
  <w:style w:type="numbering" w:styleId="2811" w:customStyle="1">
    <w:name w:val="Нет списка281"/>
    <w:semiHidden/>
    <w:qFormat/>
    <w:rsid w:val="000b487d"/>
  </w:style>
  <w:style w:type="numbering" w:styleId="3811" w:customStyle="1">
    <w:name w:val="Нет списка381"/>
    <w:semiHidden/>
    <w:qFormat/>
    <w:rsid w:val="000b487d"/>
  </w:style>
  <w:style w:type="numbering" w:styleId="4811" w:customStyle="1">
    <w:name w:val="Нет списка481"/>
    <w:semiHidden/>
    <w:qFormat/>
    <w:rsid w:val="000b487d"/>
  </w:style>
  <w:style w:type="numbering" w:styleId="581" w:customStyle="1">
    <w:name w:val="Нет списка581"/>
    <w:semiHidden/>
    <w:qFormat/>
    <w:rsid w:val="000b487d"/>
  </w:style>
  <w:style w:type="numbering" w:styleId="6711" w:customStyle="1">
    <w:name w:val="Нет списка671"/>
    <w:semiHidden/>
    <w:qFormat/>
    <w:rsid w:val="000b487d"/>
  </w:style>
  <w:style w:type="numbering" w:styleId="2911" w:customStyle="1">
    <w:name w:val="Нет списка291"/>
    <w:uiPriority w:val="99"/>
    <w:semiHidden/>
    <w:unhideWhenUsed/>
    <w:qFormat/>
    <w:rsid w:val="000b487d"/>
  </w:style>
  <w:style w:type="numbering" w:styleId="21011" w:customStyle="1">
    <w:name w:val="Нет списка2101"/>
    <w:semiHidden/>
    <w:qFormat/>
    <w:rsid w:val="000b487d"/>
  </w:style>
  <w:style w:type="numbering" w:styleId="3911" w:customStyle="1">
    <w:name w:val="Нет списка391"/>
    <w:semiHidden/>
    <w:qFormat/>
    <w:rsid w:val="000b487d"/>
  </w:style>
  <w:style w:type="numbering" w:styleId="4911" w:customStyle="1">
    <w:name w:val="Нет списка491"/>
    <w:semiHidden/>
    <w:qFormat/>
    <w:rsid w:val="000b487d"/>
  </w:style>
  <w:style w:type="numbering" w:styleId="591" w:customStyle="1">
    <w:name w:val="Нет списка591"/>
    <w:semiHidden/>
    <w:qFormat/>
    <w:rsid w:val="000b487d"/>
  </w:style>
  <w:style w:type="numbering" w:styleId="681" w:customStyle="1">
    <w:name w:val="Нет списка681"/>
    <w:semiHidden/>
    <w:qFormat/>
    <w:rsid w:val="000b487d"/>
  </w:style>
  <w:style w:type="numbering" w:styleId="3011" w:customStyle="1">
    <w:name w:val="Нет списка301"/>
    <w:uiPriority w:val="99"/>
    <w:semiHidden/>
    <w:unhideWhenUsed/>
    <w:qFormat/>
    <w:rsid w:val="000b487d"/>
  </w:style>
  <w:style w:type="numbering" w:styleId="31011" w:customStyle="1">
    <w:name w:val="Нет списка3101"/>
    <w:uiPriority w:val="99"/>
    <w:semiHidden/>
    <w:unhideWhenUsed/>
    <w:qFormat/>
    <w:rsid w:val="000b487d"/>
  </w:style>
  <w:style w:type="numbering" w:styleId="41011" w:customStyle="1">
    <w:name w:val="Нет списка4101"/>
    <w:uiPriority w:val="99"/>
    <w:semiHidden/>
    <w:unhideWhenUsed/>
    <w:qFormat/>
    <w:rsid w:val="000b487d"/>
  </w:style>
  <w:style w:type="numbering" w:styleId="OutlineList2">
    <w:name w:val="Outline List 2"/>
    <w:semiHidden/>
    <w:unhideWhenUsed/>
    <w:qFormat/>
    <w:rsid w:val="000b487d"/>
  </w:style>
  <w:style w:type="numbering" w:styleId="1111111" w:customStyle="1">
    <w:name w:val="1 / 1.1 / 1.1.11"/>
    <w:semiHidden/>
    <w:qFormat/>
    <w:rsid w:val="000b487d"/>
  </w:style>
  <w:style w:type="numbering" w:styleId="1111112" w:customStyle="1">
    <w:name w:val="1 / 1.1 / 1.1.12"/>
    <w:uiPriority w:val="99"/>
    <w:semiHidden/>
    <w:unhideWhenUsed/>
    <w:qFormat/>
    <w:rsid w:val="000b487d"/>
  </w:style>
  <w:style w:type="numbering" w:styleId="20" w:customStyle="1">
    <w:name w:val="Нет списка20"/>
    <w:link w:val="21b"/>
    <w:uiPriority w:val="99"/>
    <w:semiHidden/>
    <w:unhideWhenUsed/>
    <w:qFormat/>
    <w:rsid w:val="00144a5a"/>
  </w:style>
  <w:style w:type="table" w:default="1" w:styleId="a1">
    <w:name w:val="Normal Table"/>
    <w:uiPriority w:val="99"/>
    <w:semiHidden/>
    <w:unhideWhenUsed/>
    <w:tblPr>
      <w:tblInd w:w="0" w:type="dxa"/>
      <w:tblCellMar>
        <w:top w:w="0" w:type="dxa"/>
        <w:left w:w="108" w:type="dxa"/>
        <w:bottom w:w="0" w:type="dxa"/>
        <w:right w:w="108" w:type="dxa"/>
      </w:tblCellMar>
    </w:tblPr>
  </w:style>
  <w:style w:type="table" w:styleId="affffffffff1">
    <w:name w:val="Table Grid"/>
    <w:basedOn w:val="a1"/>
    <w:uiPriority w:val="59"/>
    <w:rsid w:val="000b487d"/>
    <w:rPr>
      <w:lang w:eastAsia="en-US" w:bidi="ar-SA"/>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fffe">
    <w:name w:val="Сетка таблицы1"/>
    <w:basedOn w:val="a1"/>
    <w:uiPriority w:val="59"/>
    <w:rsid w:val="000b487d"/>
    <w:rPr>
      <w:lang w:eastAsia="ru-RU" w:bidi="ar-SA"/>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a">
    <w:name w:val="Сетка таблицы11"/>
    <w:basedOn w:val="a1"/>
    <w:uiPriority w:val="59"/>
    <w:rsid w:val="000b487d"/>
    <w:rPr>
      <w:lang w:eastAsia="en-US" w:bidi="ar-SA"/>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fff3">
    <w:name w:val="Сетка таблицы2"/>
    <w:basedOn w:val="a1"/>
    <w:uiPriority w:val="59"/>
    <w:rsid w:val="000b487d"/>
    <w:rPr>
      <w:lang w:eastAsia="ru-RU" w:bidi="ar-SA"/>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fc">
    <w:name w:val="Сетка таблицы3"/>
    <w:basedOn w:val="a1"/>
    <w:rsid w:val="000b487d"/>
    <w:rPr>
      <w:lang w:eastAsia="ru-RU" w:bidi="ar-SA"/>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a">
    <w:name w:val="Сетка таблицы31"/>
    <w:basedOn w:val="a1"/>
    <w:rsid w:val="000b487d"/>
    <w:rPr>
      <w:lang w:eastAsia="ru-RU" w:bidi="ar-SA"/>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d">
    <w:name w:val="Сетка таблицы4"/>
    <w:basedOn w:val="a1"/>
    <w:uiPriority w:val="59"/>
    <w:rsid w:val="000b487d"/>
    <w:rPr>
      <w:lang w:eastAsia="ru-RU" w:bidi="ar-SA"/>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a">
    <w:name w:val="Сетка таблицы12"/>
    <w:basedOn w:val="a1"/>
    <w:uiPriority w:val="59"/>
    <w:rsid w:val="000b487d"/>
    <w:rPr>
      <w:lang w:eastAsia="en-US" w:bidi="ar-SA"/>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a">
    <w:name w:val="Сетка таблицы21"/>
    <w:basedOn w:val="a1"/>
    <w:uiPriority w:val="59"/>
    <w:rsid w:val="000b487d"/>
    <w:rPr>
      <w:lang w:eastAsia="ru-RU" w:bidi="ar-SA"/>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9">
    <w:name w:val="Сетка таблицы32"/>
    <w:basedOn w:val="a1"/>
    <w:rsid w:val="000b487d"/>
    <w:rPr>
      <w:lang w:eastAsia="ru-RU" w:bidi="ar-SA"/>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9">
    <w:name w:val="Сетка таблицы22"/>
    <w:basedOn w:val="a1"/>
    <w:uiPriority w:val="59"/>
    <w:rsid w:val="000b487d"/>
    <w:rPr>
      <w:lang w:eastAsia="ru-RU" w:bidi="ar-SA"/>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a">
    <w:name w:val="Сетка таблицы5"/>
    <w:basedOn w:val="a1"/>
    <w:uiPriority w:val="59"/>
    <w:rsid w:val="000b487d"/>
    <w:rPr>
      <w:lang w:eastAsia="en-US" w:bidi="ar-SA"/>
      <w:sz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cMar>
        <w:top w:w="85" w:type="dxa"/>
        <w:left w:w="85" w:type="dxa"/>
        <w:bottom w:w="85" w:type="dxa"/>
        <w:right w:w="85" w:type="dxa"/>
      </w:tcMar>
      <w:vAlign w:val="center"/>
    </w:tcPr>
  </w:style>
  <w:style w:type="table" w:customStyle="1" w:styleId="69">
    <w:name w:val="Сетка таблицы6"/>
    <w:basedOn w:val="a1"/>
    <w:uiPriority w:val="59"/>
    <w:rsid w:val="000b487d"/>
    <w:rPr>
      <w:lang w:eastAsia="ru-RU" w:bidi="ar-SA"/>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9">
    <w:name w:val="Сетка таблицы7"/>
    <w:basedOn w:val="a1"/>
    <w:uiPriority w:val="59"/>
    <w:rsid w:val="000b487d"/>
    <w:rPr>
      <w:lang w:eastAsia="ru-RU" w:bidi="ar-SA"/>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cMar>
        <w:top w:w="85" w:type="dxa"/>
        <w:left w:w="85" w:type="dxa"/>
        <w:bottom w:w="85" w:type="dxa"/>
        <w:right w:w="85" w:type="dxa"/>
      </w:tcMar>
      <w:vAlign w:val="center"/>
    </w:tcPr>
  </w:style>
  <w:style w:type="table" w:customStyle="1" w:styleId="500">
    <w:name w:val="Сетка таблицы50"/>
    <w:basedOn w:val="a1"/>
    <w:uiPriority w:val="59"/>
    <w:rsid w:val="000b487d"/>
    <w:rPr>
      <w:lang w:eastAsia="en-US" w:bidi="ar-SA"/>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9">
    <w:name w:val="Сетка таблицы8"/>
    <w:basedOn w:val="a1"/>
    <w:uiPriority w:val="59"/>
    <w:rsid w:val="000b487d"/>
    <w:rPr>
      <w:lang w:eastAsia="ru-RU" w:bidi="ar-SA"/>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9">
    <w:name w:val="Сетка таблицы9"/>
    <w:basedOn w:val="a1"/>
    <w:uiPriority w:val="59"/>
    <w:rsid w:val="000b487d"/>
    <w:rPr>
      <w:lang w:eastAsia="ru-RU" w:bidi="ar-SA"/>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2">
    <w:name w:val="Сетка таблицы10"/>
    <w:basedOn w:val="a1"/>
    <w:uiPriority w:val="39"/>
    <w:rsid w:val="000b487d"/>
    <w:rPr>
      <w:lang w:eastAsia="ru-RU" w:bidi="ar-SA"/>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9">
    <w:name w:val="Сетка таблицы13"/>
    <w:basedOn w:val="a1"/>
    <w:uiPriority w:val="39"/>
    <w:rsid w:val="000b487d"/>
    <w:rPr>
      <w:lang w:eastAsia="ru-RU" w:bidi="ar-SA"/>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6">
    <w:name w:val="Сетка таблицы14"/>
    <w:basedOn w:val="a1"/>
    <w:uiPriority w:val="59"/>
    <w:rsid w:val="000b487d"/>
    <w:rPr>
      <w:lang w:eastAsia="en-US" w:bidi="ar-SA"/>
      <w:sz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cMar>
        <w:top w:w="85" w:type="dxa"/>
        <w:left w:w="85" w:type="dxa"/>
        <w:bottom w:w="85" w:type="dxa"/>
        <w:right w:w="85" w:type="dxa"/>
      </w:tcMar>
      <w:vAlign w:val="center"/>
    </w:tcPr>
  </w:style>
  <w:style w:type="table" w:customStyle="1" w:styleId="51a">
    <w:name w:val="Сетка таблицы51"/>
    <w:basedOn w:val="a1"/>
    <w:uiPriority w:val="59"/>
    <w:rsid w:val="000b487d"/>
    <w:rPr>
      <w:lang w:eastAsia="ru-RU" w:bidi="ar-SA"/>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2">
    <w:name w:val="Сетка таблицы15"/>
    <w:basedOn w:val="a1"/>
    <w:uiPriority w:val="59"/>
    <w:rsid w:val="000b487d"/>
    <w:rPr>
      <w:lang w:eastAsia="ru-RU" w:bidi="ar-SA"/>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29">
    <w:name w:val="Сетка таблицы52"/>
    <w:basedOn w:val="a1"/>
    <w:uiPriority w:val="59"/>
    <w:rsid w:val="000b487d"/>
    <w:rPr>
      <w:lang w:eastAsia="ru-RU" w:bidi="ar-SA"/>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12">
    <w:name w:val="Сетка таблицы131"/>
    <w:basedOn w:val="a1"/>
    <w:uiPriority w:val="59"/>
    <w:rsid w:val="000b487d"/>
    <w:rPr>
      <w:lang w:eastAsia="en-US" w:bidi="ar-SA"/>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11">
    <w:name w:val="Сетка таблицы141"/>
    <w:basedOn w:val="a1"/>
    <w:uiPriority w:val="59"/>
    <w:rsid w:val="000b487d"/>
    <w:rPr>
      <w:lang w:eastAsia="en-US" w:bidi="ar-SA"/>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11">
    <w:name w:val="Сетка таблицы151"/>
    <w:basedOn w:val="a1"/>
    <w:uiPriority w:val="59"/>
    <w:rsid w:val="000b487d"/>
    <w:rPr>
      <w:lang w:eastAsia="en-US" w:bidi="ar-SA"/>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3">
    <w:name w:val="Сетка таблицы16"/>
    <w:basedOn w:val="a1"/>
    <w:uiPriority w:val="59"/>
    <w:rsid w:val="000b487d"/>
    <w:rPr>
      <w:lang w:eastAsia="en-US" w:bidi="ar-SA"/>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a">
    <w:name w:val="Сетка таблицы23"/>
    <w:basedOn w:val="a1"/>
    <w:uiPriority w:val="59"/>
    <w:rsid w:val="000b487d"/>
    <w:rPr>
      <w:lang w:eastAsia="ru-RU" w:bidi="ar-SA"/>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3">
    <w:name w:val="Сетка таблицы24"/>
    <w:basedOn w:val="a1"/>
    <w:uiPriority w:val="59"/>
    <w:rsid w:val="000b487d"/>
    <w:rPr>
      <w:lang w:eastAsia="ru-RU" w:bidi="ar-SA"/>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2">
    <w:name w:val="Сетка таблицы17"/>
    <w:basedOn w:val="a1"/>
    <w:uiPriority w:val="59"/>
    <w:rsid w:val="000b487d"/>
    <w:rPr>
      <w:lang w:eastAsia="en-US" w:bidi="ar-SA"/>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2">
    <w:name w:val="Сетка таблицы18"/>
    <w:basedOn w:val="a1"/>
    <w:uiPriority w:val="59"/>
    <w:rsid w:val="000b487d"/>
    <w:rPr>
      <w:lang w:eastAsia="en-US" w:bidi="ar-SA"/>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15">
    <w:name w:val="Сетка таблицы71"/>
    <w:basedOn w:val="a1"/>
    <w:uiPriority w:val="59"/>
    <w:rsid w:val="000b487d"/>
    <w:rPr>
      <w:lang w:eastAsia="en-US" w:bidi="ar-SA"/>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112">
    <w:name w:val="Сетка таблицы511"/>
    <w:basedOn w:val="a1"/>
    <w:uiPriority w:val="59"/>
    <w:rsid w:val="000b487d"/>
    <w:rPr>
      <w:lang w:eastAsia="en-US" w:bidi="ar-SA"/>
      <w:sz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cMar>
        <w:top w:w="85" w:type="dxa"/>
        <w:left w:w="85" w:type="dxa"/>
        <w:bottom w:w="85" w:type="dxa"/>
        <w:right w:w="85" w:type="dxa"/>
      </w:tcMar>
      <w:vAlign w:val="center"/>
    </w:tcPr>
  </w:style>
  <w:style w:type="table" w:customStyle="1" w:styleId="7111">
    <w:name w:val="Сетка таблицы711"/>
    <w:basedOn w:val="a1"/>
    <w:uiPriority w:val="59"/>
    <w:rsid w:val="000b487d"/>
    <w:rPr>
      <w:lang w:eastAsia="ru-RU" w:bidi="ar-SA"/>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cMar>
        <w:top w:w="85" w:type="dxa"/>
        <w:left w:w="85" w:type="dxa"/>
        <w:bottom w:w="85" w:type="dxa"/>
        <w:right w:w="85" w:type="dxa"/>
      </w:tcMar>
      <w:vAlign w:val="center"/>
    </w:tcPr>
  </w:style>
  <w:style w:type="table" w:customStyle="1" w:styleId="13110">
    <w:name w:val="Сетка таблицы1311"/>
    <w:basedOn w:val="a1"/>
    <w:uiPriority w:val="39"/>
    <w:rsid w:val="000b487d"/>
    <w:rPr>
      <w:lang w:eastAsia="ru-RU" w:bidi="ar-SA"/>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2">
    <w:name w:val="Сетка таблицы19"/>
    <w:basedOn w:val="a1"/>
    <w:uiPriority w:val="59"/>
    <w:rsid w:val="000b487d"/>
    <w:rPr>
      <w:lang w:eastAsia="en-US" w:bidi="ar-SA"/>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02">
    <w:name w:val="Сетка таблицы110"/>
    <w:basedOn w:val="a1"/>
    <w:uiPriority w:val="59"/>
    <w:rsid w:val="000b487d"/>
    <w:rPr>
      <w:lang w:eastAsia="ru-RU" w:bidi="ar-SA"/>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14">
    <w:name w:val="Сетка таблицы111"/>
    <w:basedOn w:val="a1"/>
    <w:uiPriority w:val="39"/>
    <w:rsid w:val="000b487d"/>
    <w:rPr>
      <w:lang w:eastAsia="en-US" w:bidi="ar-SA"/>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2">
    <w:name w:val="Сетка таблицы25"/>
    <w:basedOn w:val="a1"/>
    <w:uiPriority w:val="59"/>
    <w:rsid w:val="000b487d"/>
    <w:rPr>
      <w:lang w:eastAsia="ru-RU" w:bidi="ar-SA"/>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9">
    <w:name w:val="Сетка таблицы33"/>
    <w:basedOn w:val="a1"/>
    <w:uiPriority w:val="59"/>
    <w:rsid w:val="000b487d"/>
    <w:rPr>
      <w:lang w:eastAsia="ru-RU" w:bidi="ar-SA"/>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12">
    <w:name w:val="Сетка таблицы311"/>
    <w:basedOn w:val="a1"/>
    <w:uiPriority w:val="39"/>
    <w:rsid w:val="000b487d"/>
    <w:rPr>
      <w:lang w:eastAsia="ru-RU" w:bidi="ar-SA"/>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1a">
    <w:name w:val="Сетка таблицы41"/>
    <w:basedOn w:val="a1"/>
    <w:uiPriority w:val="59"/>
    <w:rsid w:val="000b487d"/>
    <w:rPr>
      <w:lang w:eastAsia="ru-RU" w:bidi="ar-SA"/>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12">
    <w:name w:val="Сетка таблицы121"/>
    <w:basedOn w:val="a1"/>
    <w:uiPriority w:val="59"/>
    <w:rsid w:val="000b487d"/>
    <w:rPr>
      <w:lang w:eastAsia="en-US" w:bidi="ar-SA"/>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12">
    <w:name w:val="Сетка таблицы211"/>
    <w:basedOn w:val="a1"/>
    <w:rsid w:val="000b487d"/>
    <w:rPr>
      <w:lang w:eastAsia="ru-RU" w:bidi="ar-SA"/>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12">
    <w:name w:val="Сетка таблицы321"/>
    <w:basedOn w:val="a1"/>
    <w:uiPriority w:val="39"/>
    <w:rsid w:val="000b487d"/>
    <w:rPr>
      <w:lang w:eastAsia="ru-RU" w:bidi="ar-SA"/>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12">
    <w:name w:val="Сетка таблицы221"/>
    <w:basedOn w:val="a1"/>
    <w:uiPriority w:val="39"/>
    <w:rsid w:val="000b487d"/>
    <w:rPr>
      <w:lang w:eastAsia="ru-RU" w:bidi="ar-SA"/>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39">
    <w:name w:val="Сетка таблицы53"/>
    <w:basedOn w:val="a1"/>
    <w:uiPriority w:val="39"/>
    <w:rsid w:val="000b487d"/>
    <w:rPr>
      <w:lang w:eastAsia="en-US" w:bidi="ar-SA"/>
      <w:sz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cMar>
        <w:top w:w="85" w:type="dxa"/>
        <w:left w:w="85" w:type="dxa"/>
        <w:bottom w:w="85" w:type="dxa"/>
        <w:right w:w="85" w:type="dxa"/>
      </w:tcMar>
      <w:vAlign w:val="center"/>
    </w:tcPr>
  </w:style>
  <w:style w:type="table" w:customStyle="1" w:styleId="613">
    <w:name w:val="Сетка таблицы61"/>
    <w:basedOn w:val="a1"/>
    <w:uiPriority w:val="59"/>
    <w:rsid w:val="000b487d"/>
    <w:rPr>
      <w:lang w:eastAsia="ru-RU" w:bidi="ar-SA"/>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21">
    <w:name w:val="Сетка таблицы72"/>
    <w:basedOn w:val="a1"/>
    <w:uiPriority w:val="59"/>
    <w:rsid w:val="000b487d"/>
    <w:rPr>
      <w:lang w:eastAsia="ru-RU" w:bidi="ar-SA"/>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cMar>
        <w:top w:w="85" w:type="dxa"/>
        <w:left w:w="85" w:type="dxa"/>
        <w:bottom w:w="85" w:type="dxa"/>
        <w:right w:w="85" w:type="dxa"/>
      </w:tcMar>
      <w:vAlign w:val="center"/>
    </w:tcPr>
  </w:style>
  <w:style w:type="table" w:customStyle="1" w:styleId="501">
    <w:name w:val="Сетка таблицы501"/>
    <w:basedOn w:val="a1"/>
    <w:uiPriority w:val="59"/>
    <w:rsid w:val="000b487d"/>
    <w:rPr>
      <w:lang w:eastAsia="en-US" w:bidi="ar-SA"/>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14">
    <w:name w:val="Сетка таблицы81"/>
    <w:basedOn w:val="a1"/>
    <w:rsid w:val="000b487d"/>
    <w:rPr>
      <w:lang w:eastAsia="ru-RU" w:bidi="ar-SA"/>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14">
    <w:name w:val="Сетка таблицы91"/>
    <w:basedOn w:val="a1"/>
    <w:rsid w:val="000b487d"/>
    <w:rPr>
      <w:lang w:eastAsia="ru-RU" w:bidi="ar-SA"/>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10">
    <w:name w:val="Сетка таблицы101"/>
    <w:basedOn w:val="a1"/>
    <w:rsid w:val="000b487d"/>
    <w:rPr>
      <w:lang w:eastAsia="ru-RU" w:bidi="ar-SA"/>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21">
    <w:name w:val="Сетка таблицы132"/>
    <w:basedOn w:val="a1"/>
    <w:uiPriority w:val="39"/>
    <w:rsid w:val="000b487d"/>
    <w:rPr>
      <w:lang w:eastAsia="ru-RU" w:bidi="ar-SA"/>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20">
    <w:name w:val="Сетка таблицы142"/>
    <w:basedOn w:val="a1"/>
    <w:uiPriority w:val="39"/>
    <w:rsid w:val="000b487d"/>
    <w:rPr>
      <w:lang w:eastAsia="en-US" w:bidi="ar-SA"/>
      <w:sz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cMar>
        <w:top w:w="85" w:type="dxa"/>
        <w:left w:w="85" w:type="dxa"/>
        <w:bottom w:w="85" w:type="dxa"/>
        <w:right w:w="85" w:type="dxa"/>
      </w:tcMar>
      <w:vAlign w:val="center"/>
    </w:tcPr>
  </w:style>
  <w:style w:type="table" w:styleId="-5">
    <w:name w:val="Light Shading Accent 5"/>
    <w:basedOn w:val="a1"/>
    <w:uiPriority w:val="99"/>
    <w:rsid w:val="000b487d"/>
    <w:rPr>
      <w:lang w:eastAsia="ru-RU" w:bidi="ar-SA"/>
      <w:color w:val="31849B"/>
      <w:szCs w:val="20"/>
    </w:rPr>
    <w:tblPr>
      <w:tblStyleRowBandSize w:val="1"/>
      <w:tblStyleColBandSize w:val="1"/>
      <w:tblBorders>
        <w:top w:val="single" w:color="4BACC6" w:sz="8" w:space="0"/>
        <w:bottom w:val="single" w:color="4BACC6" w:sz="8" w:space="0"/>
      </w:tblBorders>
    </w:tblPr>
    <w:tblStylePr w:type="firstRow">
      <w:pPr>
        <w:spacing w:before="0" w:after="0"/>
      </w:pPr>
      <w:rPr>
        <w:b/>
        <w:bCs/>
      </w:rPr>
      <w:tblPr/>
      <w:tcPr>
        <w:tcBorders>
          <w:top w:val="single" w:color="4BACC6" w:sz="8" w:space="0"/>
          <w:left w:val="nil"/>
          <w:bottom w:val="single" w:color="4BACC6" w:sz="8" w:space="0"/>
          <w:right w:val="nil"/>
          <w:insideH w:val="nil"/>
          <w:insideV w:val="nil"/>
        </w:tcBorders>
      </w:tcPr>
    </w:tblStylePr>
    <w:tblStylePr w:type="lastRow">
      <w:pPr>
        <w:spacing w:before="0" w:after="0"/>
      </w:pPr>
      <w:rPr>
        <w:b/>
        <w:bCs/>
      </w:rPr>
      <w:tblPr/>
      <w:tcPr>
        <w:tcBorders>
          <w:top w:val="single" w:color="4BACC6" w:sz="8" w:space="0"/>
          <w:left w:val="nil"/>
          <w:bottom w:val="single" w:color="4BACC6"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51">
    <w:name w:val="Светлая заливка - Акцент 51"/>
    <w:basedOn w:val="a1"/>
    <w:uiPriority w:val="99"/>
    <w:rsid w:val="000b487d"/>
    <w:rPr>
      <w:lang w:eastAsia="ru-RU" w:bidi="ar-SA"/>
      <w:color w:val="31849B"/>
      <w:szCs w:val="20"/>
    </w:rPr>
    <w:tblPr>
      <w:tblStyleRowBandSize w:val="1"/>
      <w:tblStyleColBandSize w:val="1"/>
      <w:tblBorders>
        <w:top w:val="single" w:color="4BACC6" w:sz="8" w:space="0"/>
        <w:bottom w:val="single" w:color="4BACC6" w:sz="8" w:space="0"/>
      </w:tblBorders>
    </w:tblPr>
    <w:tblStylePr w:type="firstRow">
      <w:pPr>
        <w:spacing w:before="0" w:after="0"/>
      </w:pPr>
      <w:rPr>
        <w:b/>
        <w:bCs/>
      </w:rPr>
      <w:tblPr/>
      <w:tcPr>
        <w:tcBorders>
          <w:top w:val="single" w:color="4BACC6" w:sz="8" w:space="0"/>
          <w:left w:val="nil"/>
          <w:bottom w:val="single" w:color="4BACC6" w:sz="8" w:space="0"/>
          <w:right w:val="nil"/>
          <w:insideH w:val="nil"/>
          <w:insideV w:val="nil"/>
        </w:tcBorders>
      </w:tcPr>
    </w:tblStylePr>
    <w:tblStylePr w:type="lastRow">
      <w:pPr>
        <w:spacing w:before="0" w:after="0"/>
      </w:pPr>
      <w:rPr>
        <w:b/>
        <w:bCs/>
      </w:rPr>
      <w:tblPr/>
      <w:tcPr>
        <w:tcBorders>
          <w:top w:val="single" w:color="4BACC6" w:sz="8" w:space="0"/>
          <w:left w:val="nil"/>
          <w:bottom w:val="single" w:color="4BACC6"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4112">
    <w:name w:val="Сетка таблицы411"/>
    <w:basedOn w:val="a1"/>
    <w:uiPriority w:val="59"/>
    <w:rsid w:val="000b487d"/>
    <w:rPr>
      <w:lang w:eastAsia="ru-RU" w:bidi="ar-SA"/>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429">
    <w:name w:val="Сетка таблицы42"/>
    <w:basedOn w:val="a1"/>
    <w:uiPriority w:val="59"/>
    <w:rsid w:val="000b487d"/>
    <w:rPr>
      <w:lang w:eastAsia="ru-RU" w:bidi="ar-SA"/>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439">
    <w:name w:val="Сетка таблицы43"/>
    <w:basedOn w:val="a1"/>
    <w:uiPriority w:val="59"/>
    <w:rsid w:val="000b487d"/>
    <w:rPr>
      <w:lang w:eastAsia="ru-RU" w:bidi="ar-SA"/>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442">
    <w:name w:val="Сетка таблицы44"/>
    <w:basedOn w:val="a1"/>
    <w:uiPriority w:val="59"/>
    <w:rsid w:val="000b487d"/>
    <w:rPr>
      <w:lang w:eastAsia="ru-RU" w:bidi="ar-SA"/>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520">
    <w:name w:val="Сетка таблицы152"/>
    <w:basedOn w:val="a1"/>
    <w:uiPriority w:val="59"/>
    <w:rsid w:val="000b487d"/>
    <w:rPr>
      <w:lang w:eastAsia="ru-RU" w:bidi="ar-SA"/>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452">
    <w:name w:val="Сетка таблицы45"/>
    <w:basedOn w:val="a1"/>
    <w:uiPriority w:val="59"/>
    <w:rsid w:val="000b487d"/>
    <w:rPr>
      <w:lang w:eastAsia="ru-RU" w:bidi="ar-SA"/>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611">
    <w:name w:val="Сетка таблицы161"/>
    <w:basedOn w:val="a1"/>
    <w:rsid w:val="000b487d"/>
    <w:rPr>
      <w:lang w:eastAsia="ru-RU" w:bidi="ar-SA"/>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11">
    <w:name w:val="Сетка таблицы171"/>
    <w:basedOn w:val="a1"/>
    <w:uiPriority w:val="59"/>
    <w:rsid w:val="000b487d"/>
    <w:rPr>
      <w:lang w:eastAsia="ru-RU" w:bidi="ar-SA"/>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462">
    <w:name w:val="Сетка таблицы46"/>
    <w:basedOn w:val="a1"/>
    <w:uiPriority w:val="59"/>
    <w:rsid w:val="000b487d"/>
    <w:rPr>
      <w:lang w:eastAsia="ru-RU" w:bidi="ar-SA"/>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810">
    <w:name w:val="Сетка таблицы181"/>
    <w:basedOn w:val="a1"/>
    <w:uiPriority w:val="59"/>
    <w:rsid w:val="000b487d"/>
    <w:rPr>
      <w:lang w:eastAsia="ru-RU" w:bidi="ar-SA"/>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910">
    <w:name w:val="Сетка таблицы191"/>
    <w:basedOn w:val="a1"/>
    <w:rsid w:val="000b487d"/>
    <w:rPr>
      <w:lang w:eastAsia="ru-RU" w:bidi="ar-SA"/>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010">
    <w:name w:val="Сетка таблицы1101"/>
    <w:basedOn w:val="a1"/>
    <w:uiPriority w:val="59"/>
    <w:rsid w:val="000b487d"/>
    <w:rPr>
      <w:lang w:eastAsia="ru-RU" w:bidi="ar-SA"/>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472">
    <w:name w:val="Сетка таблицы47"/>
    <w:basedOn w:val="a1"/>
    <w:uiPriority w:val="59"/>
    <w:rsid w:val="000b487d"/>
    <w:rPr>
      <w:lang w:eastAsia="ru-RU" w:bidi="ar-SA"/>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00">
    <w:name w:val="Сетка таблицы20"/>
    <w:basedOn w:val="a1"/>
    <w:rsid w:val="000b487d"/>
    <w:rPr>
      <w:lang w:eastAsia="ru-RU" w:bidi="ar-SA"/>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111">
    <w:name w:val="Сетка таблицы1111"/>
    <w:basedOn w:val="a1"/>
    <w:uiPriority w:val="39"/>
    <w:rsid w:val="000b487d"/>
    <w:rPr>
      <w:lang w:eastAsia="ru-RU" w:bidi="ar-SA"/>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482">
    <w:name w:val="Сетка таблицы48"/>
    <w:basedOn w:val="a1"/>
    <w:uiPriority w:val="59"/>
    <w:rsid w:val="000b487d"/>
    <w:rPr>
      <w:lang w:eastAsia="ru-RU" w:bidi="ar-SA"/>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122">
    <w:name w:val="Сетка таблицы112"/>
    <w:basedOn w:val="a1"/>
    <w:uiPriority w:val="39"/>
    <w:rsid w:val="000b487d"/>
    <w:rPr>
      <w:lang w:eastAsia="ru-RU" w:bidi="ar-SA"/>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492">
    <w:name w:val="Сетка таблицы49"/>
    <w:basedOn w:val="a1"/>
    <w:uiPriority w:val="59"/>
    <w:rsid w:val="000b487d"/>
    <w:rPr>
      <w:lang w:eastAsia="ru-RU" w:bidi="ar-SA"/>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72">
    <w:name w:val="Сетка таблицы27"/>
    <w:basedOn w:val="a1"/>
    <w:uiPriority w:val="59"/>
    <w:rsid w:val="000b487d"/>
    <w:rPr>
      <w:lang w:eastAsia="ru-RU" w:bidi="ar-SA"/>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10">
    <w:name w:val="Сетка таблицы231"/>
    <w:basedOn w:val="a1"/>
    <w:uiPriority w:val="39"/>
    <w:rsid w:val="000b487d"/>
    <w:rPr>
      <w:lang w:eastAsia="ru-RU" w:bidi="ar-SA"/>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411">
    <w:name w:val="Сетка таблицы241"/>
    <w:basedOn w:val="a1"/>
    <w:uiPriority w:val="59"/>
    <w:rsid w:val="000b487d"/>
    <w:rPr>
      <w:lang w:eastAsia="ru-RU" w:bidi="ar-SA"/>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131">
    <w:name w:val="Сетка таблицы113"/>
    <w:basedOn w:val="a1"/>
    <w:uiPriority w:val="59"/>
    <w:rsid w:val="000b487d"/>
    <w:rPr>
      <w:lang w:eastAsia="ru-RU" w:bidi="ar-SA"/>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02">
    <w:name w:val="Сетка таблицы30"/>
    <w:basedOn w:val="a1"/>
    <w:uiPriority w:val="59"/>
    <w:rsid w:val="000b487d"/>
    <w:rPr>
      <w:lang w:eastAsia="en-US" w:bidi="ar-SA"/>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1">
    <w:name w:val="Светлая заливка - Акцент 11"/>
    <w:basedOn w:val="a1"/>
    <w:uiPriority w:val="60"/>
    <w:rsid w:val="000b487d"/>
    <w:rPr>
      <w:lang w:eastAsia="en-US" w:bidi="ar-SA"/>
      <w:color w:val="365F91"/>
      <w:szCs w:val="22"/>
    </w:rPr>
    <w:tblPr>
      <w:tblStyleRowBandSize w:val="1"/>
      <w:tblStyleColBandSize w:val="1"/>
      <w:tblBorders>
        <w:top w:val="single" w:color="4F81BD" w:sz="8" w:space="0"/>
        <w:bottom w:val="single" w:color="4F81BD" w:sz="8" w:space="0"/>
      </w:tblBorders>
    </w:tblPr>
    <w:tblStylePr w:type="firstRow">
      <w:pPr>
        <w:spacing w:beforeLines="0" w:afterLines="0" w:line="240" w:lineRule="auto"/>
      </w:pPr>
      <w:rPr>
        <w:b/>
        <w:bCs/>
      </w:rPr>
      <w:tblPr/>
      <w:tcPr>
        <w:tcBorders>
          <w:top w:val="single" w:color="4F81BD" w:sz="8" w:space="0"/>
          <w:left w:val="nil"/>
          <w:bottom w:val="single" w:color="4F81BD" w:sz="8" w:space="0"/>
          <w:right w:val="nil"/>
          <w:insideH w:val="nil"/>
          <w:insideV w:val="nil"/>
        </w:tcBorders>
      </w:tcPr>
    </w:tblStylePr>
    <w:tblStylePr w:type="lastRow">
      <w:pPr>
        <w:spacing w:beforeLines="0" w:afterLines="0" w:line="240" w:lineRule="auto"/>
      </w:pPr>
      <w:rPr>
        <w:b/>
        <w:bCs/>
      </w:rPr>
      <w:tblPr/>
      <w:tcPr>
        <w:tcBorders>
          <w:top w:val="single" w:color="4F81BD" w:sz="8" w:space="0"/>
          <w:left w:val="nil"/>
          <w:bottom w:val="single" w:color="4F81BD"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21">
    <w:name w:val="Сетка таблицы212"/>
    <w:basedOn w:val="a1"/>
    <w:rsid w:val="000b487d"/>
    <w:rPr>
      <w:lang w:eastAsia="ru-RU" w:bidi="ar-SA"/>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120">
    <w:name w:val="Сетка таблицы512"/>
    <w:basedOn w:val="a1"/>
    <w:uiPriority w:val="39"/>
    <w:rsid w:val="000b487d"/>
    <w:rPr>
      <w:lang w:eastAsia="en-US" w:bidi="ar-SA"/>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110">
    <w:name w:val="Сетка таблицы3111"/>
    <w:basedOn w:val="a1"/>
    <w:uiPriority w:val="39"/>
    <w:rsid w:val="000b487d"/>
    <w:rPr>
      <w:lang w:eastAsia="en-US" w:bidi="ar-SA"/>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110">
    <w:name w:val="Сетка таблицы2211"/>
    <w:basedOn w:val="a1"/>
    <w:uiPriority w:val="39"/>
    <w:rsid w:val="000b487d"/>
    <w:rPr>
      <w:lang w:eastAsia="en-US" w:bidi="ar-SA"/>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1110">
    <w:name w:val="Сетка таблицы11111"/>
    <w:basedOn w:val="a1"/>
    <w:uiPriority w:val="39"/>
    <w:rsid w:val="000b487d"/>
    <w:rPr>
      <w:lang w:eastAsia="en-US" w:bidi="ar-SA"/>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120">
    <w:name w:val="Сетка таблицы1312"/>
    <w:basedOn w:val="a1"/>
    <w:uiPriority w:val="39"/>
    <w:rsid w:val="000b487d"/>
    <w:rPr>
      <w:lang w:eastAsia="en-US" w:bidi="ar-SA"/>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1110">
    <w:name w:val="Сетка таблицы4111"/>
    <w:basedOn w:val="a1"/>
    <w:uiPriority w:val="59"/>
    <w:rsid w:val="000b487d"/>
    <w:rPr>
      <w:lang w:eastAsia="en-US" w:bidi="ar-SA"/>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eNormal">
    <w:name w:val="Table Normal"/>
    <w:uiPriority w:val="2"/>
    <w:semiHidden/>
    <w:qFormat/>
    <w:rsid w:val="000b487d"/>
    <w:rPr>
      <w:lang w:val="en-US" w:eastAsia="en-US" w:bidi="ar-SA"/>
      <w:szCs w:val="22"/>
    </w:rPr>
    <w:tblPr>
      <w:tblCellMar>
        <w:top w:w="0" w:type="dxa"/>
        <w:left w:w="0" w:type="dxa"/>
        <w:bottom w:w="0" w:type="dxa"/>
        <w:right w:w="0" w:type="dxa"/>
      </w:tblCellMar>
    </w:tblPr>
  </w:style>
  <w:style w:type="table" w:customStyle="1" w:styleId="7120">
    <w:name w:val="Сетка таблицы712"/>
    <w:basedOn w:val="a1"/>
    <w:uiPriority w:val="59"/>
    <w:rsid w:val="000b487d"/>
    <w:rPr>
      <w:lang w:eastAsia="en-US" w:bidi="ar-SA"/>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0">
    <w:name w:val="Сетка таблицы40"/>
    <w:basedOn w:val="a1"/>
    <w:rsid w:val="000b487d"/>
    <w:rPr>
      <w:lang w:eastAsia="en-US" w:bidi="ar-SA"/>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00">
    <w:name w:val="Сетка таблицы60"/>
    <w:basedOn w:val="a1"/>
    <w:rsid w:val="000b487d"/>
    <w:rPr>
      <w:lang w:eastAsia="en-US" w:bidi="ar-SA"/>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15">
    <w:name w:val="Таблица ОРГРЭС111"/>
    <w:basedOn w:val="a1"/>
    <w:uiPriority w:val="59"/>
    <w:rsid w:val="000b487d"/>
    <w:rPr>
      <w:lang w:eastAsia="en-US" w:bidi="ar-SA"/>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b">
    <w:name w:val="Таблица ОРГРЭС11"/>
    <w:basedOn w:val="a1"/>
    <w:uiPriority w:val="59"/>
    <w:rsid w:val="000b487d"/>
    <w:rPr>
      <w:lang w:eastAsia="en-US" w:bidi="ar-SA"/>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180">
    <w:name w:val="Сетка таблицы418"/>
    <w:basedOn w:val="a1"/>
    <w:rsid w:val="000b487d"/>
    <w:pPr>
      <w:jc w:val="both"/>
    </w:pPr>
    <w:rPr>
      <w:lang w:eastAsia="en-US" w:bidi="ar-SA"/>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652">
    <w:name w:val="Сетка таблицы65"/>
    <w:basedOn w:val="a1"/>
    <w:uiPriority w:val="39"/>
    <w:rsid w:val="000b487d"/>
    <w:rPr>
      <w:lang w:eastAsia="en-US" w:bidi="ar-SA"/>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160">
    <w:name w:val="Сетка таблицы416"/>
    <w:basedOn w:val="a1"/>
    <w:rsid w:val="000b487d"/>
    <w:pPr>
      <w:jc w:val="both"/>
    </w:pPr>
    <w:rPr>
      <w:lang w:eastAsia="en-US" w:bidi="ar-SA"/>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53">
    <w:name w:val="Таблица ОРГРЭС153"/>
    <w:basedOn w:val="a1"/>
    <w:uiPriority w:val="59"/>
    <w:rsid w:val="000b487d"/>
    <w:rPr>
      <w:lang w:eastAsia="en-US" w:bidi="ar-SA"/>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eNormal1">
    <w:name w:val="Table Normal1"/>
    <w:uiPriority w:val="2"/>
    <w:semiHidden/>
    <w:qFormat/>
    <w:rsid w:val="000b487d"/>
    <w:rPr>
      <w:lang w:val="en-US" w:eastAsia="en-US" w:bidi="ar-SA"/>
      <w:szCs w:val="22"/>
    </w:rPr>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consultantplus://offline/ref=0D2A48E12D1277693EC7D2983109E32856EEFFF9F46535A8B634B5B96711A4FEEB1727661916A8DF8B54947CB1Z8gEG" TargetMode="External"/><Relationship Id="rId4" Type="http://schemas.openxmlformats.org/officeDocument/2006/relationships/hyperlink" Target="consultantplus://offline/ref=0D2A48E12D1277693EC7D2983109E32856EEFFF9F46535A8B634B5B96711A4FEEB1727661916A8DF8B54947CB1Z8gEG" TargetMode="External"/><Relationship Id="rId5" Type="http://schemas.openxmlformats.org/officeDocument/2006/relationships/hyperlink" Target="consultantplus://offline/ref=0D2A48E12D1277693EC7D2983109E32856EEFFF9F46535A8B634B5B96711A4FEEB1727661916A8DF8B54947CB1Z8gEG" TargetMode="External"/><Relationship Id="rId6" Type="http://schemas.openxmlformats.org/officeDocument/2006/relationships/hyperlink" Target="consultantplus://offline/ref=0D2A48E12D1277693EC7D2983109E32856EEFFF9F46535A8B634B5B96711A4FEEB1727661916A8DF8B54947CB1Z8gEG" TargetMode="External"/><Relationship Id="rId7" Type="http://schemas.openxmlformats.org/officeDocument/2006/relationships/hyperlink" Target="consultantplus://offline/ref=0D2A48E12D1277693EC7D2983109E32856EEFFF9F46535A8B634B5B96711A4FEEB1727661916A8DF8B54947CB1Z8gEG" TargetMode="External"/><Relationship Id="rId8" Type="http://schemas.openxmlformats.org/officeDocument/2006/relationships/hyperlink" Target="consultantplus://offline/ref=0D2A48E12D1277693EC7D2983109E32856EEFFF9F46535A8B634B5B96711A4FEEB1727661916A8DF8B54947CB1Z8gEG" TargetMode="External"/><Relationship Id="rId9" Type="http://schemas.openxmlformats.org/officeDocument/2006/relationships/hyperlink" Target="consultantplus://offline/ref=0D2A48E12D1277693EC7D2983109E32856EEFFF9F46535A8B634B5B96711A4FEEB1727661916A8DF8B54947CB1Z8gEG" TargetMode="External"/><Relationship Id="rId10" Type="http://schemas.openxmlformats.org/officeDocument/2006/relationships/hyperlink" Target="consultantplus://offline/ref=0D2A48E12D1277693EC7D2983109E32856EEFFF9F46535A8B634B5B96711A4FEEB1727661916A8DF8B54947CB1Z8gEG" TargetMode="External"/><Relationship Id="rId11" Type="http://schemas.openxmlformats.org/officeDocument/2006/relationships/hyperlink" Target="consultantplus://offline/ref=0D2A48E12D1277693EC7D2983109E32856EEFFF9F46535A8B634B5B96711A4FEEB1727661916A8DF8B54947CB1Z8gEG" TargetMode="External"/><Relationship Id="rId12" Type="http://schemas.openxmlformats.org/officeDocument/2006/relationships/hyperlink" Target="consultantplus://offline/ref=0D2A48E12D1277693EC7D2983109E32856EEFFF9F46535A8B634B5B96711A4FEEB1727661916A8DF8B54947CB1Z8gEG" TargetMode="External"/><Relationship Id="rId13" Type="http://schemas.openxmlformats.org/officeDocument/2006/relationships/hyperlink" Target="consultantplus://offline/ref=0D2A48E12D1277693EC7D2983109E32856EEFFF9F46535A8B634B5B96711A4FEEB1727661916A8DF8B54947CB1Z8gEG" TargetMode="External"/><Relationship Id="rId14" Type="http://schemas.openxmlformats.org/officeDocument/2006/relationships/header" Target="header1.xml"/><Relationship Id="rId15" Type="http://schemas.openxmlformats.org/officeDocument/2006/relationships/footer" Target="footer1.xml"/><Relationship Id="rId16" Type="http://schemas.openxmlformats.org/officeDocument/2006/relationships/header" Target="header2.xml"/><Relationship Id="rId17" Type="http://schemas.openxmlformats.org/officeDocument/2006/relationships/footer" Target="footer2.xml"/><Relationship Id="rId18" Type="http://schemas.openxmlformats.org/officeDocument/2006/relationships/image" Target="media/image2.png"/><Relationship Id="rId19" Type="http://schemas.openxmlformats.org/officeDocument/2006/relationships/header" Target="header3.xml"/><Relationship Id="rId20" Type="http://schemas.openxmlformats.org/officeDocument/2006/relationships/footer" Target="footer3.xml"/><Relationship Id="rId21" Type="http://schemas.openxmlformats.org/officeDocument/2006/relationships/header" Target="header4.xml"/><Relationship Id="rId22" Type="http://schemas.openxmlformats.org/officeDocument/2006/relationships/footer" Target="footer4.xml"/><Relationship Id="rId23" Type="http://schemas.openxmlformats.org/officeDocument/2006/relationships/header" Target="header5.xml"/><Relationship Id="rId24" Type="http://schemas.openxmlformats.org/officeDocument/2006/relationships/footer" Target="footer5.xml"/><Relationship Id="rId25" Type="http://schemas.openxmlformats.org/officeDocument/2006/relationships/header" Target="header6.xml"/><Relationship Id="rId26" Type="http://schemas.openxmlformats.org/officeDocument/2006/relationships/footer" Target="footer6.xml"/><Relationship Id="rId27" Type="http://schemas.openxmlformats.org/officeDocument/2006/relationships/header" Target="header7.xml"/><Relationship Id="rId28" Type="http://schemas.openxmlformats.org/officeDocument/2006/relationships/footer" Target="footer7.xml"/><Relationship Id="rId29" Type="http://schemas.openxmlformats.org/officeDocument/2006/relationships/header" Target="header8.xml"/><Relationship Id="rId30" Type="http://schemas.openxmlformats.org/officeDocument/2006/relationships/footer" Target="footer8.xml"/><Relationship Id="rId31" Type="http://schemas.openxmlformats.org/officeDocument/2006/relationships/hyperlink" Target="http://ri.eias.ru/" TargetMode="External"/><Relationship Id="rId32" Type="http://schemas.openxmlformats.org/officeDocument/2006/relationships/hyperlink" Target="http://ri.eias.ru/" TargetMode="External"/><Relationship Id="rId33" Type="http://schemas.openxmlformats.org/officeDocument/2006/relationships/hyperlink" Target="http://ri.eias.ru/" TargetMode="External"/><Relationship Id="rId34" Type="http://schemas.openxmlformats.org/officeDocument/2006/relationships/header" Target="header9.xml"/><Relationship Id="rId35" Type="http://schemas.openxmlformats.org/officeDocument/2006/relationships/footer" Target="footer9.xml"/><Relationship Id="rId36" Type="http://schemas.openxmlformats.org/officeDocument/2006/relationships/hyperlink" Target="https://login.consultant.ru/link/?req=doc&amp;base=LAW&amp;n=506972" TargetMode="External"/><Relationship Id="rId37" Type="http://schemas.openxmlformats.org/officeDocument/2006/relationships/header" Target="header10.xml"/><Relationship Id="rId38" Type="http://schemas.openxmlformats.org/officeDocument/2006/relationships/footer" Target="footer10.xml"/><Relationship Id="rId39" Type="http://schemas.openxmlformats.org/officeDocument/2006/relationships/image" Target="media/image3.png"/><Relationship Id="rId40" Type="http://schemas.openxmlformats.org/officeDocument/2006/relationships/image" Target="media/image4.png"/><Relationship Id="rId41" Type="http://schemas.openxmlformats.org/officeDocument/2006/relationships/image" Target="media/image5.png"/><Relationship Id="rId42" Type="http://schemas.openxmlformats.org/officeDocument/2006/relationships/header" Target="header11.xml"/><Relationship Id="rId43" Type="http://schemas.openxmlformats.org/officeDocument/2006/relationships/footer" Target="footer11.xml"/><Relationship Id="rId44" Type="http://schemas.openxmlformats.org/officeDocument/2006/relationships/hyperlink" Target="https://login.consultant.ru/link/?req=doc&amp;base=LAW&amp;n=168789" TargetMode="External"/><Relationship Id="rId45" Type="http://schemas.openxmlformats.org/officeDocument/2006/relationships/header" Target="header12.xml"/><Relationship Id="rId46" Type="http://schemas.openxmlformats.org/officeDocument/2006/relationships/footer" Target="footer12.xml"/><Relationship Id="rId47" Type="http://schemas.openxmlformats.org/officeDocument/2006/relationships/image" Target="media/image6.png"/><Relationship Id="rId48" Type="http://schemas.openxmlformats.org/officeDocument/2006/relationships/header" Target="header13.xml"/><Relationship Id="rId49" Type="http://schemas.openxmlformats.org/officeDocument/2006/relationships/footer" Target="footer13.xml"/><Relationship Id="rId50" Type="http://schemas.openxmlformats.org/officeDocument/2006/relationships/hyperlink" Target="https://login.consultant.ru/link/?req=doc&amp;base=LAW&amp;n=506972" TargetMode="External"/><Relationship Id="rId51" Type="http://schemas.openxmlformats.org/officeDocument/2006/relationships/header" Target="header14.xml"/><Relationship Id="rId52" Type="http://schemas.openxmlformats.org/officeDocument/2006/relationships/footer" Target="footer14.xml"/><Relationship Id="rId53" Type="http://schemas.openxmlformats.org/officeDocument/2006/relationships/header" Target="header15.xml"/><Relationship Id="rId54" Type="http://schemas.openxmlformats.org/officeDocument/2006/relationships/footer" Target="footer15.xml"/><Relationship Id="rId55" Type="http://schemas.openxmlformats.org/officeDocument/2006/relationships/header" Target="header16.xml"/><Relationship Id="rId56" Type="http://schemas.openxmlformats.org/officeDocument/2006/relationships/footer" Target="footer16.xml"/><Relationship Id="rId57" Type="http://schemas.openxmlformats.org/officeDocument/2006/relationships/header" Target="header17.xml"/><Relationship Id="rId58" Type="http://schemas.openxmlformats.org/officeDocument/2006/relationships/footer" Target="footer17.xml"/><Relationship Id="rId59" Type="http://schemas.openxmlformats.org/officeDocument/2006/relationships/oleObject" Target="embeddings/oleObject1.bin"/><Relationship Id="rId60" Type="http://schemas.openxmlformats.org/officeDocument/2006/relationships/image" Target="media/image7.wmf"/><Relationship Id="rId61" Type="http://schemas.openxmlformats.org/officeDocument/2006/relationships/header" Target="header18.xml"/><Relationship Id="rId62" Type="http://schemas.openxmlformats.org/officeDocument/2006/relationships/footer" Target="footer18.xml"/><Relationship Id="rId63" Type="http://schemas.openxmlformats.org/officeDocument/2006/relationships/header" Target="header19.xml"/><Relationship Id="rId64" Type="http://schemas.openxmlformats.org/officeDocument/2006/relationships/footer" Target="footer19.xml"/><Relationship Id="rId65" Type="http://schemas.openxmlformats.org/officeDocument/2006/relationships/header" Target="header20.xml"/><Relationship Id="rId66" Type="http://schemas.openxmlformats.org/officeDocument/2006/relationships/footer" Target="footer20.xml"/><Relationship Id="rId67" Type="http://schemas.openxmlformats.org/officeDocument/2006/relationships/chart" Target="charts/chart1.xml"/><Relationship Id="rId68" Type="http://schemas.openxmlformats.org/officeDocument/2006/relationships/header" Target="header21.xml"/><Relationship Id="rId69" Type="http://schemas.openxmlformats.org/officeDocument/2006/relationships/footer" Target="footer21.xml"/><Relationship Id="rId70" Type="http://schemas.openxmlformats.org/officeDocument/2006/relationships/hyperlink" Target="http://ri.eias.ru/" TargetMode="External"/><Relationship Id="rId71" Type="http://schemas.openxmlformats.org/officeDocument/2006/relationships/hyperlink" Target="http://ri.eias.ru/" TargetMode="External"/><Relationship Id="rId72" Type="http://schemas.openxmlformats.org/officeDocument/2006/relationships/hyperlink" Target="http://ri.eias.ru/" TargetMode="External"/><Relationship Id="rId73" Type="http://schemas.openxmlformats.org/officeDocument/2006/relationships/header" Target="header22.xml"/><Relationship Id="rId74" Type="http://schemas.openxmlformats.org/officeDocument/2006/relationships/footer" Target="footer22.xml"/><Relationship Id="rId75" Type="http://schemas.openxmlformats.org/officeDocument/2006/relationships/hyperlink" Target="http://base.garant.ru/70215126/" TargetMode="External"/><Relationship Id="rId76" Type="http://schemas.openxmlformats.org/officeDocument/2006/relationships/header" Target="header23.xml"/><Relationship Id="rId77" Type="http://schemas.openxmlformats.org/officeDocument/2006/relationships/footer" Target="footer23.xml"/><Relationship Id="rId78" Type="http://schemas.openxmlformats.org/officeDocument/2006/relationships/header" Target="header24.xml"/><Relationship Id="rId79" Type="http://schemas.openxmlformats.org/officeDocument/2006/relationships/footer" Target="footer24.xml"/><Relationship Id="rId80" Type="http://schemas.openxmlformats.org/officeDocument/2006/relationships/header" Target="header25.xml"/><Relationship Id="rId81" Type="http://schemas.openxmlformats.org/officeDocument/2006/relationships/footer" Target="footer25.xml"/><Relationship Id="rId82" Type="http://schemas.openxmlformats.org/officeDocument/2006/relationships/numbering" Target="numbering.xml"/><Relationship Id="rId83" Type="http://schemas.openxmlformats.org/officeDocument/2006/relationships/fontTable" Target="fontTable.xml"/><Relationship Id="rId84" Type="http://schemas.openxmlformats.org/officeDocument/2006/relationships/settings" Target="settings.xml"/><Relationship Id="rId85" Type="http://schemas.openxmlformats.org/officeDocument/2006/relationships/theme" Target="theme/theme1.xml"/>
</Relationships>
</file>

<file path=word/charts/chart1.xml><?xml version="1.0" encoding="utf-8"?>
<c:chartSpace xmlns:c="http://schemas.openxmlformats.org/drawingml/2006/chart" xmlns:a="http://schemas.openxmlformats.org/drawingml/2006/main" xmlns:r="http://schemas.openxmlformats.org/officeDocument/2006/relationships">
  <c:lang val="en-US"/>
  <c:roundedCorners val="0"/>
  <c:chart>
    <c:autoTitleDeleted val="1"/>
    <c:plotArea>
      <c:layout>
        <c:manualLayout>
          <c:layoutTarget val="inner"/>
          <c:xMode val="edge"/>
          <c:yMode val="edge"/>
          <c:x val="0.074"/>
          <c:y val="0.0276666666666667"/>
          <c:w val="0.9069375"/>
          <c:h val="0.757555555555556"/>
        </c:manualLayout>
      </c:layout>
      <c:lineChart>
        <c:grouping val="standard"/>
        <c:varyColors val="0"/>
        <c:ser>
          <c:idx val="0"/>
          <c:order val="0"/>
          <c:tx>
            <c:strRef>
              <c:f>label 0</c:f>
              <c:strCache>
                <c:ptCount val="1"/>
                <c:pt idx="0">
                  <c:v>Время снижения температуры</c:v>
                </c:pt>
              </c:strCache>
            </c:strRef>
          </c:tx>
          <c:spPr>
            <a:solidFill>
              <a:srgbClr val="666699"/>
            </a:solidFill>
            <a:ln w="25560">
              <a:solidFill>
                <a:srgbClr val="666699"/>
              </a:solidFill>
              <a:round/>
            </a:ln>
          </c:spPr>
          <c:marker>
            <c:symbol val="none"/>
          </c:marker>
          <c:dLbls>
            <c:txPr>
              <a:bodyPr/>
              <a:lstStyle/>
              <a:p>
                <a:pPr>
                  <a:defRPr b="0" sz="1000" spc="-1" strike="noStrike">
                    <a:solidFill>
                      <a:srgbClr val="000000"/>
                    </a:solidFill>
                    <a:latin typeface="Calibri"/>
                  </a:defRPr>
                </a:pPr>
              </a:p>
            </c:txPr>
            <c:dLblPos val="r"/>
            <c:showLegendKey val="0"/>
            <c:showVal val="0"/>
            <c:showCatName val="0"/>
            <c:showSerName val="0"/>
            <c:showPercent val="0"/>
            <c:separator>; </c:separator>
            <c:showLeaderLines val="0"/>
          </c:dLbls>
          <c:cat>
            <c:strRef>
              <c:f>categories</c:f>
              <c:strCache>
                <c:ptCount val="27"/>
                <c:pt idx="0">
                  <c:v>-43</c:v>
                </c:pt>
                <c:pt idx="1">
                  <c:v>-41</c:v>
                </c:pt>
                <c:pt idx="2">
                  <c:v>-39</c:v>
                </c:pt>
                <c:pt idx="3">
                  <c:v>-37</c:v>
                </c:pt>
                <c:pt idx="4">
                  <c:v>-35</c:v>
                </c:pt>
                <c:pt idx="5">
                  <c:v>-33</c:v>
                </c:pt>
                <c:pt idx="6">
                  <c:v>-31</c:v>
                </c:pt>
                <c:pt idx="7">
                  <c:v>-29</c:v>
                </c:pt>
                <c:pt idx="8">
                  <c:v>-27</c:v>
                </c:pt>
                <c:pt idx="9">
                  <c:v>-25</c:v>
                </c:pt>
                <c:pt idx="10">
                  <c:v>-23</c:v>
                </c:pt>
                <c:pt idx="11">
                  <c:v>-21</c:v>
                </c:pt>
                <c:pt idx="12">
                  <c:v>-19</c:v>
                </c:pt>
                <c:pt idx="13">
                  <c:v>-17</c:v>
                </c:pt>
                <c:pt idx="14">
                  <c:v>-15</c:v>
                </c:pt>
                <c:pt idx="15">
                  <c:v>-13</c:v>
                </c:pt>
                <c:pt idx="16">
                  <c:v>-11</c:v>
                </c:pt>
                <c:pt idx="17">
                  <c:v>-9</c:v>
                </c:pt>
                <c:pt idx="18">
                  <c:v>-7</c:v>
                </c:pt>
                <c:pt idx="19">
                  <c:v>-5</c:v>
                </c:pt>
                <c:pt idx="20">
                  <c:v>-3</c:v>
                </c:pt>
                <c:pt idx="21">
                  <c:v>-1</c:v>
                </c:pt>
                <c:pt idx="22">
                  <c:v>1</c:v>
                </c:pt>
                <c:pt idx="23">
                  <c:v>3</c:v>
                </c:pt>
                <c:pt idx="24">
                  <c:v>5</c:v>
                </c:pt>
                <c:pt idx="25">
                  <c:v>7</c:v>
                </c:pt>
                <c:pt idx="26">
                  <c:v>9</c:v>
                </c:pt>
              </c:strCache>
            </c:strRef>
          </c:cat>
          <c:val>
            <c:numRef>
              <c:f>0</c:f>
              <c:numCache>
                <c:formatCode>General</c:formatCode>
                <c:ptCount val="27"/>
                <c:pt idx="0">
                  <c:v>5.43206164636247</c:v>
                </c:pt>
                <c:pt idx="1">
                  <c:v>5.62327802484758</c:v>
                </c:pt>
                <c:pt idx="2">
                  <c:v>5.82847244725569</c:v>
                </c:pt>
                <c:pt idx="3">
                  <c:v>6.04923878895694</c:v>
                </c:pt>
                <c:pt idx="4">
                  <c:v>6.28742334089649</c:v>
                </c:pt>
                <c:pt idx="5">
                  <c:v>6.54517695127209</c:v>
                </c:pt>
                <c:pt idx="6">
                  <c:v>6.82502068123054</c:v>
                </c:pt>
                <c:pt idx="7">
                  <c:v>7.12992925625269</c:v>
                </c:pt>
                <c:pt idx="8">
                  <c:v>7.46343822321648</c:v>
                </c:pt>
                <c:pt idx="9">
                  <c:v>7.82978308504388</c:v>
                </c:pt>
                <c:pt idx="10">
                  <c:v>8.23408216816595</c:v>
                </c:pt>
                <c:pt idx="11">
                  <c:v>8.68258020951316</c:v>
                </c:pt>
                <c:pt idx="12">
                  <c:v>9.18297766578</c:v>
                </c:pt>
                <c:pt idx="13">
                  <c:v>9.74488330631</c:v>
                </c:pt>
                <c:pt idx="14">
                  <c:v>10.3804478194036</c:v>
                </c:pt>
                <c:pt idx="15">
                  <c:v>11.1052694639311</c:v>
                </c:pt>
                <c:pt idx="16">
                  <c:v>11.9397195422399</c:v>
                </c:pt>
                <c:pt idx="17">
                  <c:v>12.9109356905221</c:v>
                </c:pt>
                <c:pt idx="18">
                  <c:v>14.0559154735155</c:v>
                </c:pt>
                <c:pt idx="19">
                  <c:v>15.4264992324796</c:v>
                </c:pt>
                <c:pt idx="20">
                  <c:v>17.0977605930776</c:v>
                </c:pt>
                <c:pt idx="21">
                  <c:v>19.1829232104753</c:v>
                </c:pt>
                <c:pt idx="22">
                  <c:v>21.8617482547226</c:v>
                </c:pt>
                <c:pt idx="23">
                  <c:v>25.4395506687999</c:v>
                </c:pt>
                <c:pt idx="24">
                  <c:v>30.4856020818754</c:v>
                </c:pt>
                <c:pt idx="25">
                  <c:v>38.2204578010974</c:v>
                </c:pt>
                <c:pt idx="26">
                  <c:v>51.97131936521</c:v>
                </c:pt>
              </c:numCache>
            </c:numRef>
          </c:val>
          <c:smooth val="0"/>
        </c:ser>
        <c:ser>
          <c:idx val="1"/>
          <c:order val="1"/>
          <c:tx>
            <c:strRef>
              <c:f>label 1</c:f>
              <c:strCache>
                <c:ptCount val="1"/>
                <c:pt idx="0">
                  <c:v>D=32 мм</c:v>
                </c:pt>
              </c:strCache>
            </c:strRef>
          </c:tx>
          <c:spPr>
            <a:solidFill>
              <a:srgbClr val="993366"/>
            </a:solidFill>
            <a:ln w="25560">
              <a:solidFill>
                <a:srgbClr val="993366"/>
              </a:solidFill>
              <a:round/>
            </a:ln>
          </c:spPr>
          <c:marker>
            <c:symbol val="none"/>
          </c:marker>
          <c:dLbls>
            <c:txPr>
              <a:bodyPr/>
              <a:lstStyle/>
              <a:p>
                <a:pPr>
                  <a:defRPr b="0" sz="1000" spc="-1" strike="noStrike">
                    <a:solidFill>
                      <a:srgbClr val="000000"/>
                    </a:solidFill>
                    <a:latin typeface="Calibri"/>
                  </a:defRPr>
                </a:pPr>
              </a:p>
            </c:txPr>
            <c:dLblPos val="r"/>
            <c:showLegendKey val="0"/>
            <c:showVal val="0"/>
            <c:showCatName val="0"/>
            <c:showSerName val="0"/>
            <c:showPercent val="0"/>
            <c:separator>; </c:separator>
            <c:showLeaderLines val="0"/>
          </c:dLbls>
          <c:cat>
            <c:strRef>
              <c:f>categories</c:f>
              <c:strCache>
                <c:ptCount val="27"/>
                <c:pt idx="0">
                  <c:v>-43</c:v>
                </c:pt>
                <c:pt idx="1">
                  <c:v>-41</c:v>
                </c:pt>
                <c:pt idx="2">
                  <c:v>-39</c:v>
                </c:pt>
                <c:pt idx="3">
                  <c:v>-37</c:v>
                </c:pt>
                <c:pt idx="4">
                  <c:v>-35</c:v>
                </c:pt>
                <c:pt idx="5">
                  <c:v>-33</c:v>
                </c:pt>
                <c:pt idx="6">
                  <c:v>-31</c:v>
                </c:pt>
                <c:pt idx="7">
                  <c:v>-29</c:v>
                </c:pt>
                <c:pt idx="8">
                  <c:v>-27</c:v>
                </c:pt>
                <c:pt idx="9">
                  <c:v>-25</c:v>
                </c:pt>
                <c:pt idx="10">
                  <c:v>-23</c:v>
                </c:pt>
                <c:pt idx="11">
                  <c:v>-21</c:v>
                </c:pt>
                <c:pt idx="12">
                  <c:v>-19</c:v>
                </c:pt>
                <c:pt idx="13">
                  <c:v>-17</c:v>
                </c:pt>
                <c:pt idx="14">
                  <c:v>-15</c:v>
                </c:pt>
                <c:pt idx="15">
                  <c:v>-13</c:v>
                </c:pt>
                <c:pt idx="16">
                  <c:v>-11</c:v>
                </c:pt>
                <c:pt idx="17">
                  <c:v>-9</c:v>
                </c:pt>
                <c:pt idx="18">
                  <c:v>-7</c:v>
                </c:pt>
                <c:pt idx="19">
                  <c:v>-5</c:v>
                </c:pt>
                <c:pt idx="20">
                  <c:v>-3</c:v>
                </c:pt>
                <c:pt idx="21">
                  <c:v>-1</c:v>
                </c:pt>
                <c:pt idx="22">
                  <c:v>1</c:v>
                </c:pt>
                <c:pt idx="23">
                  <c:v>3</c:v>
                </c:pt>
                <c:pt idx="24">
                  <c:v>5</c:v>
                </c:pt>
                <c:pt idx="25">
                  <c:v>7</c:v>
                </c:pt>
                <c:pt idx="26">
                  <c:v>9</c:v>
                </c:pt>
              </c:strCache>
            </c:strRef>
          </c:cat>
          <c:val>
            <c:numRef>
              <c:f>1</c:f>
              <c:numCache>
                <c:formatCode>General</c:formatCode>
                <c:ptCount val="27"/>
                <c:pt idx="0">
                  <c:v>3.80258581887256</c:v>
                </c:pt>
                <c:pt idx="1">
                  <c:v>3.80258581887256</c:v>
                </c:pt>
                <c:pt idx="2">
                  <c:v>3.80258581887256</c:v>
                </c:pt>
                <c:pt idx="3">
                  <c:v>3.80258581887256</c:v>
                </c:pt>
                <c:pt idx="4">
                  <c:v>3.80258581887256</c:v>
                </c:pt>
                <c:pt idx="5">
                  <c:v>3.80258581887256</c:v>
                </c:pt>
                <c:pt idx="6">
                  <c:v>3.80258581887256</c:v>
                </c:pt>
                <c:pt idx="7">
                  <c:v>3.80258581887256</c:v>
                </c:pt>
                <c:pt idx="8">
                  <c:v>3.80258581887256</c:v>
                </c:pt>
                <c:pt idx="9">
                  <c:v>3.80258581887256</c:v>
                </c:pt>
                <c:pt idx="10">
                  <c:v>3.80258581887256</c:v>
                </c:pt>
                <c:pt idx="11">
                  <c:v>3.80258581887256</c:v>
                </c:pt>
                <c:pt idx="12">
                  <c:v>3.80258581887256</c:v>
                </c:pt>
                <c:pt idx="13">
                  <c:v>3.80258581887256</c:v>
                </c:pt>
                <c:pt idx="14">
                  <c:v>3.80258581887256</c:v>
                </c:pt>
                <c:pt idx="15">
                  <c:v>3.80258581887256</c:v>
                </c:pt>
                <c:pt idx="16">
                  <c:v>3.80258581887256</c:v>
                </c:pt>
                <c:pt idx="17">
                  <c:v>3.80258581887256</c:v>
                </c:pt>
                <c:pt idx="18">
                  <c:v>3.80258581887256</c:v>
                </c:pt>
                <c:pt idx="19">
                  <c:v>3.80258581887256</c:v>
                </c:pt>
                <c:pt idx="20">
                  <c:v>3.80258581887256</c:v>
                </c:pt>
                <c:pt idx="21">
                  <c:v>3.80258581887256</c:v>
                </c:pt>
                <c:pt idx="22">
                  <c:v>3.80258581887256</c:v>
                </c:pt>
                <c:pt idx="23">
                  <c:v>3.80258581887256</c:v>
                </c:pt>
                <c:pt idx="24">
                  <c:v>3.80258581887256</c:v>
                </c:pt>
                <c:pt idx="25">
                  <c:v>3.80258581887256</c:v>
                </c:pt>
                <c:pt idx="26">
                  <c:v>3.80258581887256</c:v>
                </c:pt>
              </c:numCache>
            </c:numRef>
          </c:val>
          <c:smooth val="0"/>
        </c:ser>
        <c:ser>
          <c:idx val="2"/>
          <c:order val="2"/>
          <c:tx>
            <c:strRef>
              <c:f>label 2</c:f>
              <c:strCache>
                <c:ptCount val="1"/>
                <c:pt idx="0">
                  <c:v>D=100 мм</c:v>
                </c:pt>
              </c:strCache>
            </c:strRef>
          </c:tx>
          <c:spPr>
            <a:solidFill>
              <a:srgbClr val="99cc00"/>
            </a:solidFill>
            <a:ln w="25560">
              <a:solidFill>
                <a:srgbClr val="99cc00"/>
              </a:solidFill>
              <a:round/>
            </a:ln>
          </c:spPr>
          <c:marker>
            <c:symbol val="none"/>
          </c:marker>
          <c:dLbls>
            <c:txPr>
              <a:bodyPr/>
              <a:lstStyle/>
              <a:p>
                <a:pPr>
                  <a:defRPr b="0" sz="1000" spc="-1" strike="noStrike">
                    <a:solidFill>
                      <a:srgbClr val="000000"/>
                    </a:solidFill>
                    <a:latin typeface="Calibri"/>
                  </a:defRPr>
                </a:pPr>
              </a:p>
            </c:txPr>
            <c:dLblPos val="r"/>
            <c:showLegendKey val="0"/>
            <c:showVal val="0"/>
            <c:showCatName val="0"/>
            <c:showSerName val="0"/>
            <c:showPercent val="0"/>
            <c:separator>; </c:separator>
            <c:showLeaderLines val="0"/>
          </c:dLbls>
          <c:cat>
            <c:strRef>
              <c:f>categories</c:f>
              <c:strCache>
                <c:ptCount val="27"/>
                <c:pt idx="0">
                  <c:v>-43</c:v>
                </c:pt>
                <c:pt idx="1">
                  <c:v>-41</c:v>
                </c:pt>
                <c:pt idx="2">
                  <c:v>-39</c:v>
                </c:pt>
                <c:pt idx="3">
                  <c:v>-37</c:v>
                </c:pt>
                <c:pt idx="4">
                  <c:v>-35</c:v>
                </c:pt>
                <c:pt idx="5">
                  <c:v>-33</c:v>
                </c:pt>
                <c:pt idx="6">
                  <c:v>-31</c:v>
                </c:pt>
                <c:pt idx="7">
                  <c:v>-29</c:v>
                </c:pt>
                <c:pt idx="8">
                  <c:v>-27</c:v>
                </c:pt>
                <c:pt idx="9">
                  <c:v>-25</c:v>
                </c:pt>
                <c:pt idx="10">
                  <c:v>-23</c:v>
                </c:pt>
                <c:pt idx="11">
                  <c:v>-21</c:v>
                </c:pt>
                <c:pt idx="12">
                  <c:v>-19</c:v>
                </c:pt>
                <c:pt idx="13">
                  <c:v>-17</c:v>
                </c:pt>
                <c:pt idx="14">
                  <c:v>-15</c:v>
                </c:pt>
                <c:pt idx="15">
                  <c:v>-13</c:v>
                </c:pt>
                <c:pt idx="16">
                  <c:v>-11</c:v>
                </c:pt>
                <c:pt idx="17">
                  <c:v>-9</c:v>
                </c:pt>
                <c:pt idx="18">
                  <c:v>-7</c:v>
                </c:pt>
                <c:pt idx="19">
                  <c:v>-5</c:v>
                </c:pt>
                <c:pt idx="20">
                  <c:v>-3</c:v>
                </c:pt>
                <c:pt idx="21">
                  <c:v>-1</c:v>
                </c:pt>
                <c:pt idx="22">
                  <c:v>1</c:v>
                </c:pt>
                <c:pt idx="23">
                  <c:v>3</c:v>
                </c:pt>
                <c:pt idx="24">
                  <c:v>5</c:v>
                </c:pt>
                <c:pt idx="25">
                  <c:v>7</c:v>
                </c:pt>
                <c:pt idx="26">
                  <c:v>9</c:v>
                </c:pt>
              </c:strCache>
            </c:strRef>
          </c:cat>
          <c:val>
            <c:numRef>
              <c:f>2</c:f>
              <c:numCache>
                <c:formatCode>General</c:formatCode>
                <c:ptCount val="27"/>
                <c:pt idx="0">
                  <c:v>6.40575121610744</c:v>
                </c:pt>
                <c:pt idx="1">
                  <c:v>6.40575121610744</c:v>
                </c:pt>
                <c:pt idx="2">
                  <c:v>6.40575121610744</c:v>
                </c:pt>
                <c:pt idx="3">
                  <c:v>6.40575121610744</c:v>
                </c:pt>
                <c:pt idx="4">
                  <c:v>6.40575121610744</c:v>
                </c:pt>
                <c:pt idx="5">
                  <c:v>6.40575121610744</c:v>
                </c:pt>
                <c:pt idx="6">
                  <c:v>6.40575121610744</c:v>
                </c:pt>
                <c:pt idx="7">
                  <c:v>6.40575121610744</c:v>
                </c:pt>
                <c:pt idx="8">
                  <c:v>6.40575121610744</c:v>
                </c:pt>
                <c:pt idx="9">
                  <c:v>6.40575121610744</c:v>
                </c:pt>
                <c:pt idx="10">
                  <c:v>6.40575121610744</c:v>
                </c:pt>
                <c:pt idx="11">
                  <c:v>6.40575121610744</c:v>
                </c:pt>
                <c:pt idx="12">
                  <c:v>6.40575121610744</c:v>
                </c:pt>
                <c:pt idx="13">
                  <c:v>6.40575121610744</c:v>
                </c:pt>
                <c:pt idx="14">
                  <c:v>6.40575121610744</c:v>
                </c:pt>
                <c:pt idx="15">
                  <c:v>6.40575121610744</c:v>
                </c:pt>
                <c:pt idx="16">
                  <c:v>6.40575121610744</c:v>
                </c:pt>
                <c:pt idx="17">
                  <c:v>6.40575121610744</c:v>
                </c:pt>
                <c:pt idx="18">
                  <c:v>6.40575121610744</c:v>
                </c:pt>
                <c:pt idx="19">
                  <c:v>6.40575121610744</c:v>
                </c:pt>
                <c:pt idx="20">
                  <c:v>6.40575121610744</c:v>
                </c:pt>
                <c:pt idx="21">
                  <c:v>6.40575121610744</c:v>
                </c:pt>
                <c:pt idx="22">
                  <c:v>6.40575121610744</c:v>
                </c:pt>
                <c:pt idx="23">
                  <c:v>6.40575121610744</c:v>
                </c:pt>
                <c:pt idx="24">
                  <c:v>6.40575121610744</c:v>
                </c:pt>
                <c:pt idx="25">
                  <c:v>6.40575121610744</c:v>
                </c:pt>
              </c:numCache>
            </c:numRef>
          </c:val>
          <c:smooth val="0"/>
        </c:ser>
        <c:ser>
          <c:idx val="3"/>
          <c:order val="3"/>
          <c:tx>
            <c:strRef>
              <c:f>label 3</c:f>
              <c:strCache>
                <c:ptCount val="1"/>
                <c:pt idx="0">
                  <c:v>D=200 мм</c:v>
                </c:pt>
              </c:strCache>
            </c:strRef>
          </c:tx>
          <c:spPr>
            <a:solidFill>
              <a:srgbClr val="666699"/>
            </a:solidFill>
            <a:ln w="25560">
              <a:solidFill>
                <a:srgbClr val="666699"/>
              </a:solidFill>
              <a:round/>
            </a:ln>
          </c:spPr>
          <c:marker>
            <c:symbol val="none"/>
          </c:marker>
          <c:dLbls>
            <c:txPr>
              <a:bodyPr/>
              <a:lstStyle/>
              <a:p>
                <a:pPr>
                  <a:defRPr b="0" sz="1000" spc="-1" strike="noStrike">
                    <a:solidFill>
                      <a:srgbClr val="000000"/>
                    </a:solidFill>
                    <a:latin typeface="Calibri"/>
                  </a:defRPr>
                </a:pPr>
              </a:p>
            </c:txPr>
            <c:dLblPos val="r"/>
            <c:showLegendKey val="0"/>
            <c:showVal val="0"/>
            <c:showCatName val="0"/>
            <c:showSerName val="0"/>
            <c:showPercent val="0"/>
            <c:separator>; </c:separator>
            <c:showLeaderLines val="0"/>
          </c:dLbls>
          <c:cat>
            <c:strRef>
              <c:f>categories</c:f>
              <c:strCache>
                <c:ptCount val="27"/>
                <c:pt idx="0">
                  <c:v>-43</c:v>
                </c:pt>
                <c:pt idx="1">
                  <c:v>-41</c:v>
                </c:pt>
                <c:pt idx="2">
                  <c:v>-39</c:v>
                </c:pt>
                <c:pt idx="3">
                  <c:v>-37</c:v>
                </c:pt>
                <c:pt idx="4">
                  <c:v>-35</c:v>
                </c:pt>
                <c:pt idx="5">
                  <c:v>-33</c:v>
                </c:pt>
                <c:pt idx="6">
                  <c:v>-31</c:v>
                </c:pt>
                <c:pt idx="7">
                  <c:v>-29</c:v>
                </c:pt>
                <c:pt idx="8">
                  <c:v>-27</c:v>
                </c:pt>
                <c:pt idx="9">
                  <c:v>-25</c:v>
                </c:pt>
                <c:pt idx="10">
                  <c:v>-23</c:v>
                </c:pt>
                <c:pt idx="11">
                  <c:v>-21</c:v>
                </c:pt>
                <c:pt idx="12">
                  <c:v>-19</c:v>
                </c:pt>
                <c:pt idx="13">
                  <c:v>-17</c:v>
                </c:pt>
                <c:pt idx="14">
                  <c:v>-15</c:v>
                </c:pt>
                <c:pt idx="15">
                  <c:v>-13</c:v>
                </c:pt>
                <c:pt idx="16">
                  <c:v>-11</c:v>
                </c:pt>
                <c:pt idx="17">
                  <c:v>-9</c:v>
                </c:pt>
                <c:pt idx="18">
                  <c:v>-7</c:v>
                </c:pt>
                <c:pt idx="19">
                  <c:v>-5</c:v>
                </c:pt>
                <c:pt idx="20">
                  <c:v>-3</c:v>
                </c:pt>
                <c:pt idx="21">
                  <c:v>-1</c:v>
                </c:pt>
                <c:pt idx="22">
                  <c:v>1</c:v>
                </c:pt>
                <c:pt idx="23">
                  <c:v>3</c:v>
                </c:pt>
                <c:pt idx="24">
                  <c:v>5</c:v>
                </c:pt>
                <c:pt idx="25">
                  <c:v>7</c:v>
                </c:pt>
                <c:pt idx="26">
                  <c:v>9</c:v>
                </c:pt>
              </c:strCache>
            </c:strRef>
          </c:cat>
          <c:val>
            <c:numRef>
              <c:f>3</c:f>
              <c:numCache>
                <c:formatCode>General</c:formatCode>
                <c:ptCount val="27"/>
                <c:pt idx="0">
                  <c:v>10.9378050370627</c:v>
                </c:pt>
                <c:pt idx="1">
                  <c:v>10.9378050370627</c:v>
                </c:pt>
                <c:pt idx="2">
                  <c:v>10.9378050370627</c:v>
                </c:pt>
                <c:pt idx="3">
                  <c:v>10.9378050370627</c:v>
                </c:pt>
                <c:pt idx="4">
                  <c:v>10.9378050370627</c:v>
                </c:pt>
                <c:pt idx="5">
                  <c:v>10.9378050370627</c:v>
                </c:pt>
                <c:pt idx="6">
                  <c:v>10.9378050370627</c:v>
                </c:pt>
                <c:pt idx="7">
                  <c:v>10.9378050370627</c:v>
                </c:pt>
                <c:pt idx="8">
                  <c:v>10.9378050370627</c:v>
                </c:pt>
                <c:pt idx="9">
                  <c:v>10.9378050370627</c:v>
                </c:pt>
                <c:pt idx="10">
                  <c:v>10.9378050370627</c:v>
                </c:pt>
                <c:pt idx="11">
                  <c:v>10.9378050370627</c:v>
                </c:pt>
                <c:pt idx="12">
                  <c:v>10.9378050370627</c:v>
                </c:pt>
                <c:pt idx="13">
                  <c:v>10.9378050370627</c:v>
                </c:pt>
                <c:pt idx="14">
                  <c:v>10.9378050370627</c:v>
                </c:pt>
                <c:pt idx="15">
                  <c:v>10.9378050370627</c:v>
                </c:pt>
                <c:pt idx="16">
                  <c:v>10.9378050370627</c:v>
                </c:pt>
                <c:pt idx="17">
                  <c:v>10.9378050370627</c:v>
                </c:pt>
                <c:pt idx="18">
                  <c:v>10.9378050370627</c:v>
                </c:pt>
                <c:pt idx="19">
                  <c:v>10.9378050370627</c:v>
                </c:pt>
                <c:pt idx="20">
                  <c:v>10.9378050370627</c:v>
                </c:pt>
                <c:pt idx="21">
                  <c:v>10.9378050370627</c:v>
                </c:pt>
                <c:pt idx="22">
                  <c:v>10.9378050370627</c:v>
                </c:pt>
                <c:pt idx="23">
                  <c:v>10.9378050370627</c:v>
                </c:pt>
                <c:pt idx="24">
                  <c:v>10.9378050370627</c:v>
                </c:pt>
                <c:pt idx="25">
                  <c:v>10.9378050370627</c:v>
                </c:pt>
              </c:numCache>
            </c:numRef>
          </c:val>
          <c:smooth val="0"/>
        </c:ser>
        <c:ser>
          <c:idx val="4"/>
          <c:order val="4"/>
          <c:tx>
            <c:strRef>
              <c:f>label 4</c:f>
              <c:strCache>
                <c:ptCount val="1"/>
                <c:pt idx="0">
                  <c:v>D=300 мм</c:v>
                </c:pt>
              </c:strCache>
            </c:strRef>
          </c:tx>
          <c:spPr>
            <a:solidFill>
              <a:srgbClr val="33cccc"/>
            </a:solidFill>
            <a:ln w="25560">
              <a:solidFill>
                <a:srgbClr val="33cccc"/>
              </a:solidFill>
              <a:round/>
            </a:ln>
          </c:spPr>
          <c:marker>
            <c:symbol val="none"/>
          </c:marker>
          <c:dLbls>
            <c:txPr>
              <a:bodyPr/>
              <a:lstStyle/>
              <a:p>
                <a:pPr>
                  <a:defRPr b="0" sz="1000" spc="-1" strike="noStrike">
                    <a:solidFill>
                      <a:srgbClr val="000000"/>
                    </a:solidFill>
                    <a:latin typeface="Calibri"/>
                  </a:defRPr>
                </a:pPr>
              </a:p>
            </c:txPr>
            <c:dLblPos val="r"/>
            <c:showLegendKey val="0"/>
            <c:showVal val="0"/>
            <c:showCatName val="0"/>
            <c:showSerName val="0"/>
            <c:showPercent val="0"/>
            <c:separator>; </c:separator>
            <c:showLeaderLines val="0"/>
          </c:dLbls>
          <c:cat>
            <c:strRef>
              <c:f>categories</c:f>
              <c:strCache>
                <c:ptCount val="27"/>
                <c:pt idx="0">
                  <c:v>-43</c:v>
                </c:pt>
                <c:pt idx="1">
                  <c:v>-41</c:v>
                </c:pt>
                <c:pt idx="2">
                  <c:v>-39</c:v>
                </c:pt>
                <c:pt idx="3">
                  <c:v>-37</c:v>
                </c:pt>
                <c:pt idx="4">
                  <c:v>-35</c:v>
                </c:pt>
                <c:pt idx="5">
                  <c:v>-33</c:v>
                </c:pt>
                <c:pt idx="6">
                  <c:v>-31</c:v>
                </c:pt>
                <c:pt idx="7">
                  <c:v>-29</c:v>
                </c:pt>
                <c:pt idx="8">
                  <c:v>-27</c:v>
                </c:pt>
                <c:pt idx="9">
                  <c:v>-25</c:v>
                </c:pt>
                <c:pt idx="10">
                  <c:v>-23</c:v>
                </c:pt>
                <c:pt idx="11">
                  <c:v>-21</c:v>
                </c:pt>
                <c:pt idx="12">
                  <c:v>-19</c:v>
                </c:pt>
                <c:pt idx="13">
                  <c:v>-17</c:v>
                </c:pt>
                <c:pt idx="14">
                  <c:v>-15</c:v>
                </c:pt>
                <c:pt idx="15">
                  <c:v>-13</c:v>
                </c:pt>
                <c:pt idx="16">
                  <c:v>-11</c:v>
                </c:pt>
                <c:pt idx="17">
                  <c:v>-9</c:v>
                </c:pt>
                <c:pt idx="18">
                  <c:v>-7</c:v>
                </c:pt>
                <c:pt idx="19">
                  <c:v>-5</c:v>
                </c:pt>
                <c:pt idx="20">
                  <c:v>-3</c:v>
                </c:pt>
                <c:pt idx="21">
                  <c:v>-1</c:v>
                </c:pt>
                <c:pt idx="22">
                  <c:v>1</c:v>
                </c:pt>
                <c:pt idx="23">
                  <c:v>3</c:v>
                </c:pt>
                <c:pt idx="24">
                  <c:v>5</c:v>
                </c:pt>
                <c:pt idx="25">
                  <c:v>7</c:v>
                </c:pt>
                <c:pt idx="26">
                  <c:v>9</c:v>
                </c:pt>
              </c:strCache>
            </c:strRef>
          </c:cat>
          <c:val>
            <c:numRef>
              <c:f>4</c:f>
              <c:numCache>
                <c:formatCode>General</c:formatCode>
                <c:ptCount val="27"/>
                <c:pt idx="0">
                  <c:v>15.9672870808018</c:v>
                </c:pt>
                <c:pt idx="1">
                  <c:v>15.9672870808018</c:v>
                </c:pt>
                <c:pt idx="2">
                  <c:v>15.9672870808018</c:v>
                </c:pt>
                <c:pt idx="3">
                  <c:v>15.9672870808018</c:v>
                </c:pt>
                <c:pt idx="4">
                  <c:v>15.9672870808018</c:v>
                </c:pt>
                <c:pt idx="5">
                  <c:v>15.9672870808018</c:v>
                </c:pt>
                <c:pt idx="6">
                  <c:v>15.9672870808018</c:v>
                </c:pt>
                <c:pt idx="7">
                  <c:v>15.9672870808018</c:v>
                </c:pt>
                <c:pt idx="8">
                  <c:v>15.9672870808018</c:v>
                </c:pt>
                <c:pt idx="9">
                  <c:v>15.9672870808018</c:v>
                </c:pt>
                <c:pt idx="10">
                  <c:v>15.9672870808018</c:v>
                </c:pt>
                <c:pt idx="11">
                  <c:v>15.9672870808018</c:v>
                </c:pt>
                <c:pt idx="12">
                  <c:v>15.9672870808018</c:v>
                </c:pt>
                <c:pt idx="13">
                  <c:v>15.9672870808018</c:v>
                </c:pt>
                <c:pt idx="14">
                  <c:v>15.9672870808018</c:v>
                </c:pt>
                <c:pt idx="15">
                  <c:v>15.9672870808018</c:v>
                </c:pt>
                <c:pt idx="16">
                  <c:v>15.9672870808018</c:v>
                </c:pt>
                <c:pt idx="17">
                  <c:v>15.9672870808018</c:v>
                </c:pt>
                <c:pt idx="18">
                  <c:v>15.9672870808018</c:v>
                </c:pt>
                <c:pt idx="19">
                  <c:v>15.9672870808018</c:v>
                </c:pt>
                <c:pt idx="20">
                  <c:v>15.9672870808018</c:v>
                </c:pt>
                <c:pt idx="21">
                  <c:v>15.9672870808018</c:v>
                </c:pt>
                <c:pt idx="22">
                  <c:v>15.9672870808018</c:v>
                </c:pt>
                <c:pt idx="23">
                  <c:v>15.9672870808018</c:v>
                </c:pt>
                <c:pt idx="24">
                  <c:v>15.9672870808018</c:v>
                </c:pt>
                <c:pt idx="25">
                  <c:v>15.9672870808018</c:v>
                </c:pt>
              </c:numCache>
            </c:numRef>
          </c:val>
          <c:smooth val="0"/>
        </c:ser>
        <c:ser>
          <c:idx val="5"/>
          <c:order val="5"/>
          <c:tx>
            <c:strRef>
              <c:f>label 5</c:f>
              <c:strCache>
                <c:ptCount val="1"/>
                <c:pt idx="0">
                  <c:v>D=600 мм</c:v>
                </c:pt>
              </c:strCache>
            </c:strRef>
          </c:tx>
          <c:spPr>
            <a:solidFill>
              <a:srgbClr val="ff9900"/>
            </a:solidFill>
            <a:ln w="25560">
              <a:solidFill>
                <a:srgbClr val="ff9900"/>
              </a:solidFill>
              <a:round/>
            </a:ln>
          </c:spPr>
          <c:marker>
            <c:symbol val="none"/>
          </c:marker>
          <c:dLbls>
            <c:txPr>
              <a:bodyPr/>
              <a:lstStyle/>
              <a:p>
                <a:pPr>
                  <a:defRPr b="0" sz="1000" spc="-1" strike="noStrike">
                    <a:solidFill>
                      <a:srgbClr val="000000"/>
                    </a:solidFill>
                    <a:latin typeface="Calibri"/>
                  </a:defRPr>
                </a:pPr>
              </a:p>
            </c:txPr>
            <c:dLblPos val="r"/>
            <c:showLegendKey val="0"/>
            <c:showVal val="0"/>
            <c:showCatName val="0"/>
            <c:showSerName val="0"/>
            <c:showPercent val="0"/>
            <c:separator>; </c:separator>
            <c:showLeaderLines val="0"/>
          </c:dLbls>
          <c:cat>
            <c:strRef>
              <c:f>categories</c:f>
              <c:strCache>
                <c:ptCount val="27"/>
                <c:pt idx="0">
                  <c:v>-43</c:v>
                </c:pt>
                <c:pt idx="1">
                  <c:v>-41</c:v>
                </c:pt>
                <c:pt idx="2">
                  <c:v>-39</c:v>
                </c:pt>
                <c:pt idx="3">
                  <c:v>-37</c:v>
                </c:pt>
                <c:pt idx="4">
                  <c:v>-35</c:v>
                </c:pt>
                <c:pt idx="5">
                  <c:v>-33</c:v>
                </c:pt>
                <c:pt idx="6">
                  <c:v>-31</c:v>
                </c:pt>
                <c:pt idx="7">
                  <c:v>-29</c:v>
                </c:pt>
                <c:pt idx="8">
                  <c:v>-27</c:v>
                </c:pt>
                <c:pt idx="9">
                  <c:v>-25</c:v>
                </c:pt>
                <c:pt idx="10">
                  <c:v>-23</c:v>
                </c:pt>
                <c:pt idx="11">
                  <c:v>-21</c:v>
                </c:pt>
                <c:pt idx="12">
                  <c:v>-19</c:v>
                </c:pt>
                <c:pt idx="13">
                  <c:v>-17</c:v>
                </c:pt>
                <c:pt idx="14">
                  <c:v>-15</c:v>
                </c:pt>
                <c:pt idx="15">
                  <c:v>-13</c:v>
                </c:pt>
                <c:pt idx="16">
                  <c:v>-11</c:v>
                </c:pt>
                <c:pt idx="17">
                  <c:v>-9</c:v>
                </c:pt>
                <c:pt idx="18">
                  <c:v>-7</c:v>
                </c:pt>
                <c:pt idx="19">
                  <c:v>-5</c:v>
                </c:pt>
                <c:pt idx="20">
                  <c:v>-3</c:v>
                </c:pt>
                <c:pt idx="21">
                  <c:v>-1</c:v>
                </c:pt>
                <c:pt idx="22">
                  <c:v>1</c:v>
                </c:pt>
                <c:pt idx="23">
                  <c:v>3</c:v>
                </c:pt>
                <c:pt idx="24">
                  <c:v>5</c:v>
                </c:pt>
                <c:pt idx="25">
                  <c:v>7</c:v>
                </c:pt>
                <c:pt idx="26">
                  <c:v>9</c:v>
                </c:pt>
              </c:strCache>
            </c:strRef>
          </c:cat>
          <c:val>
            <c:numRef>
              <c:f>5</c:f>
              <c:numCache>
                <c:formatCode>General</c:formatCode>
                <c:ptCount val="27"/>
                <c:pt idx="0">
                  <c:v>32.9044460751011</c:v>
                </c:pt>
                <c:pt idx="1">
                  <c:v>32.9044460751011</c:v>
                </c:pt>
                <c:pt idx="2">
                  <c:v>32.9044460751011</c:v>
                </c:pt>
                <c:pt idx="3">
                  <c:v>32.9044460751011</c:v>
                </c:pt>
                <c:pt idx="4">
                  <c:v>32.9044460751011</c:v>
                </c:pt>
                <c:pt idx="5">
                  <c:v>32.9044460751011</c:v>
                </c:pt>
                <c:pt idx="6">
                  <c:v>32.9044460751011</c:v>
                </c:pt>
                <c:pt idx="7">
                  <c:v>32.9044460751011</c:v>
                </c:pt>
                <c:pt idx="8">
                  <c:v>32.9044460751011</c:v>
                </c:pt>
                <c:pt idx="9">
                  <c:v>32.9044460751011</c:v>
                </c:pt>
                <c:pt idx="10">
                  <c:v>32.9044460751011</c:v>
                </c:pt>
                <c:pt idx="11">
                  <c:v>32.9044460751011</c:v>
                </c:pt>
                <c:pt idx="12">
                  <c:v>32.9044460751011</c:v>
                </c:pt>
                <c:pt idx="13">
                  <c:v>32.9044460751011</c:v>
                </c:pt>
                <c:pt idx="14">
                  <c:v>32.9044460751011</c:v>
                </c:pt>
                <c:pt idx="15">
                  <c:v>32.9044460751011</c:v>
                </c:pt>
                <c:pt idx="16">
                  <c:v>32.9044460751011</c:v>
                </c:pt>
                <c:pt idx="17">
                  <c:v>32.9044460751011</c:v>
                </c:pt>
                <c:pt idx="18">
                  <c:v>32.9044460751011</c:v>
                </c:pt>
                <c:pt idx="19">
                  <c:v>32.9044460751011</c:v>
                </c:pt>
                <c:pt idx="20">
                  <c:v>32.9044460751011</c:v>
                </c:pt>
                <c:pt idx="21">
                  <c:v>32.9044460751011</c:v>
                </c:pt>
                <c:pt idx="22">
                  <c:v>32.9044460751011</c:v>
                </c:pt>
                <c:pt idx="23">
                  <c:v>32.9044460751011</c:v>
                </c:pt>
                <c:pt idx="24">
                  <c:v>32.9044460751011</c:v>
                </c:pt>
                <c:pt idx="25">
                  <c:v>32.9044460751011</c:v>
                </c:pt>
                <c:pt idx="26">
                  <c:v>32.9044460751011</c:v>
                </c:pt>
              </c:numCache>
            </c:numRef>
          </c:val>
          <c:smooth val="0"/>
        </c:ser>
        <c:hiLowLines>
          <c:spPr>
            <a:ln>
              <a:noFill/>
            </a:ln>
          </c:spPr>
        </c:hiLowLines>
        <c:marker val="0"/>
        <c:axId val="8604396"/>
        <c:axId val="18854590"/>
      </c:lineChart>
      <c:catAx>
        <c:axId val="8604396"/>
        <c:scaling>
          <c:orientation val="minMax"/>
        </c:scaling>
        <c:delete val="0"/>
        <c:axPos val="b"/>
        <c:majorGridlines>
          <c:spPr>
            <a:ln w="3240">
              <a:solidFill>
                <a:srgbClr val="808080"/>
              </a:solidFill>
              <a:round/>
            </a:ln>
          </c:spPr>
        </c:majorGridlines>
        <c:title>
          <c:tx>
            <c:rich>
              <a:bodyPr rot="0"/>
              <a:lstStyle/>
              <a:p>
                <a:pPr>
                  <a:defRPr b="1" lang="ru-RU" sz="1200" spc="-1" strike="noStrike">
                    <a:solidFill>
                      <a:srgbClr val="000000"/>
                    </a:solidFill>
                    <a:latin typeface="Times New Roman"/>
                    <a:ea typeface="Times New Roman"/>
                  </a:defRPr>
                </a:pPr>
                <a:r>
                  <a:rPr b="1" lang="ru-RU" sz="1200" spc="-1" strike="noStrike">
                    <a:solidFill>
                      <a:srgbClr val="000000"/>
                    </a:solidFill>
                    <a:latin typeface="Times New Roman"/>
                    <a:ea typeface="Times New Roman"/>
                  </a:rPr>
                  <a:t>Температура наружного воздуха, град. С</a:t>
                </a:r>
              </a:p>
            </c:rich>
          </c:tx>
          <c:layout>
            <c:manualLayout>
              <c:xMode val="edge"/>
              <c:yMode val="edge"/>
              <c:x val="0.337953216374269"/>
              <c:y val="0.858598437676893"/>
            </c:manualLayout>
          </c:layout>
          <c:overlay val="0"/>
          <c:spPr>
            <a:noFill/>
            <a:ln w="25560">
              <a:noFill/>
            </a:ln>
          </c:spPr>
        </c:title>
        <c:numFmt formatCode="[$-419]dd/mm/yyyy" sourceLinked="1"/>
        <c:majorTickMark val="out"/>
        <c:minorTickMark val="none"/>
        <c:tickLblPos val="low"/>
        <c:spPr>
          <a:ln w="12600">
            <a:solidFill>
              <a:srgbClr val="000000"/>
            </a:solidFill>
            <a:round/>
          </a:ln>
        </c:spPr>
        <c:txPr>
          <a:bodyPr/>
          <a:lstStyle/>
          <a:p>
            <a:pPr>
              <a:defRPr b="0" sz="1000" spc="-1" strike="noStrike">
                <a:solidFill>
                  <a:srgbClr val="000000"/>
                </a:solidFill>
                <a:latin typeface="Times New Roman"/>
                <a:ea typeface="Times New Roman"/>
              </a:defRPr>
            </a:pPr>
          </a:p>
        </c:txPr>
        <c:crossAx val="18854590"/>
        <c:crosses val="autoZero"/>
        <c:auto val="1"/>
        <c:lblAlgn val="ctr"/>
        <c:lblOffset val="100"/>
        <c:noMultiLvlLbl val="0"/>
      </c:catAx>
      <c:valAx>
        <c:axId val="18854590"/>
        <c:scaling>
          <c:orientation val="minMax"/>
          <c:max val="55"/>
          <c:min val="0"/>
        </c:scaling>
        <c:delete val="0"/>
        <c:axPos val="l"/>
        <c:majorGridlines>
          <c:spPr>
            <a:ln w="3240">
              <a:solidFill>
                <a:srgbClr val="808080"/>
              </a:solidFill>
              <a:round/>
            </a:ln>
          </c:spPr>
        </c:majorGridlines>
        <c:title>
          <c:tx>
            <c:rich>
              <a:bodyPr rot="-5400000"/>
              <a:lstStyle/>
              <a:p>
                <a:pPr>
                  <a:defRPr b="1" lang="ru-RU" sz="1200" spc="-1" strike="noStrike">
                    <a:solidFill>
                      <a:srgbClr val="000000"/>
                    </a:solidFill>
                    <a:latin typeface="Times New Roman"/>
                    <a:ea typeface="Times New Roman"/>
                  </a:defRPr>
                </a:pPr>
                <a:r>
                  <a:rPr b="1" lang="ru-RU" sz="1200" spc="-1" strike="noStrike">
                    <a:solidFill>
                      <a:srgbClr val="000000"/>
                    </a:solidFill>
                    <a:latin typeface="Times New Roman"/>
                    <a:ea typeface="Times New Roman"/>
                  </a:rPr>
                  <a:t>Число часов</a:t>
                </a:r>
              </a:p>
            </c:rich>
          </c:tx>
          <c:layout>
            <c:manualLayout>
              <c:xMode val="edge"/>
              <c:yMode val="edge"/>
              <c:x val="0.00567251461988304"/>
              <c:y val="0.285973055587003"/>
            </c:manualLayout>
          </c:layout>
          <c:overlay val="0"/>
          <c:spPr>
            <a:noFill/>
            <a:ln w="25560">
              <a:noFill/>
            </a:ln>
          </c:spPr>
        </c:title>
        <c:numFmt formatCode="0" sourceLinked="0"/>
        <c:majorTickMark val="out"/>
        <c:minorTickMark val="none"/>
        <c:tickLblPos val="nextTo"/>
        <c:spPr>
          <a:ln w="3240">
            <a:solidFill>
              <a:srgbClr val="808080"/>
            </a:solidFill>
            <a:round/>
          </a:ln>
        </c:spPr>
        <c:txPr>
          <a:bodyPr/>
          <a:lstStyle/>
          <a:p>
            <a:pPr>
              <a:defRPr b="0" sz="1000" spc="-1" strike="noStrike">
                <a:solidFill>
                  <a:srgbClr val="000000"/>
                </a:solidFill>
                <a:latin typeface="Times New Roman"/>
                <a:ea typeface="Times New Roman"/>
              </a:defRPr>
            </a:pPr>
          </a:p>
        </c:txPr>
        <c:crossAx val="8604396"/>
        <c:crosses val="autoZero"/>
        <c:crossBetween val="midCat"/>
        <c:majorUnit val="5"/>
      </c:valAx>
      <c:spPr>
        <a:solidFill>
          <a:srgbClr val="ffffff"/>
        </a:solidFill>
        <a:ln w="25560">
          <a:noFill/>
        </a:ln>
      </c:spPr>
    </c:plotArea>
    <c:legend>
      <c:legendPos val="r"/>
      <c:layout>
        <c:manualLayout>
          <c:xMode val="edge"/>
          <c:yMode val="edge"/>
          <c:x val="0.065625"/>
          <c:y val="0.939111111111111"/>
          <c:w val="0.900993812113257"/>
          <c:h val="0.0507834203800422"/>
        </c:manualLayout>
      </c:layout>
      <c:overlay val="0"/>
      <c:spPr>
        <a:noFill/>
        <a:ln w="25560">
          <a:noFill/>
        </a:ln>
      </c:spPr>
      <c:txPr>
        <a:bodyPr/>
        <a:lstStyle/>
        <a:p>
          <a:pPr>
            <a:defRPr b="0" sz="655" spc="-1" strike="noStrike">
              <a:solidFill>
                <a:srgbClr val="000000"/>
              </a:solidFill>
              <a:latin typeface="Times New Roman"/>
              <a:ea typeface="Times New Roman"/>
            </a:defRPr>
          </a:pPr>
        </a:p>
      </c:txPr>
    </c:legend>
    <c:plotVisOnly val="1"/>
    <c:dispBlanksAs val="gap"/>
  </c:chart>
  <c:spPr>
    <a:solidFill>
      <a:srgbClr val="ffffff"/>
    </a:solidFill>
    <a:ln w="12600">
      <a:solidFill>
        <a:srgbClr val="000000"/>
      </a:solidFill>
      <a:round/>
    </a:ln>
  </c:spPr>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Application>LibreOffice/6.4.7.2$Linux_X86_64 LibreOffice_project/40$Build-2</Application>
  <Pages>162</Pages>
  <Words>47611</Words>
  <Characters>296200</Characters>
  <CharactersWithSpaces>329756</CharactersWithSpaces>
  <Paragraphs>17653</Paragraphs>
  <Company>КонсультантПлюс Версия 4023.00.09</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2025-04-03T10:50:00Z</dcterms:created>
  <dc:creator>KirichenkoNV</dc:creator>
  <dc:description/>
  <dc:language>ru-RU</dc:language>
  <cp:lastModifiedBy/>
  <cp:lastPrinted>2025-10-23T17:26:35Z</cp:lastPrinted>
  <dcterms:modified xsi:type="dcterms:W3CDTF">2025-10-23T17:28:42Z</dcterms:modified>
  <cp:revision>6</cp:revision>
  <dc:subject/>
  <dc:title>Постановление Администрации Октябрьского района от 11.08.2021 N 1652"О наделении статусом гарантирующей организации"</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КонсультантПлюс Версия 4023.00.09</vt:lpwstr>
  </property>
  <property fmtid="{D5CDD505-2E9C-101B-9397-08002B2CF9AE}" pid="4" name="DocSecurity">
    <vt:i4>4</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