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2"/>
        <w:jc w:val="center"/>
        <w:outlineLvl w:val="0"/>
      </w:pPr>
      <w:r>
        <w:t xml:space="preserve">РЕГИОНАЛЬНАЯ СЛУЖБА ПО ТАРИФАМ</w:t>
      </w:r>
      <w:r/>
    </w:p>
    <w:p>
      <w:pPr>
        <w:pStyle w:val="622"/>
        <w:jc w:val="center"/>
      </w:pPr>
      <w:r>
        <w:t xml:space="preserve">ХАНТЫ-МАНСИЙСКОГО АВТОНОМНОГО ОКРУГА - ЮГРЫ</w:t>
      </w:r>
      <w:r/>
    </w:p>
    <w:p>
      <w:pPr>
        <w:pStyle w:val="622"/>
        <w:jc w:val="center"/>
      </w:pPr>
      <w:r>
        <w:t xml:space="preserve">(РСТ ЮГРЫ)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ПРИКАЗ</w:t>
      </w:r>
      <w:r/>
    </w:p>
    <w:p>
      <w:pPr>
        <w:pStyle w:val="622"/>
        <w:jc w:val="center"/>
      </w:pPr>
      <w:r>
        <w:t xml:space="preserve">от 23 ноября 2023 г. N 63-нп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ОБ УСТАНОВЛЕНИИ ТАРИФОВ В СФЕРЕ ХОЛОДНОГО ВОДОСНАБЖЕНИЯ</w:t>
      </w:r>
      <w:r/>
    </w:p>
    <w:p>
      <w:pPr>
        <w:pStyle w:val="622"/>
        <w:jc w:val="center"/>
      </w:pPr>
      <w:r>
        <w:t xml:space="preserve">И ВОДООТВЕДЕНИЯ ДЛЯ ОРГАНИЗАЦИЙ, ОСУЩЕСТВЛЯЮЩИХ ХОЛОДНОЕ</w:t>
      </w:r>
      <w:r/>
    </w:p>
    <w:p>
      <w:pPr>
        <w:pStyle w:val="622"/>
        <w:jc w:val="center"/>
      </w:pPr>
      <w:r>
        <w:t xml:space="preserve">ВОДОСНАБЖЕНИЕ И ВОДООТВЕДЕНИЕ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9" w:tooltip="https://login.consultant.ru/link/?req=doc&amp;base=RLAW926&amp;n=315958&amp;dst=102001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21.08.2025 </w:t>
            </w:r>
            <w:hyperlink r:id="rId10" w:tooltip="https://login.consultant.ru/link/?req=doc&amp;base=RLAW926&amp;n=331497&amp;dst=100043" w:history="1">
              <w:r>
                <w:rPr>
                  <w:color w:val="0000ff"/>
                </w:rPr>
                <w:t xml:space="preserve">N 62-нп</w:t>
              </w:r>
            </w:hyperlink>
            <w:r>
              <w:rPr>
                <w:color w:val="392c69"/>
              </w:rPr>
              <w:t xml:space="preserve">, от 30.10.2025 </w:t>
            </w:r>
            <w:hyperlink r:id="rId11" w:tooltip="https://login.consultant.ru/link/?req=doc&amp;base=RLAW926&amp;n=335936&amp;dst=100007" w:history="1">
              <w:r>
                <w:rPr>
                  <w:color w:val="0000ff"/>
                </w:rPr>
                <w:t xml:space="preserve">N 67-нп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12" w:tooltip="https://login.consultant.ru/link/?req=doc&amp;base=RLAW926&amp;n=339189&amp;dst=100005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 Федеральным </w:t>
      </w:r>
      <w:hyperlink r:id="rId13" w:tooltip="https://login.consultant.ru/link/?req=doc&amp;base=LAW&amp;n=479640" w:history="1">
        <w:r>
          <w:rPr>
            <w:color w:val="0000ff"/>
          </w:rPr>
          <w:t xml:space="preserve">законом</w:t>
        </w:r>
      </w:hyperlink>
      <w:r>
        <w:t xml:space="preserve"> от 7 декабря 2011 года N 416-ФЗ "О водоснабжении и водоотведении", </w:t>
      </w:r>
      <w:hyperlink r:id="rId14" w:tooltip="https://login.consultant.ru/link/?req=doc&amp;base=LAW&amp;n=519501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5" w:tooltip="https://login.consultant.ru/link/?req=doc&amp;base=LAW&amp;n=517847" w:history="1">
        <w:r>
          <w:rPr>
            <w:color w:val="0000ff"/>
          </w:rPr>
          <w:t xml:space="preserve"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6" w:tooltip="https://login.consultant.ru/link/?req=doc&amp;base=RLAW926&amp;n=32073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Ханты-Мансийского автономного окр</w:t>
      </w:r>
      <w:r>
        <w:t xml:space="preserve">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23 ноября 2023 года N 47 приказываю:</w:t>
      </w:r>
      <w:r/>
    </w:p>
    <w:p>
      <w:pPr>
        <w:pStyle w:val="621"/>
        <w:ind w:firstLine="540"/>
        <w:jc w:val="both"/>
        <w:spacing w:before="220"/>
      </w:pPr>
      <w:r>
        <w:t xml:space="preserve">1. Установить одноставочные </w:t>
      </w:r>
      <w:hyperlink w:tooltip="#P36" w:anchor="P36" w:history="1">
        <w:r>
          <w:rPr>
            <w:color w:val="0000ff"/>
          </w:rPr>
          <w:t xml:space="preserve"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2026 года согласно приложению 1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одноставочные </w:t>
      </w:r>
      <w:hyperlink w:tooltip="#P192" w:anchor="P192" w:history="1">
        <w:r>
          <w:rPr>
            <w:color w:val="0000ff"/>
          </w:rPr>
          <w:t xml:space="preserve"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2026 года согласно приложению 2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3. Установить долгосрочные </w:t>
      </w:r>
      <w:hyperlink w:tooltip="#P286" w:anchor="P286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определяемые на долг</w:t>
      </w:r>
      <w:r>
        <w:t xml:space="preserve">осрочный период регулирования при установлении одноставочных тарифов в сфере холодного водоснабжения с использованием метода индексации, для организаций, осуществляющих холодное водоснабжение, на 2024 - 2026 годы согласно приложению 3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4. Установить долгосрочные </w:t>
      </w:r>
      <w:hyperlink w:tooltip="#P423" w:anchor="P423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</w:t>
      </w:r>
      <w:r>
        <w:t xml:space="preserve">пределяемые на долгосрочный период регулирования при установлении одноставочных тарифов в сфере водоотведения с использованием метода индексации, для организаций, осуществляющих водоотведение, на 2024 - 2026 годы согласно приложению 4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5. Настоящий приказ вступает в силу с 1 января 2024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Руководитель службы</w:t>
      </w:r>
      <w:r/>
    </w:p>
    <w:p>
      <w:pPr>
        <w:pStyle w:val="621"/>
        <w:jc w:val="right"/>
      </w:pPr>
      <w:r>
        <w:t xml:space="preserve">А.А.БЕРЕЗОВСКИЙ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23 ноября 2023 года N 63-нп</w:t>
      </w:r>
      <w:r/>
    </w:p>
    <w:p>
      <w:pPr>
        <w:pStyle w:val="621"/>
      </w:pPr>
      <w:r/>
      <w:r/>
    </w:p>
    <w:p>
      <w:pPr>
        <w:pStyle w:val="622"/>
        <w:jc w:val="center"/>
      </w:pPr>
      <w:r/>
      <w:bookmarkStart w:id="0" w:name="P36"/>
      <w:r/>
      <w:bookmarkEnd w:id="0"/>
      <w:r>
        <w:t xml:space="preserve">ОДНОСТАВОЧНЫЕ ТАРИФЫ</w:t>
      </w:r>
      <w:r/>
    </w:p>
    <w:p>
      <w:pPr>
        <w:pStyle w:val="622"/>
        <w:jc w:val="center"/>
      </w:pPr>
      <w:r>
        <w:t xml:space="preserve">В СФЕРЕ ХОЛОДНОГО ВОДОСНАБЖЕНИЯ ДЛЯ ОРГАНИЗАЦИЙ,</w:t>
      </w:r>
      <w:r/>
    </w:p>
    <w:p>
      <w:pPr>
        <w:pStyle w:val="622"/>
        <w:jc w:val="center"/>
      </w:pPr>
      <w:r>
        <w:t xml:space="preserve">ОСУЩЕСТВЛЯЮЩИХ ХОЛОДНОЕ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7" w:tooltip="https://login.consultant.ru/link/?req=doc&amp;base=RLAW926&amp;n=315958&amp;dst=102002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21.08.2025 </w:t>
            </w:r>
            <w:hyperlink r:id="rId18" w:tooltip="https://login.consultant.ru/link/?req=doc&amp;base=RLAW926&amp;n=331497&amp;dst=100044" w:history="1">
              <w:r>
                <w:rPr>
                  <w:color w:val="0000ff"/>
                </w:rPr>
                <w:t xml:space="preserve">N 62-нп</w:t>
              </w:r>
            </w:hyperlink>
            <w:r>
              <w:rPr>
                <w:color w:val="392c69"/>
              </w:rPr>
              <w:t xml:space="preserve">, от 30.10.2025 </w:t>
            </w:r>
            <w:hyperlink r:id="rId19" w:tooltip="https://login.consultant.ru/link/?req=doc&amp;base=RLAW926&amp;n=335936&amp;dst=100008" w:history="1">
              <w:r>
                <w:rPr>
                  <w:color w:val="0000ff"/>
                </w:rPr>
                <w:t xml:space="preserve">N 67-нп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20" w:tooltip="https://login.consultant.ru/link/?req=doc&amp;base=RLAW926&amp;n=339189&amp;dst=100006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709" w:right="850" w:bottom="822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977"/>
        <w:gridCol w:w="1639"/>
        <w:gridCol w:w="2924"/>
        <w:gridCol w:w="814"/>
        <w:gridCol w:w="904"/>
        <w:gridCol w:w="814"/>
        <w:gridCol w:w="904"/>
        <w:gridCol w:w="1024"/>
        <w:gridCol w:w="904"/>
      </w:tblGrid>
      <w:tr>
        <w:tblPrEx/>
        <w:trPr/>
        <w:tc>
          <w:tcPr>
            <w:gridSpan w:val="11"/>
            <w:tcW w:w="1522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2026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холодное водоснабжение</w:t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292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6"/>
            <w:tcW w:w="53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холодного водоснабжения, руб. куб. м.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</w:t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100,27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109,89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119,77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132,58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120,32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131,87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131,87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143,72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146,12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161,75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77,23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84,64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84,64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92,26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92,26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102,13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92,68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101,57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101,57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110,71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124,60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(городок СУПТР) Октябрьского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42,97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47,08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47,08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51,32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51,32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56,80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51,56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56,50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61,58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62,61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69,30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района "Белоярские коммунальные системы"</w:t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Белоярский Белоярского муниципального района Ханты-Мансийского автономно</w:t>
            </w:r>
            <w:r>
              <w:t xml:space="preserve">го округа - Югры, сельское поселение Казым (село Казым) Белоярского муниципального района Ханты-Мансийского автономного округа - Югры, сельское поселение Полноват (село Полноват)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86,07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94,33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94,33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102,81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113,81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103,28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113,20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113,20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123,37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125,43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138,85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Полноват (село Полноват, село Ванзеват) </w:t>
            </w:r>
            <w:r>
              <w:t xml:space="preserve">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71,24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78,07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78,07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85,09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85,09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94,17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85,49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93,68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93,68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102,11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103,81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114,89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Полноват (село Ванзеват)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техническая вода &lt;5&gt;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28,59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31,33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31,33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31,60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31,60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33,11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Сорум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&lt;6&gt;</w:t>
            </w:r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56,24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61,64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61,64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67,18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67,18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74,36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924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67,49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73,97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73,97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80,62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81,96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90,72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21" w:tooltip="https://login.consultant.ru/link/?req=doc&amp;base=RLAW926&amp;n=339189&amp;dst=100006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11.12.2025 N 104-нп)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2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подъем воды, водоподготовка, транспортировка воды.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следующие стадии технологического процесса: подъем воды, водоподготовка.</w:t>
      </w:r>
      <w:r/>
    </w:p>
    <w:p>
      <w:pPr>
        <w:pStyle w:val="621"/>
        <w:ind w:firstLine="540"/>
        <w:jc w:val="both"/>
        <w:spacing w:before="220"/>
      </w:pPr>
      <w:r>
        <w:t xml:space="preserve">&lt;3&gt; Утратило силу. - </w:t>
      </w:r>
      <w:hyperlink r:id="rId23" w:tooltip="https://login.consultant.ru/link/?req=doc&amp;base=RLAW926&amp;n=335936&amp;dst=100061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ХМАО - Югры от 30.10.2025 N 67-нп.</w:t>
      </w:r>
      <w:r/>
    </w:p>
    <w:p>
      <w:pPr>
        <w:pStyle w:val="621"/>
        <w:ind w:firstLine="540"/>
        <w:jc w:val="both"/>
        <w:spacing w:before="220"/>
      </w:pPr>
      <w:r>
        <w:t xml:space="preserve">&lt;4&gt; Утратило силу. - </w:t>
      </w:r>
      <w:hyperlink r:id="rId24" w:tooltip="https://login.consultant.ru/link/?req=doc&amp;base=RLAW926&amp;n=331497&amp;dst=100143" w:history="1">
        <w:r>
          <w:rPr>
            <w:color w:val="0000ff"/>
          </w:rPr>
          <w:t xml:space="preserve">Приказ</w:t>
        </w:r>
      </w:hyperlink>
      <w:r>
        <w:t xml:space="preserve"> Региональной службы по тарифам ХМАО - Югры от 21.08.2025 N 62-нп.</w:t>
      </w:r>
      <w:r/>
    </w:p>
    <w:p>
      <w:pPr>
        <w:pStyle w:val="621"/>
        <w:ind w:firstLine="540"/>
        <w:jc w:val="both"/>
        <w:spacing w:before="220"/>
      </w:pPr>
      <w:r>
        <w:t xml:space="preserve">&lt;5&gt; Тариф учитывает следующие стадии технологического процесса: подъем воды, транспортировка воды.</w:t>
      </w:r>
      <w:r/>
    </w:p>
    <w:p>
      <w:pPr>
        <w:pStyle w:val="621"/>
        <w:ind w:firstLine="540"/>
        <w:jc w:val="both"/>
        <w:spacing w:before="220"/>
      </w:pPr>
      <w:r>
        <w:t xml:space="preserve">&lt;6&gt; Тариф учитывает следующие стадии те</w:t>
      </w:r>
      <w:r>
        <w:t xml:space="preserve">хнологического процесса: водоподготовка, транспортировка воды (с учетом подъема воды Обществом с ограниченной ответственностью "Газпром трансгаз Югорск" в зоне деятельности филиала Сорумское линейное производственное управление магистральных газопроводов).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23 ноября 2023 года N 63-нп</w:t>
      </w:r>
      <w:r/>
    </w:p>
    <w:p>
      <w:pPr>
        <w:pStyle w:val="621"/>
      </w:pPr>
      <w:r/>
      <w:r/>
    </w:p>
    <w:p>
      <w:pPr>
        <w:pStyle w:val="622"/>
        <w:jc w:val="center"/>
      </w:pPr>
      <w:r/>
      <w:bookmarkStart w:id="1" w:name="P192"/>
      <w:r/>
      <w:bookmarkEnd w:id="1"/>
      <w:r>
        <w:t xml:space="preserve">ОДНОСТАВОЧНЫЕ ТАРИФЫ</w:t>
      </w:r>
      <w:r/>
    </w:p>
    <w:p>
      <w:pPr>
        <w:pStyle w:val="622"/>
        <w:jc w:val="center"/>
      </w:pPr>
      <w:r>
        <w:t xml:space="preserve">В СФЕРЕ ВОДООТВЕДЕНИЯ ДЛЯ ОРГАНИЗАЦИЙ, ОСУЩЕСТВЛЯЮЩИХ</w:t>
      </w:r>
      <w:r/>
    </w:p>
    <w:p>
      <w:pPr>
        <w:pStyle w:val="622"/>
        <w:jc w:val="center"/>
      </w:pPr>
      <w:r>
        <w:t xml:space="preserve">ВОДООТВЕДЕНИЕ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25" w:tooltip="https://login.consultant.ru/link/?req=doc&amp;base=RLAW926&amp;n=315958&amp;dst=102220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11.12.2025 </w:t>
            </w:r>
            <w:hyperlink r:id="rId26" w:tooltip="https://login.consultant.ru/link/?req=doc&amp;base=RLAW926&amp;n=339189&amp;dst=100133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254"/>
        <w:gridCol w:w="1654"/>
        <w:gridCol w:w="3221"/>
        <w:gridCol w:w="814"/>
        <w:gridCol w:w="904"/>
        <w:gridCol w:w="814"/>
        <w:gridCol w:w="904"/>
        <w:gridCol w:w="1024"/>
        <w:gridCol w:w="904"/>
      </w:tblGrid>
      <w:tr>
        <w:tblPrEx/>
        <w:trPr/>
        <w:tc>
          <w:tcPr>
            <w:gridSpan w:val="11"/>
            <w:tcW w:w="1481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2026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322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6"/>
            <w:tcW w:w="53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водоотведения, руб. куб. м.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221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171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221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164,27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180,03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180,03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196,22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196,22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217,21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197,12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216,04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216,04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235,46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239,39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265,00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&lt;2&gt;</w:t>
            </w:r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40,42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44,29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44,29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48,27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48,27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53,43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48,50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53,15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53,15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57,92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58,89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65,18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</w:t>
            </w:r>
            <w:r>
              <w:t xml:space="preserve">района "Белоярские коммунальные системы"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Белоярский Белоярского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63,06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69,11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69,11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75,33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75,33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83,39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3221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75,67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82,93</w:t>
            </w:r>
            <w:r/>
          </w:p>
        </w:tc>
        <w:tc>
          <w:tcPr>
            <w:tcW w:w="814" w:type="dxa"/>
            <w:textDirection w:val="lrTb"/>
            <w:noWrap w:val="false"/>
          </w:tcPr>
          <w:p>
            <w:pPr>
              <w:pStyle w:val="621"/>
            </w:pPr>
            <w:r>
              <w:t xml:space="preserve">82,93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90,40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91,90</w:t>
            </w:r>
            <w:r/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621"/>
            </w:pPr>
            <w:r>
              <w:t xml:space="preserve">101,74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27" w:tooltip="https://login.consultant.ru/link/?req=doc&amp;base=RLAW926&amp;n=339189&amp;dst=100133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11.12.2025 N 104-нп)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8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прием сточных вод, очистка сточных вод, транспортировка сточных вод.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следующую стадию технологического процесса: очистка сточных вод.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3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23 ноября 2023 года N 63-нп</w:t>
      </w:r>
      <w:r/>
    </w:p>
    <w:p>
      <w:pPr>
        <w:pStyle w:val="621"/>
      </w:pPr>
      <w:r/>
      <w:r/>
    </w:p>
    <w:p>
      <w:pPr>
        <w:pStyle w:val="622"/>
        <w:jc w:val="center"/>
      </w:pPr>
      <w:r/>
      <w:bookmarkStart w:id="2" w:name="P286"/>
      <w:r/>
      <w:bookmarkEnd w:id="2"/>
      <w:r>
        <w:t xml:space="preserve">ДОЛГОСРОЧНЫЕ ПАРАМЕТРЫ</w:t>
      </w:r>
      <w:r/>
    </w:p>
    <w:p>
      <w:pPr>
        <w:pStyle w:val="622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2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2"/>
        <w:jc w:val="center"/>
      </w:pPr>
      <w:r>
        <w:t xml:space="preserve">ХОЛОДНОГО ВОДОСНАБЖЕНИЯ С ИСПОЛЬЗОВАНИЕМ МЕТОДА ИНДЕКСАЦИИ,</w:t>
      </w:r>
      <w:r/>
    </w:p>
    <w:p>
      <w:pPr>
        <w:pStyle w:val="622"/>
        <w:jc w:val="center"/>
      </w:pPr>
      <w:r>
        <w:t xml:space="preserve">ДЛЯ ОРГАНИЗАЦИЙ, ОСУЩЕСТВЛЯЮЩИХ ХОЛОДНОЕ ВОДОСНАБЖЕНИЕ,</w:t>
      </w:r>
      <w:r/>
    </w:p>
    <w:p>
      <w:pPr>
        <w:pStyle w:val="622"/>
        <w:jc w:val="center"/>
      </w:pPr>
      <w:r>
        <w:t xml:space="preserve">НА 2024 - 2026 ГОДЫ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29" w:tooltip="https://login.consultant.ru/link/?req=doc&amp;base=RLAW926&amp;n=331497&amp;dst=100144" w:history="1">
              <w:r>
                <w:rPr>
                  <w:color w:val="0000ff"/>
                </w:rPr>
                <w:t xml:space="preserve">N 62-нп</w:t>
              </w:r>
            </w:hyperlink>
            <w:r>
              <w:rPr>
                <w:color w:val="392c69"/>
              </w:rPr>
              <w:t xml:space="preserve">, от 30.10.2025 </w:t>
            </w:r>
            <w:hyperlink r:id="rId30" w:tooltip="https://login.consultant.ru/link/?req=doc&amp;base=RLAW926&amp;n=335936&amp;dst=100062" w:history="1">
              <w:r>
                <w:rPr>
                  <w:color w:val="0000ff"/>
                </w:rPr>
                <w:t xml:space="preserve">N 67-нп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4715"/>
        <w:gridCol w:w="664"/>
        <w:gridCol w:w="1639"/>
        <w:gridCol w:w="1669"/>
        <w:gridCol w:w="1321"/>
        <w:gridCol w:w="934"/>
        <w:gridCol w:w="1864"/>
        <w:gridCol w:w="2044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4715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осуществляющих холодное водоснабжение, муниципального образования</w:t>
            </w:r>
            <w:r/>
          </w:p>
        </w:tc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66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132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</w:t>
            </w:r>
            <w:r/>
          </w:p>
          <w:p>
            <w:pPr>
              <w:pStyle w:val="621"/>
              <w:jc w:val="center"/>
            </w:pPr>
            <w:r>
              <w:t xml:space="preserve">% &lt;1&gt;</w:t>
            </w:r>
            <w:r/>
          </w:p>
        </w:tc>
        <w:tc>
          <w:tcPr>
            <w:gridSpan w:val="3"/>
            <w:tcW w:w="484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6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321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уровень потерь воды,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</w:t>
            </w:r>
            <w:r/>
          </w:p>
          <w:p>
            <w:pPr>
              <w:pStyle w:val="621"/>
              <w:jc w:val="center"/>
            </w:pPr>
            <w:r>
              <w:t xml:space="preserve">кВтч./ м3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</w:t>
            </w:r>
            <w:r/>
          </w:p>
          <w:p>
            <w:pPr>
              <w:pStyle w:val="621"/>
              <w:jc w:val="center"/>
            </w:pPr>
            <w:r>
              <w:t xml:space="preserve">кВтч./ м3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31" w:tooltip="https://login.consultant.ru/link/?req=doc&amp;base=RLAW926&amp;n=335936&amp;dst=100062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30.10.2025 N 67-нп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4850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32" w:tooltip="https://login.consultant.ru/link/?req=doc&amp;base=RLAW926&amp;n=331497&amp;dst=100144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21.08.2025 N 62-нп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47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Октябрьского муниципального района Ханты-Мансийского </w:t>
            </w:r>
            <w:r>
              <w:t xml:space="preserve">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28387,88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0,96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0,14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47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</w:t>
            </w:r>
            <w:r>
              <w:t xml:space="preserve">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(городок СУПТР)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405,32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0,83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0,83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0,83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0,19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47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района "Белоярские коммунальные системы" на территории муниципальных образований городское поселение Белоярский Белоярского муниципального района Ханты-Мансийского автономного округа - Югры, сельское </w:t>
            </w:r>
            <w:r>
              <w:t xml:space="preserve">поселение Казым (село Казым) Белоярского муниципального района Ханты-Мансийского автономного округа - Югры, сельское поселение Полноват (село Полноват, село Ванзеват)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85197,80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0,69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4715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района "Белоярские коммунальные системы" на территории муниципального образования сельское поселение Сорум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2587,73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715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21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7,50</w:t>
            </w:r>
            <w:r/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621"/>
            </w:pPr>
            <w:r>
              <w:t xml:space="preserve">0,20</w:t>
            </w:r>
            <w:r/>
          </w:p>
        </w:tc>
        <w:tc>
          <w:tcPr>
            <w:tcW w:w="2044" w:type="dxa"/>
            <w:textDirection w:val="lrTb"/>
            <w:noWrap w:val="false"/>
          </w:tcPr>
          <w:p>
            <w:pPr>
              <w:pStyle w:val="621"/>
            </w:pPr>
            <w:r>
              <w:t xml:space="preserve">0,24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&lt;1&gt; Показатель утверждается для организаций, которым права владения и (или) пользования централизованными системами горячего </w:t>
      </w:r>
      <w:r>
        <w:t xml:space="preserve">водоснабжения, холодного водоснабжения и (или) водоотведения, отдельными объектами таких систе</w:t>
      </w:r>
      <w:r>
        <w:t xml:space="preserve">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</w:pPr>
      <w:r/>
      <w:r/>
    </w:p>
    <w:p>
      <w:pPr>
        <w:pStyle w:val="621"/>
        <w:jc w:val="right"/>
        <w:outlineLvl w:val="0"/>
      </w:pPr>
      <w:r>
        <w:t xml:space="preserve">Приложение 4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23 ноября 2023 года N 63-нп</w:t>
      </w:r>
      <w:r/>
    </w:p>
    <w:p>
      <w:pPr>
        <w:pStyle w:val="621"/>
      </w:pPr>
      <w:r/>
      <w:r/>
    </w:p>
    <w:p>
      <w:pPr>
        <w:pStyle w:val="622"/>
        <w:jc w:val="center"/>
      </w:pPr>
      <w:r/>
      <w:bookmarkStart w:id="3" w:name="P423"/>
      <w:r/>
      <w:bookmarkEnd w:id="3"/>
      <w:r>
        <w:t xml:space="preserve">ДОЛГОСРОЧНЫЕ ПАРАМЕТРЫ</w:t>
      </w:r>
      <w:r/>
    </w:p>
    <w:p>
      <w:pPr>
        <w:pStyle w:val="622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2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2"/>
        <w:jc w:val="center"/>
      </w:pPr>
      <w:r>
        <w:t xml:space="preserve">ВОДООТВЕДЕНИЯ С ИСПОЛЬЗОВАНИЕМ МЕТОДА ИНДЕКСАЦИИ,</w:t>
      </w:r>
      <w:r/>
    </w:p>
    <w:p>
      <w:pPr>
        <w:pStyle w:val="622"/>
        <w:jc w:val="center"/>
      </w:pPr>
      <w:r>
        <w:t xml:space="preserve">ДЛЯ ОРГАНИЗАЦИЙ, ОСУЩЕСТВЛЯЮЩИХ ВОДООТВЕДЕНИЕ,</w:t>
      </w:r>
      <w:r/>
    </w:p>
    <w:p>
      <w:pPr>
        <w:pStyle w:val="622"/>
        <w:jc w:val="center"/>
      </w:pPr>
      <w:r>
        <w:t xml:space="preserve">НА 2024 - 2026 ГОДЫ</w:t>
      </w:r>
      <w:r/>
    </w:p>
    <w:p>
      <w:pPr>
        <w:pStyle w:val="621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4564"/>
        <w:gridCol w:w="664"/>
        <w:gridCol w:w="1639"/>
        <w:gridCol w:w="1669"/>
        <w:gridCol w:w="1579"/>
        <w:gridCol w:w="2154"/>
        <w:gridCol w:w="2381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45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водоотведение, муниципального образования</w:t>
            </w:r>
            <w:r/>
          </w:p>
        </w:tc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66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</w:t>
            </w:r>
            <w:r/>
          </w:p>
          <w:p>
            <w:pPr>
              <w:pStyle w:val="621"/>
              <w:jc w:val="center"/>
            </w:pPr>
            <w:r>
              <w:t xml:space="preserve">% &lt;1&gt;</w:t>
            </w:r>
            <w:r/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6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7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</w:t>
            </w:r>
            <w:r/>
          </w:p>
          <w:p>
            <w:pPr>
              <w:pStyle w:val="621"/>
              <w:jc w:val="center"/>
            </w:pPr>
            <w:r>
              <w:t xml:space="preserve">кВтч./ м3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  <w:r/>
          </w:p>
          <w:p>
            <w:pPr>
              <w:pStyle w:val="621"/>
              <w:jc w:val="center"/>
            </w:pPr>
            <w:r>
              <w:t xml:space="preserve">кВтч./ м3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45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16443,21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0,65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1,70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0,65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1,70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0,65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1,70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45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Белоярского района "Белоярские коммунальные системы" на территории муниципального образования городское поселение Белоярский Белоярского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85101,26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45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621"/>
            </w:pPr>
            <w:r>
              <w:t xml:space="preserve">0,86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621"/>
            </w:pPr>
            <w:r>
              <w:t xml:space="preserve">0,29</w:t>
            </w:r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</w:t>
      </w:r>
      <w:r>
        <w:t xml:space="preserve">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</w:t>
      </w:r>
      <w:r>
        <w:t xml:space="preserve">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4" w:name="_GoBack"/>
      <w:r/>
      <w:bookmarkEnd w:id="4"/>
      <w:r/>
      <w:r/>
    </w:p>
    <w:sectPr>
      <w:footnotePr/>
      <w:endnotePr/>
      <w:type w:val="nextPage"/>
      <w:pgSz w:w="16838" w:h="11905" w:orient="landscape"/>
      <w:pgMar w:top="1701" w:right="1134" w:bottom="85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5958&amp;dst=102001" TargetMode="External"/><Relationship Id="rId10" Type="http://schemas.openxmlformats.org/officeDocument/2006/relationships/hyperlink" Target="https://login.consultant.ru/link/?req=doc&amp;base=RLAW926&amp;n=331497&amp;dst=100043" TargetMode="External"/><Relationship Id="rId11" Type="http://schemas.openxmlformats.org/officeDocument/2006/relationships/hyperlink" Target="https://login.consultant.ru/link/?req=doc&amp;base=RLAW926&amp;n=335936&amp;dst=100007" TargetMode="External"/><Relationship Id="rId12" Type="http://schemas.openxmlformats.org/officeDocument/2006/relationships/hyperlink" Target="https://login.consultant.ru/link/?req=doc&amp;base=RLAW926&amp;n=339189&amp;dst=100005" TargetMode="External"/><Relationship Id="rId13" Type="http://schemas.openxmlformats.org/officeDocument/2006/relationships/hyperlink" Target="https://login.consultant.ru/link/?req=doc&amp;base=LAW&amp;n=479640" TargetMode="External"/><Relationship Id="rId14" Type="http://schemas.openxmlformats.org/officeDocument/2006/relationships/hyperlink" Target="https://login.consultant.ru/link/?req=doc&amp;base=LAW&amp;n=519501" TargetMode="External"/><Relationship Id="rId15" Type="http://schemas.openxmlformats.org/officeDocument/2006/relationships/hyperlink" Target="https://login.consultant.ru/link/?req=doc&amp;base=LAW&amp;n=517847" TargetMode="External"/><Relationship Id="rId16" Type="http://schemas.openxmlformats.org/officeDocument/2006/relationships/hyperlink" Target="https://login.consultant.ru/link/?req=doc&amp;base=RLAW926&amp;n=320739" TargetMode="External"/><Relationship Id="rId17" Type="http://schemas.openxmlformats.org/officeDocument/2006/relationships/hyperlink" Target="https://login.consultant.ru/link/?req=doc&amp;base=RLAW926&amp;n=315958&amp;dst=102002" TargetMode="External"/><Relationship Id="rId18" Type="http://schemas.openxmlformats.org/officeDocument/2006/relationships/hyperlink" Target="https://login.consultant.ru/link/?req=doc&amp;base=RLAW926&amp;n=331497&amp;dst=100044" TargetMode="External"/><Relationship Id="rId19" Type="http://schemas.openxmlformats.org/officeDocument/2006/relationships/hyperlink" Target="https://login.consultant.ru/link/?req=doc&amp;base=RLAW926&amp;n=335936&amp;dst=100008" TargetMode="External"/><Relationship Id="rId20" Type="http://schemas.openxmlformats.org/officeDocument/2006/relationships/hyperlink" Target="https://login.consultant.ru/link/?req=doc&amp;base=RLAW926&amp;n=339189&amp;dst=100006" TargetMode="External"/><Relationship Id="rId21" Type="http://schemas.openxmlformats.org/officeDocument/2006/relationships/hyperlink" Target="https://login.consultant.ru/link/?req=doc&amp;base=RLAW926&amp;n=339189&amp;dst=100006" TargetMode="External"/><Relationship Id="rId22" Type="http://schemas.openxmlformats.org/officeDocument/2006/relationships/hyperlink" Target="https://login.consultant.ru/link/?req=doc&amp;base=LAW&amp;n=495706&amp;dst=14605" TargetMode="External"/><Relationship Id="rId23" Type="http://schemas.openxmlformats.org/officeDocument/2006/relationships/hyperlink" Target="https://login.consultant.ru/link/?req=doc&amp;base=RLAW926&amp;n=335936&amp;dst=100061" TargetMode="External"/><Relationship Id="rId24" Type="http://schemas.openxmlformats.org/officeDocument/2006/relationships/hyperlink" Target="https://login.consultant.ru/link/?req=doc&amp;base=RLAW926&amp;n=331497&amp;dst=100143" TargetMode="External"/><Relationship Id="rId25" Type="http://schemas.openxmlformats.org/officeDocument/2006/relationships/hyperlink" Target="https://login.consultant.ru/link/?req=doc&amp;base=RLAW926&amp;n=315958&amp;dst=102220" TargetMode="External"/><Relationship Id="rId26" Type="http://schemas.openxmlformats.org/officeDocument/2006/relationships/hyperlink" Target="https://login.consultant.ru/link/?req=doc&amp;base=RLAW926&amp;n=339189&amp;dst=100133" TargetMode="External"/><Relationship Id="rId27" Type="http://schemas.openxmlformats.org/officeDocument/2006/relationships/hyperlink" Target="https://login.consultant.ru/link/?req=doc&amp;base=RLAW926&amp;n=339189&amp;dst=100133" TargetMode="External"/><Relationship Id="rId28" Type="http://schemas.openxmlformats.org/officeDocument/2006/relationships/hyperlink" Target="https://login.consultant.ru/link/?req=doc&amp;base=LAW&amp;n=495706&amp;dst=14605" TargetMode="External"/><Relationship Id="rId29" Type="http://schemas.openxmlformats.org/officeDocument/2006/relationships/hyperlink" Target="https://login.consultant.ru/link/?req=doc&amp;base=RLAW926&amp;n=331497&amp;dst=100144" TargetMode="External"/><Relationship Id="rId30" Type="http://schemas.openxmlformats.org/officeDocument/2006/relationships/hyperlink" Target="https://login.consultant.ru/link/?req=doc&amp;base=RLAW926&amp;n=335936&amp;dst=100062" TargetMode="External"/><Relationship Id="rId31" Type="http://schemas.openxmlformats.org/officeDocument/2006/relationships/hyperlink" Target="https://login.consultant.ru/link/?req=doc&amp;base=RLAW926&amp;n=335936&amp;dst=100062" TargetMode="External"/><Relationship Id="rId32" Type="http://schemas.openxmlformats.org/officeDocument/2006/relationships/hyperlink" Target="https://login.consultant.ru/link/?req=doc&amp;base=RLAW926&amp;n=331497&amp;dst=10014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kozirchikovaoa</cp:lastModifiedBy>
  <cp:revision>2</cp:revision>
  <dcterms:created xsi:type="dcterms:W3CDTF">2026-01-27T06:47:00Z</dcterms:created>
  <dcterms:modified xsi:type="dcterms:W3CDTF">2026-01-27T09:09:26Z</dcterms:modified>
</cp:coreProperties>
</file>