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166" w:rsidRDefault="004C016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C0166" w:rsidRDefault="004C0166">
      <w:pPr>
        <w:pStyle w:val="ConsPlusNormal"/>
        <w:outlineLvl w:val="0"/>
      </w:pPr>
    </w:p>
    <w:p w:rsidR="004C0166" w:rsidRDefault="004C0166">
      <w:pPr>
        <w:pStyle w:val="ConsPlusTitle"/>
        <w:jc w:val="center"/>
        <w:outlineLvl w:val="0"/>
      </w:pPr>
      <w:r>
        <w:t>РЕГИОНАЛЬНАЯ СЛУЖБА ПО ТАРИФАМ</w:t>
      </w:r>
    </w:p>
    <w:p w:rsidR="004C0166" w:rsidRDefault="004C0166">
      <w:pPr>
        <w:pStyle w:val="ConsPlusTitle"/>
        <w:jc w:val="center"/>
      </w:pPr>
      <w:r>
        <w:t>ХАНТЫ-МАНСИЙСКОГО АВТОНОМНОГО ОКРУГА - ЮГРЫ</w:t>
      </w:r>
    </w:p>
    <w:p w:rsidR="004C0166" w:rsidRDefault="004C0166">
      <w:pPr>
        <w:pStyle w:val="ConsPlusTitle"/>
        <w:jc w:val="center"/>
      </w:pPr>
      <w:r>
        <w:t>(РСТ ЮГРЫ)</w:t>
      </w:r>
    </w:p>
    <w:p w:rsidR="004C0166" w:rsidRDefault="004C0166">
      <w:pPr>
        <w:pStyle w:val="ConsPlusTitle"/>
        <w:jc w:val="center"/>
      </w:pPr>
    </w:p>
    <w:p w:rsidR="004C0166" w:rsidRDefault="004C0166">
      <w:pPr>
        <w:pStyle w:val="ConsPlusTitle"/>
        <w:jc w:val="center"/>
      </w:pPr>
      <w:r>
        <w:t>ПРИКАЗ</w:t>
      </w:r>
    </w:p>
    <w:p w:rsidR="004C0166" w:rsidRDefault="004C0166">
      <w:pPr>
        <w:pStyle w:val="ConsPlusTitle"/>
        <w:jc w:val="center"/>
      </w:pPr>
      <w:r>
        <w:t>от 16 декабря 2025 г. N 117-нп</w:t>
      </w:r>
    </w:p>
    <w:p w:rsidR="004C0166" w:rsidRDefault="004C0166">
      <w:pPr>
        <w:pStyle w:val="ConsPlusTitle"/>
        <w:jc w:val="center"/>
      </w:pPr>
    </w:p>
    <w:p w:rsidR="004C0166" w:rsidRDefault="004C0166">
      <w:pPr>
        <w:pStyle w:val="ConsPlusTitle"/>
        <w:jc w:val="center"/>
      </w:pPr>
      <w:r>
        <w:t>ОБ УСТАНОВЛЕНИИ РОЗНИЧНЫХ ЦЕН НА СЖИЖЕННЫЙ ГАЗ, РЕАЛИЗУЕМЫЙ</w:t>
      </w:r>
    </w:p>
    <w:p w:rsidR="004C0166" w:rsidRDefault="004C0166">
      <w:pPr>
        <w:pStyle w:val="ConsPlusTitle"/>
        <w:jc w:val="center"/>
      </w:pPr>
      <w:r>
        <w:t>НАСЕЛЕНИЮ ДЛЯ БЫТОВЫХ НУЖД, КРОМЕ ГАЗА ДЛЯ ЗАПРАВКИ</w:t>
      </w:r>
    </w:p>
    <w:p w:rsidR="004C0166" w:rsidRDefault="004C0166">
      <w:pPr>
        <w:pStyle w:val="ConsPlusTitle"/>
        <w:jc w:val="center"/>
      </w:pPr>
      <w:r>
        <w:t>АВТОТРАНСПОРТНЫХ СРЕДСТВ, НЕ СВЯЗАННЫХ С ОСУЩЕСТВЛЕНИЕМ</w:t>
      </w:r>
    </w:p>
    <w:p w:rsidR="004C0166" w:rsidRDefault="004C0166">
      <w:pPr>
        <w:pStyle w:val="ConsPlusTitle"/>
        <w:jc w:val="center"/>
      </w:pPr>
      <w:r>
        <w:t>ПРЕДПРИНИМАТЕЛЬСКОЙ (ПРОФЕССИОНАЛЬНОЙ) ДЕЯТЕЛЬНОСТИ,</w:t>
      </w:r>
    </w:p>
    <w:p w:rsidR="004C0166" w:rsidRDefault="004C0166">
      <w:pPr>
        <w:pStyle w:val="ConsPlusTitle"/>
        <w:jc w:val="center"/>
      </w:pPr>
      <w:r>
        <w:t>НА ТЕРРИТОРИИ ХАНТЫ-МАНСИЙСКОГО АВТОНОМНОГО ОКРУГА - ЮГРЫ</w:t>
      </w:r>
    </w:p>
    <w:p w:rsidR="004C0166" w:rsidRDefault="004C0166">
      <w:pPr>
        <w:pStyle w:val="ConsPlusNormal"/>
        <w:ind w:firstLine="540"/>
        <w:jc w:val="both"/>
      </w:pPr>
    </w:p>
    <w:p w:rsidR="004C0166" w:rsidRDefault="004C0166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декабря 2000 года N 1021 "О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газопровода", </w:t>
      </w:r>
      <w:hyperlink r:id="rId6">
        <w:r>
          <w:rPr>
            <w:color w:val="0000FF"/>
          </w:rPr>
          <w:t>приказом</w:t>
        </w:r>
      </w:hyperlink>
      <w:r>
        <w:t xml:space="preserve"> Федеральной антимонопольной службы от 7 августа 2019 года N 1072/19 "Об утверждении Методических указаний по регулированию розничных цен на сжиженный газ, реализуемый населению для бытовых нужд",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14 апреля 2012 года N 137-п "О Региональной службе по тарифам Ханты-Мансийского автономного округа - Югры", на основании протокола правления Региональной службы по тарифам Ханты-Мансийского автономного округа - Югры от 16 декабря 2025 года N 66 приказываю:</w:t>
      </w:r>
    </w:p>
    <w:p w:rsidR="004C0166" w:rsidRDefault="004C0166">
      <w:pPr>
        <w:pStyle w:val="ConsPlusNormal"/>
        <w:spacing w:before="220"/>
        <w:ind w:firstLine="540"/>
        <w:jc w:val="both"/>
      </w:pPr>
      <w:r>
        <w:t xml:space="preserve">1. Установить с 1 января 2026 год по 31 декабря 2026 года розничные </w:t>
      </w:r>
      <w:hyperlink w:anchor="P32">
        <w:r>
          <w:rPr>
            <w:color w:val="0000FF"/>
          </w:rPr>
          <w:t>цены</w:t>
        </w:r>
      </w:hyperlink>
      <w:r>
        <w:t xml:space="preserve"> на сжиженный газ, реализуемый населению для бытовых нужд, кроме газа для заправки автотранспортных средств, не связанных с осуществлением предпринимательской (профессиональной) деятельности, на территории Ханты-Мансийского автономного округа - Югры согласно приложению к настоящему приказу.</w:t>
      </w:r>
    </w:p>
    <w:p w:rsidR="004C0166" w:rsidRDefault="004C0166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2026 года.</w:t>
      </w:r>
    </w:p>
    <w:p w:rsidR="004C0166" w:rsidRDefault="004C0166">
      <w:pPr>
        <w:pStyle w:val="ConsPlusNormal"/>
        <w:ind w:firstLine="540"/>
        <w:jc w:val="both"/>
      </w:pPr>
    </w:p>
    <w:p w:rsidR="004C0166" w:rsidRDefault="004C0166">
      <w:pPr>
        <w:pStyle w:val="ConsPlusNormal"/>
        <w:jc w:val="right"/>
      </w:pPr>
      <w:r>
        <w:t>Руководитель службы</w:t>
      </w:r>
    </w:p>
    <w:p w:rsidR="004C0166" w:rsidRDefault="004C0166">
      <w:pPr>
        <w:pStyle w:val="ConsPlusNormal"/>
        <w:jc w:val="right"/>
      </w:pPr>
      <w:r>
        <w:t>А.А.БЕРЕЗОВСКИЙ</w:t>
      </w:r>
    </w:p>
    <w:p w:rsidR="004C0166" w:rsidRDefault="004C0166">
      <w:pPr>
        <w:pStyle w:val="ConsPlusNormal"/>
      </w:pPr>
    </w:p>
    <w:p w:rsidR="004C0166" w:rsidRDefault="004C0166">
      <w:pPr>
        <w:pStyle w:val="ConsPlusNormal"/>
      </w:pPr>
    </w:p>
    <w:p w:rsidR="00807CE4" w:rsidRDefault="00807CE4">
      <w:pPr>
        <w:pStyle w:val="ConsPlusNormal"/>
      </w:pPr>
    </w:p>
    <w:p w:rsidR="00807CE4" w:rsidRDefault="00807CE4">
      <w:pPr>
        <w:pStyle w:val="ConsPlusNormal"/>
      </w:pPr>
    </w:p>
    <w:p w:rsidR="00807CE4" w:rsidRDefault="00807CE4">
      <w:pPr>
        <w:pStyle w:val="ConsPlusNormal"/>
      </w:pPr>
    </w:p>
    <w:p w:rsidR="00807CE4" w:rsidRDefault="00807CE4">
      <w:pPr>
        <w:pStyle w:val="ConsPlusNormal"/>
      </w:pPr>
    </w:p>
    <w:p w:rsidR="00807CE4" w:rsidRDefault="00807CE4">
      <w:pPr>
        <w:pStyle w:val="ConsPlusNormal"/>
      </w:pPr>
    </w:p>
    <w:p w:rsidR="00807CE4" w:rsidRDefault="00807CE4">
      <w:pPr>
        <w:pStyle w:val="ConsPlusNormal"/>
      </w:pPr>
    </w:p>
    <w:p w:rsidR="00807CE4" w:rsidRDefault="00807CE4">
      <w:pPr>
        <w:pStyle w:val="ConsPlusNormal"/>
      </w:pPr>
    </w:p>
    <w:p w:rsidR="00807CE4" w:rsidRDefault="00807CE4">
      <w:pPr>
        <w:pStyle w:val="ConsPlusNormal"/>
      </w:pPr>
    </w:p>
    <w:p w:rsidR="00807CE4" w:rsidRDefault="00807CE4">
      <w:pPr>
        <w:pStyle w:val="ConsPlusNormal"/>
      </w:pPr>
    </w:p>
    <w:p w:rsidR="00807CE4" w:rsidRDefault="00807CE4">
      <w:pPr>
        <w:pStyle w:val="ConsPlusNormal"/>
      </w:pPr>
    </w:p>
    <w:p w:rsidR="00807CE4" w:rsidRDefault="00807CE4">
      <w:pPr>
        <w:pStyle w:val="ConsPlusNormal"/>
      </w:pPr>
    </w:p>
    <w:p w:rsidR="004C0166" w:rsidRDefault="004C0166">
      <w:pPr>
        <w:pStyle w:val="ConsPlusNormal"/>
      </w:pPr>
      <w:bookmarkStart w:id="0" w:name="_GoBack"/>
      <w:bookmarkEnd w:id="0"/>
    </w:p>
    <w:p w:rsidR="004C0166" w:rsidRDefault="004C0166">
      <w:pPr>
        <w:pStyle w:val="ConsPlusNormal"/>
        <w:jc w:val="right"/>
        <w:outlineLvl w:val="0"/>
      </w:pPr>
      <w:r>
        <w:t>Приложение</w:t>
      </w:r>
    </w:p>
    <w:p w:rsidR="004C0166" w:rsidRDefault="004C0166">
      <w:pPr>
        <w:pStyle w:val="ConsPlusNormal"/>
        <w:jc w:val="right"/>
      </w:pPr>
      <w:r>
        <w:t>к приказу</w:t>
      </w:r>
    </w:p>
    <w:p w:rsidR="004C0166" w:rsidRDefault="004C0166">
      <w:pPr>
        <w:pStyle w:val="ConsPlusNormal"/>
        <w:jc w:val="right"/>
      </w:pPr>
      <w:r>
        <w:t>Региональной службы по тарифам</w:t>
      </w:r>
    </w:p>
    <w:p w:rsidR="004C0166" w:rsidRDefault="004C0166">
      <w:pPr>
        <w:pStyle w:val="ConsPlusNormal"/>
        <w:jc w:val="right"/>
      </w:pPr>
      <w:r>
        <w:t>Ханты-Мансийского</w:t>
      </w:r>
    </w:p>
    <w:p w:rsidR="004C0166" w:rsidRDefault="004C0166">
      <w:pPr>
        <w:pStyle w:val="ConsPlusNormal"/>
        <w:jc w:val="right"/>
      </w:pPr>
      <w:r>
        <w:t>автономного округа - Югры</w:t>
      </w:r>
    </w:p>
    <w:p w:rsidR="004C0166" w:rsidRDefault="004C0166">
      <w:pPr>
        <w:pStyle w:val="ConsPlusNormal"/>
        <w:jc w:val="right"/>
      </w:pPr>
      <w:r>
        <w:t>от 16 декабря 2025 года N 117-нп</w:t>
      </w:r>
    </w:p>
    <w:p w:rsidR="004C0166" w:rsidRDefault="004C0166">
      <w:pPr>
        <w:pStyle w:val="ConsPlusNormal"/>
      </w:pPr>
    </w:p>
    <w:p w:rsidR="004C0166" w:rsidRDefault="004C0166">
      <w:pPr>
        <w:pStyle w:val="ConsPlusTitle"/>
        <w:jc w:val="center"/>
      </w:pPr>
      <w:bookmarkStart w:id="1" w:name="P32"/>
      <w:bookmarkEnd w:id="1"/>
      <w:r>
        <w:t>РОЗНИЧНЫЕ ЦЕНЫ</w:t>
      </w:r>
    </w:p>
    <w:p w:rsidR="004C0166" w:rsidRDefault="004C0166">
      <w:pPr>
        <w:pStyle w:val="ConsPlusTitle"/>
        <w:jc w:val="center"/>
      </w:pPr>
      <w:r>
        <w:t>НА СЖИЖЕННЫЙ ГАЗ, РЕАЛИЗУЕМЫЙ НАСЕЛЕНИЮ ДЛЯ БЫТОВЫХ НУЖД,</w:t>
      </w:r>
    </w:p>
    <w:p w:rsidR="004C0166" w:rsidRDefault="004C0166">
      <w:pPr>
        <w:pStyle w:val="ConsPlusTitle"/>
        <w:jc w:val="center"/>
      </w:pPr>
      <w:r>
        <w:t>КРОМЕ ГАЗА ДЛЯ ЗАПРАВКИ АВТОТРАНСПОРТНЫХ СРЕДСТВ,</w:t>
      </w:r>
    </w:p>
    <w:p w:rsidR="004C0166" w:rsidRDefault="004C0166">
      <w:pPr>
        <w:pStyle w:val="ConsPlusTitle"/>
        <w:jc w:val="center"/>
      </w:pPr>
      <w:r>
        <w:t>НЕ СВЯЗАННЫХ С ОСУЩЕСТВЛЕНИЕМ ПРЕДПРИНИМАТЕЛЬСКОЙ</w:t>
      </w:r>
    </w:p>
    <w:p w:rsidR="004C0166" w:rsidRDefault="004C0166">
      <w:pPr>
        <w:pStyle w:val="ConsPlusTitle"/>
        <w:jc w:val="center"/>
      </w:pPr>
      <w:r>
        <w:t>(ПРОФЕССИОНАЛЬНОЙ) ДЕЯТЕЛЬНОСТИ, НА ТЕРРИТОРИИ</w:t>
      </w:r>
    </w:p>
    <w:p w:rsidR="004C0166" w:rsidRDefault="004C0166">
      <w:pPr>
        <w:pStyle w:val="ConsPlusTitle"/>
        <w:jc w:val="center"/>
      </w:pPr>
      <w:r>
        <w:t>ХАНТЫ-МАНСИЙСКОГО АВТОНОМНОГО ОКРУГА - ЮГРЫ</w:t>
      </w:r>
    </w:p>
    <w:p w:rsidR="004C0166" w:rsidRDefault="004C016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4432"/>
        <w:gridCol w:w="2088"/>
        <w:gridCol w:w="2017"/>
      </w:tblGrid>
      <w:tr w:rsidR="004C0166">
        <w:tc>
          <w:tcPr>
            <w:tcW w:w="518" w:type="dxa"/>
            <w:vMerge w:val="restart"/>
          </w:tcPr>
          <w:p w:rsidR="004C0166" w:rsidRDefault="004C016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432" w:type="dxa"/>
            <w:vMerge w:val="restart"/>
          </w:tcPr>
          <w:p w:rsidR="004C0166" w:rsidRDefault="004C0166">
            <w:pPr>
              <w:pStyle w:val="ConsPlusNormal"/>
              <w:jc w:val="center"/>
            </w:pPr>
            <w:r>
              <w:t>Наименование газораспределительной организации, осуществляющей поставку сжиженного газа населению</w:t>
            </w:r>
          </w:p>
        </w:tc>
        <w:tc>
          <w:tcPr>
            <w:tcW w:w="4105" w:type="dxa"/>
            <w:gridSpan w:val="2"/>
          </w:tcPr>
          <w:p w:rsidR="004C0166" w:rsidRDefault="004C0166">
            <w:pPr>
              <w:pStyle w:val="ConsPlusNormal"/>
              <w:jc w:val="center"/>
            </w:pPr>
            <w:r>
              <w:t>Розничные цены на сжиженный газ, рублей за килограмм (включая НДС)</w:t>
            </w:r>
          </w:p>
        </w:tc>
      </w:tr>
      <w:tr w:rsidR="004C0166">
        <w:tc>
          <w:tcPr>
            <w:tcW w:w="518" w:type="dxa"/>
            <w:vMerge/>
          </w:tcPr>
          <w:p w:rsidR="004C0166" w:rsidRDefault="004C0166">
            <w:pPr>
              <w:pStyle w:val="ConsPlusNormal"/>
            </w:pPr>
          </w:p>
        </w:tc>
        <w:tc>
          <w:tcPr>
            <w:tcW w:w="4432" w:type="dxa"/>
            <w:vMerge/>
          </w:tcPr>
          <w:p w:rsidR="004C0166" w:rsidRDefault="004C0166">
            <w:pPr>
              <w:pStyle w:val="ConsPlusNormal"/>
            </w:pPr>
          </w:p>
        </w:tc>
        <w:tc>
          <w:tcPr>
            <w:tcW w:w="2088" w:type="dxa"/>
          </w:tcPr>
          <w:p w:rsidR="004C0166" w:rsidRDefault="004C0166">
            <w:pPr>
              <w:pStyle w:val="ConsPlusNormal"/>
              <w:jc w:val="center"/>
            </w:pPr>
            <w:r>
              <w:t>с 01.01.2026 по 30.09.2026</w:t>
            </w:r>
          </w:p>
        </w:tc>
        <w:tc>
          <w:tcPr>
            <w:tcW w:w="2017" w:type="dxa"/>
          </w:tcPr>
          <w:p w:rsidR="004C0166" w:rsidRDefault="004C0166">
            <w:pPr>
              <w:pStyle w:val="ConsPlusNormal"/>
              <w:jc w:val="center"/>
            </w:pPr>
            <w:r>
              <w:t>с 01.10.2026 по 31.12.2026</w:t>
            </w:r>
          </w:p>
        </w:tc>
      </w:tr>
      <w:tr w:rsidR="004C0166">
        <w:tc>
          <w:tcPr>
            <w:tcW w:w="518" w:type="dxa"/>
          </w:tcPr>
          <w:p w:rsidR="004C0166" w:rsidRDefault="004C0166">
            <w:pPr>
              <w:pStyle w:val="ConsPlusNormal"/>
            </w:pPr>
            <w:r>
              <w:t>1.</w:t>
            </w:r>
          </w:p>
        </w:tc>
        <w:tc>
          <w:tcPr>
            <w:tcW w:w="4432" w:type="dxa"/>
          </w:tcPr>
          <w:p w:rsidR="004C0166" w:rsidRDefault="004C0166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Нижневартовскгаз</w:t>
            </w:r>
            <w:proofErr w:type="spellEnd"/>
            <w:r>
              <w:t>"</w:t>
            </w:r>
          </w:p>
        </w:tc>
        <w:tc>
          <w:tcPr>
            <w:tcW w:w="2088" w:type="dxa"/>
          </w:tcPr>
          <w:p w:rsidR="004C0166" w:rsidRDefault="004C0166">
            <w:pPr>
              <w:pStyle w:val="ConsPlusNormal"/>
            </w:pPr>
            <w:r>
              <w:t>76,41</w:t>
            </w:r>
          </w:p>
        </w:tc>
        <w:tc>
          <w:tcPr>
            <w:tcW w:w="2017" w:type="dxa"/>
          </w:tcPr>
          <w:p w:rsidR="004C0166" w:rsidRDefault="004C0166">
            <w:pPr>
              <w:pStyle w:val="ConsPlusNormal"/>
            </w:pPr>
            <w:r>
              <w:t>84,58</w:t>
            </w:r>
          </w:p>
        </w:tc>
      </w:tr>
      <w:tr w:rsidR="004C0166">
        <w:tc>
          <w:tcPr>
            <w:tcW w:w="518" w:type="dxa"/>
          </w:tcPr>
          <w:p w:rsidR="004C0166" w:rsidRDefault="004C0166">
            <w:pPr>
              <w:pStyle w:val="ConsPlusNormal"/>
            </w:pPr>
            <w:r>
              <w:t>2.</w:t>
            </w:r>
          </w:p>
        </w:tc>
        <w:tc>
          <w:tcPr>
            <w:tcW w:w="4432" w:type="dxa"/>
          </w:tcPr>
          <w:p w:rsidR="004C0166" w:rsidRDefault="004C0166">
            <w:pPr>
              <w:pStyle w:val="ConsPlusNormal"/>
            </w:pPr>
            <w:r>
              <w:t>Открытое акционерное общество "</w:t>
            </w:r>
            <w:proofErr w:type="spellStart"/>
            <w:r>
              <w:t>Обьгаз</w:t>
            </w:r>
            <w:proofErr w:type="spellEnd"/>
            <w:r>
              <w:t>"</w:t>
            </w:r>
          </w:p>
        </w:tc>
        <w:tc>
          <w:tcPr>
            <w:tcW w:w="2088" w:type="dxa"/>
          </w:tcPr>
          <w:p w:rsidR="004C0166" w:rsidRDefault="004C0166">
            <w:pPr>
              <w:pStyle w:val="ConsPlusNormal"/>
            </w:pPr>
            <w:r>
              <w:t xml:space="preserve">76,41 </w:t>
            </w:r>
            <w:hyperlink w:anchor="P7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17" w:type="dxa"/>
          </w:tcPr>
          <w:p w:rsidR="004C0166" w:rsidRDefault="004C0166">
            <w:pPr>
              <w:pStyle w:val="ConsPlusNormal"/>
            </w:pPr>
            <w:r>
              <w:t xml:space="preserve">84,58 </w:t>
            </w:r>
            <w:hyperlink w:anchor="P74">
              <w:r>
                <w:rPr>
                  <w:color w:val="0000FF"/>
                </w:rPr>
                <w:t>&lt;*&gt;</w:t>
              </w:r>
            </w:hyperlink>
          </w:p>
        </w:tc>
      </w:tr>
      <w:tr w:rsidR="004C0166">
        <w:tc>
          <w:tcPr>
            <w:tcW w:w="518" w:type="dxa"/>
          </w:tcPr>
          <w:p w:rsidR="004C0166" w:rsidRDefault="004C0166">
            <w:pPr>
              <w:pStyle w:val="ConsPlusNormal"/>
            </w:pPr>
            <w:r>
              <w:t>3.</w:t>
            </w:r>
          </w:p>
        </w:tc>
        <w:tc>
          <w:tcPr>
            <w:tcW w:w="4432" w:type="dxa"/>
          </w:tcPr>
          <w:p w:rsidR="004C0166" w:rsidRDefault="004C0166">
            <w:pPr>
              <w:pStyle w:val="ConsPlusNormal"/>
            </w:pPr>
            <w:r>
              <w:t>Общество с ограниченной ответственностью "Центр Отопительной Техники"</w:t>
            </w:r>
          </w:p>
        </w:tc>
        <w:tc>
          <w:tcPr>
            <w:tcW w:w="2088" w:type="dxa"/>
          </w:tcPr>
          <w:p w:rsidR="004C0166" w:rsidRDefault="004C0166">
            <w:pPr>
              <w:pStyle w:val="ConsPlusNormal"/>
            </w:pPr>
            <w:r>
              <w:t xml:space="preserve">76,41 </w:t>
            </w:r>
            <w:hyperlink w:anchor="P7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17" w:type="dxa"/>
          </w:tcPr>
          <w:p w:rsidR="004C0166" w:rsidRDefault="004C0166">
            <w:pPr>
              <w:pStyle w:val="ConsPlusNormal"/>
            </w:pPr>
            <w:r>
              <w:t xml:space="preserve">84,58 </w:t>
            </w:r>
            <w:hyperlink w:anchor="P74">
              <w:r>
                <w:rPr>
                  <w:color w:val="0000FF"/>
                </w:rPr>
                <w:t>&lt;*&gt;</w:t>
              </w:r>
            </w:hyperlink>
          </w:p>
        </w:tc>
      </w:tr>
      <w:tr w:rsidR="004C0166">
        <w:tc>
          <w:tcPr>
            <w:tcW w:w="518" w:type="dxa"/>
          </w:tcPr>
          <w:p w:rsidR="004C0166" w:rsidRDefault="004C0166">
            <w:pPr>
              <w:pStyle w:val="ConsPlusNormal"/>
            </w:pPr>
            <w:r>
              <w:t>4.</w:t>
            </w:r>
          </w:p>
        </w:tc>
        <w:tc>
          <w:tcPr>
            <w:tcW w:w="4432" w:type="dxa"/>
          </w:tcPr>
          <w:p w:rsidR="004C0166" w:rsidRDefault="004C0166">
            <w:pPr>
              <w:pStyle w:val="ConsPlusNormal"/>
            </w:pPr>
            <w:r>
              <w:t>Акционерное общество "Сжиженный газ Север"</w:t>
            </w:r>
          </w:p>
        </w:tc>
        <w:tc>
          <w:tcPr>
            <w:tcW w:w="2088" w:type="dxa"/>
          </w:tcPr>
          <w:p w:rsidR="004C0166" w:rsidRDefault="004C0166">
            <w:pPr>
              <w:pStyle w:val="ConsPlusNormal"/>
            </w:pPr>
            <w:r>
              <w:t>76,41</w:t>
            </w:r>
          </w:p>
        </w:tc>
        <w:tc>
          <w:tcPr>
            <w:tcW w:w="2017" w:type="dxa"/>
          </w:tcPr>
          <w:p w:rsidR="004C0166" w:rsidRDefault="004C0166">
            <w:pPr>
              <w:pStyle w:val="ConsPlusNormal"/>
            </w:pPr>
            <w:r>
              <w:t>84,58</w:t>
            </w:r>
          </w:p>
        </w:tc>
      </w:tr>
      <w:tr w:rsidR="004C0166">
        <w:tc>
          <w:tcPr>
            <w:tcW w:w="518" w:type="dxa"/>
          </w:tcPr>
          <w:p w:rsidR="004C0166" w:rsidRDefault="004C0166">
            <w:pPr>
              <w:pStyle w:val="ConsPlusNormal"/>
            </w:pPr>
            <w:r>
              <w:t>5.</w:t>
            </w:r>
          </w:p>
        </w:tc>
        <w:tc>
          <w:tcPr>
            <w:tcW w:w="4432" w:type="dxa"/>
          </w:tcPr>
          <w:p w:rsidR="004C0166" w:rsidRDefault="004C0166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Мегионгазсервис</w:t>
            </w:r>
            <w:proofErr w:type="spellEnd"/>
            <w:r>
              <w:t>"</w:t>
            </w:r>
          </w:p>
        </w:tc>
        <w:tc>
          <w:tcPr>
            <w:tcW w:w="2088" w:type="dxa"/>
          </w:tcPr>
          <w:p w:rsidR="004C0166" w:rsidRDefault="004C0166">
            <w:pPr>
              <w:pStyle w:val="ConsPlusNormal"/>
            </w:pPr>
            <w:r>
              <w:t xml:space="preserve">76,41 </w:t>
            </w:r>
            <w:hyperlink w:anchor="P7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17" w:type="dxa"/>
          </w:tcPr>
          <w:p w:rsidR="004C0166" w:rsidRDefault="004C0166">
            <w:pPr>
              <w:pStyle w:val="ConsPlusNormal"/>
            </w:pPr>
            <w:r>
              <w:t xml:space="preserve">84,58 </w:t>
            </w:r>
            <w:hyperlink w:anchor="P74">
              <w:r>
                <w:rPr>
                  <w:color w:val="0000FF"/>
                </w:rPr>
                <w:t>&lt;*&gt;</w:t>
              </w:r>
            </w:hyperlink>
          </w:p>
        </w:tc>
      </w:tr>
      <w:tr w:rsidR="004C0166">
        <w:tc>
          <w:tcPr>
            <w:tcW w:w="518" w:type="dxa"/>
          </w:tcPr>
          <w:p w:rsidR="004C0166" w:rsidRDefault="004C0166">
            <w:pPr>
              <w:pStyle w:val="ConsPlusNormal"/>
            </w:pPr>
            <w:r>
              <w:t>6.</w:t>
            </w:r>
          </w:p>
        </w:tc>
        <w:tc>
          <w:tcPr>
            <w:tcW w:w="4432" w:type="dxa"/>
          </w:tcPr>
          <w:p w:rsidR="004C0166" w:rsidRDefault="004C0166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Березовогаз</w:t>
            </w:r>
            <w:proofErr w:type="spellEnd"/>
            <w:r>
              <w:t>"</w:t>
            </w:r>
          </w:p>
        </w:tc>
        <w:tc>
          <w:tcPr>
            <w:tcW w:w="2088" w:type="dxa"/>
          </w:tcPr>
          <w:p w:rsidR="004C0166" w:rsidRDefault="004C0166">
            <w:pPr>
              <w:pStyle w:val="ConsPlusNormal"/>
            </w:pPr>
            <w:r>
              <w:t xml:space="preserve">76,41 </w:t>
            </w:r>
            <w:hyperlink w:anchor="P7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17" w:type="dxa"/>
          </w:tcPr>
          <w:p w:rsidR="004C0166" w:rsidRDefault="004C0166">
            <w:pPr>
              <w:pStyle w:val="ConsPlusNormal"/>
            </w:pPr>
            <w:r>
              <w:t xml:space="preserve">84,58 </w:t>
            </w:r>
            <w:hyperlink w:anchor="P74">
              <w:r>
                <w:rPr>
                  <w:color w:val="0000FF"/>
                </w:rPr>
                <w:t>&lt;*&gt;</w:t>
              </w:r>
            </w:hyperlink>
          </w:p>
        </w:tc>
      </w:tr>
      <w:tr w:rsidR="004C0166">
        <w:tc>
          <w:tcPr>
            <w:tcW w:w="518" w:type="dxa"/>
          </w:tcPr>
          <w:p w:rsidR="004C0166" w:rsidRDefault="004C0166">
            <w:pPr>
              <w:pStyle w:val="ConsPlusNormal"/>
            </w:pPr>
            <w:r>
              <w:t>7.</w:t>
            </w:r>
          </w:p>
        </w:tc>
        <w:tc>
          <w:tcPr>
            <w:tcW w:w="4432" w:type="dxa"/>
          </w:tcPr>
          <w:p w:rsidR="004C0166" w:rsidRDefault="004C0166">
            <w:pPr>
              <w:pStyle w:val="ConsPlusNormal"/>
            </w:pPr>
            <w:r>
              <w:t>Общество с ограниченной ответственностью "Юкон-Газ Плюс"</w:t>
            </w:r>
          </w:p>
        </w:tc>
        <w:tc>
          <w:tcPr>
            <w:tcW w:w="2088" w:type="dxa"/>
          </w:tcPr>
          <w:p w:rsidR="004C0166" w:rsidRDefault="004C0166">
            <w:pPr>
              <w:pStyle w:val="ConsPlusNormal"/>
            </w:pPr>
            <w:r>
              <w:t xml:space="preserve">76,41 </w:t>
            </w:r>
            <w:hyperlink w:anchor="P7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17" w:type="dxa"/>
          </w:tcPr>
          <w:p w:rsidR="004C0166" w:rsidRDefault="004C0166">
            <w:pPr>
              <w:pStyle w:val="ConsPlusNormal"/>
            </w:pPr>
            <w:r>
              <w:t xml:space="preserve">84,58 </w:t>
            </w:r>
            <w:hyperlink w:anchor="P74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4C0166" w:rsidRDefault="004C0166">
      <w:pPr>
        <w:pStyle w:val="ConsPlusNormal"/>
        <w:ind w:firstLine="540"/>
        <w:jc w:val="both"/>
      </w:pPr>
    </w:p>
    <w:p w:rsidR="004C0166" w:rsidRDefault="004C0166">
      <w:pPr>
        <w:pStyle w:val="ConsPlusNormal"/>
        <w:ind w:firstLine="540"/>
        <w:jc w:val="both"/>
      </w:pPr>
      <w:r>
        <w:t>--------------------------------</w:t>
      </w:r>
    </w:p>
    <w:p w:rsidR="004C0166" w:rsidRDefault="004C0166">
      <w:pPr>
        <w:pStyle w:val="ConsPlusNormal"/>
        <w:spacing w:before="220"/>
        <w:ind w:firstLine="540"/>
        <w:jc w:val="both"/>
      </w:pPr>
      <w:bookmarkStart w:id="2" w:name="P74"/>
      <w:bookmarkEnd w:id="2"/>
      <w:r>
        <w:t xml:space="preserve">&lt;*&gt; Применяется упрощенная система налогообложения в соответствии с </w:t>
      </w:r>
      <w:hyperlink r:id="rId8">
        <w:r>
          <w:rPr>
            <w:color w:val="0000FF"/>
          </w:rPr>
          <w:t>главой 26.2</w:t>
        </w:r>
      </w:hyperlink>
      <w:r>
        <w:t xml:space="preserve"> Налогового кодекса Российской Федерации. На основании </w:t>
      </w:r>
      <w:hyperlink r:id="rId9">
        <w:r>
          <w:rPr>
            <w:color w:val="0000FF"/>
          </w:rPr>
          <w:t>подпункта 1 пункта 8 статьи 164 главы 21</w:t>
        </w:r>
      </w:hyperlink>
      <w:r>
        <w:t xml:space="preserve"> Налогового кодекса Российской Федерации применяется ставка НДС в размере 5%.</w:t>
      </w:r>
    </w:p>
    <w:p w:rsidR="004C0166" w:rsidRDefault="004C0166">
      <w:pPr>
        <w:pStyle w:val="ConsPlusNormal"/>
        <w:ind w:firstLine="540"/>
        <w:jc w:val="both"/>
      </w:pPr>
    </w:p>
    <w:p w:rsidR="004C0166" w:rsidRDefault="004C0166">
      <w:pPr>
        <w:pStyle w:val="ConsPlusNormal"/>
        <w:ind w:firstLine="540"/>
        <w:jc w:val="both"/>
      </w:pPr>
      <w:r>
        <w:t>Примечание: розничные цены применяются организациями, осуществляющими регулируемый вид деятельности, при реализации сжиженного газа населению для бытовых нужд (</w:t>
      </w:r>
      <w:proofErr w:type="spellStart"/>
      <w:r>
        <w:t>пищеприготовление</w:t>
      </w:r>
      <w:proofErr w:type="spellEnd"/>
      <w:r>
        <w:t xml:space="preserve">, отопление, горячее водоснабжение), кроме газа для арендаторов нежилых помещений в жилых домах и газа для заправки автотранспортных средств, для всех категорий систем </w:t>
      </w:r>
      <w:proofErr w:type="spellStart"/>
      <w:r>
        <w:t>франкирования</w:t>
      </w:r>
      <w:proofErr w:type="spellEnd"/>
      <w:r>
        <w:t>.</w:t>
      </w:r>
    </w:p>
    <w:p w:rsidR="004C0166" w:rsidRDefault="004C0166">
      <w:pPr>
        <w:pStyle w:val="ConsPlusNormal"/>
        <w:ind w:firstLine="540"/>
        <w:jc w:val="both"/>
      </w:pPr>
    </w:p>
    <w:p w:rsidR="004C0166" w:rsidRDefault="004C0166">
      <w:pPr>
        <w:pStyle w:val="ConsPlusNormal"/>
        <w:ind w:firstLine="540"/>
        <w:jc w:val="both"/>
      </w:pPr>
    </w:p>
    <w:p w:rsidR="004C0166" w:rsidRDefault="004C01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0EA2" w:rsidRDefault="00810EA2"/>
    <w:sectPr w:rsidR="00810EA2" w:rsidSect="00C71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66"/>
    <w:rsid w:val="004C0166"/>
    <w:rsid w:val="00807CE4"/>
    <w:rsid w:val="0081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8DDBA"/>
  <w15:chartTrackingRefBased/>
  <w15:docId w15:val="{D63D81C1-6218-4153-A638-D9961344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1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01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01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706&amp;dst=10357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320739&amp;dst=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2119&amp;dst=10006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13585&amp;dst=19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5706&amp;dst=257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2026-01-29T09:39:00Z</dcterms:created>
  <dcterms:modified xsi:type="dcterms:W3CDTF">2026-01-29T09:40:00Z</dcterms:modified>
</cp:coreProperties>
</file>