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F82" w:rsidRDefault="00A87F82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87F82" w:rsidRDefault="00A87F82">
      <w:pPr>
        <w:pStyle w:val="ConsPlusNormal"/>
        <w:jc w:val="both"/>
        <w:outlineLvl w:val="0"/>
      </w:pPr>
    </w:p>
    <w:p w:rsidR="00A87F82" w:rsidRDefault="00A87F82">
      <w:pPr>
        <w:pStyle w:val="ConsPlusTitle"/>
        <w:jc w:val="center"/>
        <w:outlineLvl w:val="0"/>
      </w:pPr>
      <w:r>
        <w:t>РЕГИОНАЛЬНАЯ СЛУЖБА ПО ТАРИФАМ</w:t>
      </w:r>
    </w:p>
    <w:p w:rsidR="00A87F82" w:rsidRDefault="00A87F82">
      <w:pPr>
        <w:pStyle w:val="ConsPlusTitle"/>
        <w:jc w:val="center"/>
      </w:pPr>
      <w:r>
        <w:t>ХАНТЫ-МАНСИЙСКОГО АВТОНОМНОГО ОКРУГА - ЮГРЫ</w:t>
      </w:r>
    </w:p>
    <w:p w:rsidR="00A87F82" w:rsidRDefault="00A87F82">
      <w:pPr>
        <w:pStyle w:val="ConsPlusTitle"/>
        <w:jc w:val="center"/>
      </w:pPr>
      <w:r>
        <w:t>(РСТ ЮГРЫ)</w:t>
      </w:r>
    </w:p>
    <w:p w:rsidR="00A87F82" w:rsidRDefault="00A87F82">
      <w:pPr>
        <w:pStyle w:val="ConsPlusTitle"/>
        <w:jc w:val="center"/>
      </w:pPr>
    </w:p>
    <w:p w:rsidR="00A87F82" w:rsidRDefault="00A87F82">
      <w:pPr>
        <w:pStyle w:val="ConsPlusTitle"/>
        <w:jc w:val="center"/>
      </w:pPr>
      <w:r>
        <w:t>ПРИКАЗ</w:t>
      </w:r>
    </w:p>
    <w:p w:rsidR="00A87F82" w:rsidRDefault="00A87F82">
      <w:pPr>
        <w:pStyle w:val="ConsPlusTitle"/>
        <w:jc w:val="center"/>
      </w:pPr>
      <w:r>
        <w:t>от 16 декабря 2021 г. N 144-нп</w:t>
      </w:r>
    </w:p>
    <w:p w:rsidR="00A87F82" w:rsidRDefault="00A87F82">
      <w:pPr>
        <w:pStyle w:val="ConsPlusTitle"/>
        <w:jc w:val="center"/>
      </w:pPr>
    </w:p>
    <w:p w:rsidR="00A87F82" w:rsidRDefault="00A87F82">
      <w:pPr>
        <w:pStyle w:val="ConsPlusTitle"/>
        <w:jc w:val="center"/>
      </w:pPr>
      <w:r>
        <w:t>ОБ УСТАНОВЛЕНИИ ПРЕДЕЛЬНОГО ЕДИНОГО ТАРИФА НА УСЛУГУ</w:t>
      </w:r>
    </w:p>
    <w:p w:rsidR="00A87F82" w:rsidRDefault="00A87F82">
      <w:pPr>
        <w:pStyle w:val="ConsPlusTitle"/>
        <w:jc w:val="center"/>
      </w:pPr>
      <w:r>
        <w:t>РЕГИОНАЛЬНОГО ОПЕРАТОРА В ОБЛАСТИ ОБРАЩЕНИЯ С ТВЕРДЫМИ</w:t>
      </w:r>
    </w:p>
    <w:p w:rsidR="00A87F82" w:rsidRDefault="00A87F82">
      <w:pPr>
        <w:pStyle w:val="ConsPlusTitle"/>
        <w:jc w:val="center"/>
      </w:pPr>
      <w:r>
        <w:t>КОММУНАЛЬНЫМИ ОТХОДАМИ ДЛЯ АКЦИОНЕРНОГО ОБЩЕСТВА</w:t>
      </w:r>
    </w:p>
    <w:p w:rsidR="00A87F82" w:rsidRDefault="00A87F82">
      <w:pPr>
        <w:pStyle w:val="ConsPlusTitle"/>
        <w:jc w:val="center"/>
      </w:pPr>
      <w:r>
        <w:t>"ЮГРА-ЭКОЛОГИЯ" И О ВНЕСЕНИИ ИЗМЕНЕНИЙ В НЕКОТОРЫЕ ПРИКАЗЫ</w:t>
      </w:r>
    </w:p>
    <w:p w:rsidR="00A87F82" w:rsidRDefault="00A87F82">
      <w:pPr>
        <w:pStyle w:val="ConsPlusTitle"/>
        <w:jc w:val="center"/>
      </w:pPr>
      <w:r>
        <w:t>РЕГИОНАЛЬНОЙ СЛУЖБЫ ПО ТАРИФАМ ХАНТЫ-МАНСИЙСКОГО АВТОНОМНОГО</w:t>
      </w:r>
    </w:p>
    <w:p w:rsidR="00A87F82" w:rsidRDefault="00A87F82">
      <w:pPr>
        <w:pStyle w:val="ConsPlusTitle"/>
        <w:jc w:val="center"/>
      </w:pPr>
      <w:r>
        <w:t>ОКРУГА - ЮГРЫ</w:t>
      </w:r>
    </w:p>
    <w:p w:rsidR="00A87F82" w:rsidRDefault="00A87F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87F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7F82" w:rsidRDefault="00A87F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7F82" w:rsidRDefault="00A87F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7F82" w:rsidRDefault="00A87F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7F82" w:rsidRDefault="00A87F82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A87F82" w:rsidRDefault="00A87F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03.03.2022 </w:t>
            </w:r>
            <w:hyperlink r:id="rId5">
              <w:r>
                <w:rPr>
                  <w:color w:val="0000FF"/>
                </w:rPr>
                <w:t>N 10-нп</w:t>
              </w:r>
            </w:hyperlink>
            <w:r>
              <w:rPr>
                <w:color w:val="392C69"/>
              </w:rPr>
              <w:t xml:space="preserve">, от 24.11.2022 </w:t>
            </w:r>
            <w:hyperlink r:id="rId6">
              <w:r>
                <w:rPr>
                  <w:color w:val="0000FF"/>
                </w:rPr>
                <w:t>N 93-нп</w:t>
              </w:r>
            </w:hyperlink>
            <w:r>
              <w:rPr>
                <w:color w:val="392C69"/>
              </w:rPr>
              <w:t xml:space="preserve">, от 14.12.2023 </w:t>
            </w:r>
            <w:hyperlink r:id="rId7">
              <w:r>
                <w:rPr>
                  <w:color w:val="0000FF"/>
                </w:rPr>
                <w:t>N 132-нп</w:t>
              </w:r>
            </w:hyperlink>
            <w:r>
              <w:rPr>
                <w:color w:val="392C69"/>
              </w:rPr>
              <w:t>,</w:t>
            </w:r>
          </w:p>
          <w:p w:rsidR="00A87F82" w:rsidRDefault="00A87F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12.12.2024 </w:t>
            </w:r>
            <w:hyperlink r:id="rId8">
              <w:r>
                <w:rPr>
                  <w:color w:val="0000FF"/>
                </w:rPr>
                <w:t>N 122-нп</w:t>
              </w:r>
            </w:hyperlink>
            <w:r>
              <w:rPr>
                <w:color w:val="392C69"/>
              </w:rPr>
              <w:t xml:space="preserve">, от 16.12.2025 </w:t>
            </w:r>
            <w:hyperlink r:id="rId9">
              <w:r>
                <w:rPr>
                  <w:color w:val="0000FF"/>
                </w:rPr>
                <w:t>N 134-нп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7F82" w:rsidRDefault="00A87F82">
            <w:pPr>
              <w:pStyle w:val="ConsPlusNormal"/>
            </w:pPr>
          </w:p>
        </w:tc>
      </w:tr>
    </w:tbl>
    <w:p w:rsidR="00A87F82" w:rsidRDefault="00A87F82">
      <w:pPr>
        <w:pStyle w:val="ConsPlusNormal"/>
        <w:jc w:val="both"/>
      </w:pPr>
    </w:p>
    <w:p w:rsidR="00A87F82" w:rsidRDefault="00A87F8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24 июня 1998 года N 89-ФЗ "Об отходах производства и потребления",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мая 2016 года N 484 "О ценообразовании в области обращения с твердыми коммунальными отходами", </w:t>
      </w:r>
      <w:hyperlink r:id="rId12">
        <w:r>
          <w:rPr>
            <w:color w:val="0000FF"/>
          </w:rPr>
          <w:t>приказом</w:t>
        </w:r>
      </w:hyperlink>
      <w:r>
        <w:t xml:space="preserve"> Федеральной антимонопольной службы от 21 ноября 2016 года N 1638/16 "Об утверждении Методических указаний по расчету регулируемых тарифов в области обращения с твердыми коммунальными отходами", на основании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Ханты-Мансийского автономного округа - Югры от 14 апреля 2012 года N 137-п "О Региональной службе по тарифам Ханты-Мансийского автономного округа - Югры", протокола правления Региональной службы по тарифам Ханты-Мансийского автономного округа - Югры от 16 декабря 2021 года N 75 приказываю:</w:t>
      </w:r>
    </w:p>
    <w:p w:rsidR="00A87F82" w:rsidRDefault="00A87F82">
      <w:pPr>
        <w:pStyle w:val="ConsPlusNormal"/>
        <w:spacing w:before="220"/>
        <w:ind w:firstLine="540"/>
        <w:jc w:val="both"/>
      </w:pPr>
      <w:r>
        <w:t xml:space="preserve">1. Установить предельный единый </w:t>
      </w:r>
      <w:hyperlink w:anchor="P176">
        <w:r>
          <w:rPr>
            <w:color w:val="0000FF"/>
          </w:rPr>
          <w:t>тариф</w:t>
        </w:r>
      </w:hyperlink>
      <w:r>
        <w:t xml:space="preserve"> на услугу регионального оператора в области обращения с твердыми коммунальными отходами для акционерного общества "Югра-Экология" на период с 1 января 2022 года по 31 декабря 2028 года согласно приложению к настоящему приказу.</w:t>
      </w:r>
    </w:p>
    <w:p w:rsidR="00A87F82" w:rsidRDefault="00A87F82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14">
        <w:r>
          <w:rPr>
            <w:color w:val="0000FF"/>
          </w:rPr>
          <w:t>приложение 1</w:t>
        </w:r>
      </w:hyperlink>
      <w:r>
        <w:t xml:space="preserve"> к приказу Региональной службы по тарифам Ханты-Мансийского автономного округа - Югры от 19 декабря 2019 года N 166-нп "Об установлении предельного единого тарифа на услугу регионального оператора в области обращения с твердыми коммунальными отходами для акционерного общества "Югра-Экология" изменение, изложив </w:t>
      </w:r>
      <w:hyperlink r:id="rId15">
        <w:r>
          <w:rPr>
            <w:color w:val="0000FF"/>
          </w:rPr>
          <w:t>таблицу</w:t>
        </w:r>
      </w:hyperlink>
      <w:r>
        <w:t xml:space="preserve"> в следующей редакции:</w:t>
      </w:r>
    </w:p>
    <w:p w:rsidR="00A87F82" w:rsidRDefault="00A87F82">
      <w:pPr>
        <w:pStyle w:val="ConsPlusNormal"/>
        <w:jc w:val="both"/>
      </w:pPr>
    </w:p>
    <w:p w:rsidR="00A87F82" w:rsidRDefault="00A87F82">
      <w:pPr>
        <w:pStyle w:val="ConsPlusNormal"/>
        <w:jc w:val="both"/>
      </w:pPr>
      <w:r>
        <w:t>"</w:t>
      </w:r>
    </w:p>
    <w:p w:rsidR="00A87F82" w:rsidRDefault="00A87F82">
      <w:pPr>
        <w:pStyle w:val="ConsPlusNormal"/>
        <w:sectPr w:rsidR="00A87F82" w:rsidSect="00536A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005"/>
        <w:gridCol w:w="1189"/>
        <w:gridCol w:w="1984"/>
        <w:gridCol w:w="904"/>
        <w:gridCol w:w="904"/>
        <w:gridCol w:w="904"/>
        <w:gridCol w:w="904"/>
        <w:gridCol w:w="904"/>
        <w:gridCol w:w="904"/>
      </w:tblGrid>
      <w:tr w:rsidR="00A87F82">
        <w:tc>
          <w:tcPr>
            <w:tcW w:w="454" w:type="dxa"/>
            <w:vMerge w:val="restart"/>
          </w:tcPr>
          <w:p w:rsidR="00A87F82" w:rsidRDefault="00A87F8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005" w:type="dxa"/>
            <w:vMerge w:val="restart"/>
          </w:tcPr>
          <w:p w:rsidR="00A87F82" w:rsidRDefault="00A87F82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189" w:type="dxa"/>
            <w:vMerge w:val="restart"/>
          </w:tcPr>
          <w:p w:rsidR="00A87F82" w:rsidRDefault="00A87F82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984" w:type="dxa"/>
            <w:vMerge w:val="restart"/>
          </w:tcPr>
          <w:p w:rsidR="00A87F82" w:rsidRDefault="00A87F82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5424" w:type="dxa"/>
            <w:gridSpan w:val="6"/>
          </w:tcPr>
          <w:p w:rsidR="00A87F82" w:rsidRDefault="00A87F82">
            <w:pPr>
              <w:pStyle w:val="ConsPlusNormal"/>
              <w:jc w:val="center"/>
            </w:pPr>
            <w:r>
              <w:t>Единый тариф на услугу регионального оператора в области обращения с твердыми коммунальными отходами &lt;**&gt;</w:t>
            </w:r>
          </w:p>
        </w:tc>
      </w:tr>
      <w:tr w:rsidR="00A87F82">
        <w:tc>
          <w:tcPr>
            <w:tcW w:w="454" w:type="dxa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3005" w:type="dxa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1189" w:type="dxa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1984" w:type="dxa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1808" w:type="dxa"/>
            <w:gridSpan w:val="2"/>
          </w:tcPr>
          <w:p w:rsidR="00A87F82" w:rsidRDefault="00A87F82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808" w:type="dxa"/>
            <w:gridSpan w:val="2"/>
          </w:tcPr>
          <w:p w:rsidR="00A87F82" w:rsidRDefault="00A87F82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808" w:type="dxa"/>
            <w:gridSpan w:val="2"/>
          </w:tcPr>
          <w:p w:rsidR="00A87F82" w:rsidRDefault="00A87F82">
            <w:pPr>
              <w:pStyle w:val="ConsPlusNormal"/>
              <w:jc w:val="center"/>
            </w:pPr>
            <w:r>
              <w:t>2022 год</w:t>
            </w:r>
          </w:p>
        </w:tc>
      </w:tr>
      <w:tr w:rsidR="00A87F82">
        <w:tc>
          <w:tcPr>
            <w:tcW w:w="454" w:type="dxa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3005" w:type="dxa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1189" w:type="dxa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1984" w:type="dxa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904" w:type="dxa"/>
          </w:tcPr>
          <w:p w:rsidR="00A87F82" w:rsidRDefault="00A87F82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  <w:jc w:val="center"/>
            </w:pPr>
            <w:r>
              <w:t>с 1 июля по 31 декабря</w:t>
            </w:r>
          </w:p>
        </w:tc>
      </w:tr>
      <w:tr w:rsidR="00A87F82">
        <w:tc>
          <w:tcPr>
            <w:tcW w:w="454" w:type="dxa"/>
          </w:tcPr>
          <w:p w:rsidR="00A87F82" w:rsidRDefault="00A87F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5" w:type="dxa"/>
          </w:tcPr>
          <w:p w:rsidR="00A87F82" w:rsidRDefault="00A87F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9" w:type="dxa"/>
          </w:tcPr>
          <w:p w:rsidR="00A87F82" w:rsidRDefault="00A87F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A87F82" w:rsidRDefault="00A87F8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  <w:jc w:val="center"/>
            </w:pPr>
            <w:r>
              <w:t>10</w:t>
            </w:r>
          </w:p>
        </w:tc>
      </w:tr>
      <w:tr w:rsidR="00A87F82">
        <w:tc>
          <w:tcPr>
            <w:tcW w:w="454" w:type="dxa"/>
            <w:vMerge w:val="restart"/>
          </w:tcPr>
          <w:p w:rsidR="00A87F82" w:rsidRDefault="00A87F82">
            <w:pPr>
              <w:pStyle w:val="ConsPlusNormal"/>
            </w:pPr>
            <w:r>
              <w:t>1</w:t>
            </w:r>
          </w:p>
        </w:tc>
        <w:tc>
          <w:tcPr>
            <w:tcW w:w="3005" w:type="dxa"/>
            <w:vMerge w:val="restart"/>
          </w:tcPr>
          <w:p w:rsidR="00A87F82" w:rsidRDefault="00A87F82">
            <w:pPr>
              <w:pStyle w:val="ConsPlusNormal"/>
            </w:pPr>
            <w:r>
              <w:t xml:space="preserve">Березовский район, Белоярский район, </w:t>
            </w:r>
            <w:proofErr w:type="spellStart"/>
            <w:r>
              <w:t>Сургутский</w:t>
            </w:r>
            <w:proofErr w:type="spellEnd"/>
            <w:r>
              <w:t xml:space="preserve"> район, </w:t>
            </w:r>
            <w:proofErr w:type="spellStart"/>
            <w:r>
              <w:t>Нижневартовский</w:t>
            </w:r>
            <w:proofErr w:type="spellEnd"/>
            <w:r>
              <w:t xml:space="preserve"> район, городской округ город Когалым, городской округ город Сургут, городской округ город Радужный, городской округ город </w:t>
            </w:r>
            <w:proofErr w:type="spellStart"/>
            <w:r>
              <w:t>Покачи</w:t>
            </w:r>
            <w:proofErr w:type="spellEnd"/>
            <w:r>
              <w:t xml:space="preserve">, городской округ город </w:t>
            </w:r>
            <w:proofErr w:type="spellStart"/>
            <w:r>
              <w:t>Мегион</w:t>
            </w:r>
            <w:proofErr w:type="spellEnd"/>
            <w:r>
              <w:t xml:space="preserve">, городской округ город Нижневартовск, городской округ город </w:t>
            </w:r>
            <w:proofErr w:type="spellStart"/>
            <w:r>
              <w:t>Лангепас</w:t>
            </w:r>
            <w:proofErr w:type="spellEnd"/>
          </w:p>
        </w:tc>
        <w:tc>
          <w:tcPr>
            <w:tcW w:w="1189" w:type="dxa"/>
            <w:vMerge w:val="restart"/>
          </w:tcPr>
          <w:p w:rsidR="00A87F82" w:rsidRDefault="00A87F82">
            <w:pPr>
              <w:pStyle w:val="ConsPlusNormal"/>
            </w:pPr>
            <w:r>
              <w:t>руб./м3</w:t>
            </w:r>
          </w:p>
        </w:tc>
        <w:tc>
          <w:tcPr>
            <w:tcW w:w="1984" w:type="dxa"/>
          </w:tcPr>
          <w:p w:rsidR="00A87F82" w:rsidRDefault="00A87F8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</w:pPr>
            <w:r>
              <w:t>581,26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</w:pPr>
            <w:r>
              <w:t>587,49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</w:pPr>
            <w:r>
              <w:t>587,49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</w:pPr>
            <w:r>
              <w:t>607,46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</w:pPr>
            <w:r>
              <w:t>607,46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</w:pPr>
            <w:r>
              <w:t>628,11</w:t>
            </w:r>
          </w:p>
        </w:tc>
      </w:tr>
      <w:tr w:rsidR="00A87F82">
        <w:tc>
          <w:tcPr>
            <w:tcW w:w="454" w:type="dxa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3005" w:type="dxa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1189" w:type="dxa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1984" w:type="dxa"/>
          </w:tcPr>
          <w:p w:rsidR="00A87F82" w:rsidRDefault="00A87F82">
            <w:pPr>
              <w:pStyle w:val="ConsPlusNormal"/>
            </w:pPr>
            <w:r>
              <w:t>Для населения (с учетом НДС &lt;*&gt;)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</w:pPr>
            <w:r>
              <w:t>697,51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</w:pPr>
            <w:r>
              <w:t>704,99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</w:pPr>
            <w:r>
              <w:t>704,99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</w:pPr>
            <w:r>
              <w:t>728,95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</w:pPr>
            <w:r>
              <w:t>728,95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</w:pPr>
            <w:r>
              <w:t>753,73</w:t>
            </w:r>
          </w:p>
        </w:tc>
      </w:tr>
      <w:tr w:rsidR="00A87F82">
        <w:tc>
          <w:tcPr>
            <w:tcW w:w="454" w:type="dxa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3005" w:type="dxa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1189" w:type="dxa"/>
            <w:vMerge w:val="restart"/>
          </w:tcPr>
          <w:p w:rsidR="00A87F82" w:rsidRDefault="00A87F82">
            <w:pPr>
              <w:pStyle w:val="ConsPlusNormal"/>
            </w:pPr>
            <w:r>
              <w:t>руб./тонна</w:t>
            </w:r>
          </w:p>
        </w:tc>
        <w:tc>
          <w:tcPr>
            <w:tcW w:w="1984" w:type="dxa"/>
          </w:tcPr>
          <w:p w:rsidR="00A87F82" w:rsidRDefault="00A87F8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</w:pPr>
            <w:r>
              <w:t>5644,98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</w:pPr>
            <w:r>
              <w:t>5705,49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</w:pPr>
            <w:r>
              <w:t>5657,56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</w:pPr>
            <w:r>
              <w:t>5657,56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</w:pPr>
            <w:r>
              <w:t>5657,56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</w:pPr>
            <w:r>
              <w:t>6042,07</w:t>
            </w:r>
          </w:p>
        </w:tc>
      </w:tr>
      <w:tr w:rsidR="00A87F82">
        <w:tc>
          <w:tcPr>
            <w:tcW w:w="454" w:type="dxa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3005" w:type="dxa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1189" w:type="dxa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1984" w:type="dxa"/>
          </w:tcPr>
          <w:p w:rsidR="00A87F82" w:rsidRDefault="00A87F82">
            <w:pPr>
              <w:pStyle w:val="ConsPlusNormal"/>
            </w:pPr>
            <w:r>
              <w:t>Для населения (с учетом НДС &lt;*&gt;)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</w:pPr>
            <w:r>
              <w:t>6773,98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</w:pPr>
            <w:r>
              <w:t>6846,59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</w:pPr>
            <w:r>
              <w:t>6789,07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</w:pPr>
            <w:r>
              <w:t>6789,07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</w:pPr>
            <w:r>
              <w:t>6789,07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</w:pPr>
            <w:r>
              <w:t>7250,48</w:t>
            </w:r>
          </w:p>
        </w:tc>
      </w:tr>
    </w:tbl>
    <w:p w:rsidR="00A87F82" w:rsidRDefault="00A87F82">
      <w:pPr>
        <w:pStyle w:val="ConsPlusNormal"/>
        <w:spacing w:before="220"/>
        <w:jc w:val="right"/>
      </w:pPr>
      <w:r>
        <w:t>".</w:t>
      </w:r>
    </w:p>
    <w:p w:rsidR="00A87F82" w:rsidRDefault="00A87F82">
      <w:pPr>
        <w:pStyle w:val="ConsPlusNormal"/>
        <w:spacing w:before="220"/>
        <w:jc w:val="right"/>
      </w:pPr>
    </w:p>
    <w:p w:rsidR="00A87F82" w:rsidRDefault="00A87F82">
      <w:pPr>
        <w:pStyle w:val="ConsPlusNormal"/>
        <w:spacing w:before="220"/>
        <w:jc w:val="right"/>
      </w:pPr>
    </w:p>
    <w:p w:rsidR="00A87F82" w:rsidRDefault="00A87F82">
      <w:pPr>
        <w:pStyle w:val="ConsPlusNormal"/>
        <w:spacing w:before="220"/>
        <w:jc w:val="right"/>
      </w:pPr>
    </w:p>
    <w:p w:rsidR="00A87F82" w:rsidRDefault="00A87F82">
      <w:pPr>
        <w:pStyle w:val="ConsPlusNormal"/>
        <w:spacing w:before="220"/>
        <w:jc w:val="right"/>
      </w:pPr>
    </w:p>
    <w:p w:rsidR="00A87F82" w:rsidRDefault="00A87F82">
      <w:pPr>
        <w:pStyle w:val="ConsPlusNormal"/>
        <w:ind w:firstLine="540"/>
        <w:jc w:val="both"/>
      </w:pPr>
      <w:r>
        <w:lastRenderedPageBreak/>
        <w:t xml:space="preserve">3. Внести в </w:t>
      </w:r>
      <w:hyperlink r:id="rId16">
        <w:r>
          <w:rPr>
            <w:color w:val="0000FF"/>
          </w:rPr>
          <w:t>приложение 1</w:t>
        </w:r>
      </w:hyperlink>
      <w:r>
        <w:t xml:space="preserve"> к приказу Региональной службы по тарифам Ханты-Мансийского автономного округа - Югры от 18 февраля 2020 года N 4-нп "Об установлении предельного единого тарифа на услугу регионального оператора в области обращения с твердыми коммунальными отходами для акционерного общества "Югра-Экология" изменение, изложив </w:t>
      </w:r>
      <w:hyperlink r:id="rId17">
        <w:r>
          <w:rPr>
            <w:color w:val="0000FF"/>
          </w:rPr>
          <w:t>таблицу</w:t>
        </w:r>
      </w:hyperlink>
      <w:r>
        <w:t xml:space="preserve"> в следующей редакции:</w:t>
      </w:r>
    </w:p>
    <w:p w:rsidR="00A87F82" w:rsidRDefault="00A87F82">
      <w:pPr>
        <w:pStyle w:val="ConsPlusNormal"/>
        <w:jc w:val="both"/>
      </w:pPr>
    </w:p>
    <w:p w:rsidR="00A87F82" w:rsidRDefault="00A87F82">
      <w:pPr>
        <w:pStyle w:val="ConsPlusNormal"/>
        <w:jc w:val="both"/>
      </w:pPr>
      <w:r>
        <w:t>"</w:t>
      </w:r>
    </w:p>
    <w:p w:rsidR="00A87F82" w:rsidRDefault="00A87F82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219"/>
        <w:gridCol w:w="1189"/>
        <w:gridCol w:w="1534"/>
        <w:gridCol w:w="1294"/>
        <w:gridCol w:w="1024"/>
        <w:gridCol w:w="1024"/>
        <w:gridCol w:w="1024"/>
        <w:gridCol w:w="904"/>
        <w:gridCol w:w="1024"/>
        <w:gridCol w:w="1024"/>
        <w:gridCol w:w="1024"/>
        <w:gridCol w:w="6"/>
      </w:tblGrid>
      <w:tr w:rsidR="00A87F82" w:rsidTr="00A87F82">
        <w:tc>
          <w:tcPr>
            <w:tcW w:w="15744" w:type="dxa"/>
            <w:gridSpan w:val="13"/>
          </w:tcPr>
          <w:p w:rsidR="00A87F82" w:rsidRDefault="00A87F82">
            <w:pPr>
              <w:pStyle w:val="ConsPlusNormal"/>
              <w:jc w:val="center"/>
            </w:pPr>
            <w:r>
              <w:t>На период с момента вступления в силу настоящего приказа по 31 декабря 2023 года</w:t>
            </w:r>
          </w:p>
        </w:tc>
      </w:tr>
      <w:tr w:rsidR="00A87F82" w:rsidTr="00A87F82">
        <w:trPr>
          <w:gridAfter w:val="1"/>
          <w:wAfter w:w="6" w:type="dxa"/>
        </w:trPr>
        <w:tc>
          <w:tcPr>
            <w:tcW w:w="454" w:type="dxa"/>
            <w:vMerge w:val="restart"/>
          </w:tcPr>
          <w:p w:rsidR="00A87F82" w:rsidRDefault="00A87F8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19" w:type="dxa"/>
            <w:vMerge w:val="restart"/>
          </w:tcPr>
          <w:p w:rsidR="00A87F82" w:rsidRDefault="00A87F82">
            <w:pPr>
              <w:pStyle w:val="ConsPlusNormal"/>
              <w:jc w:val="center"/>
            </w:pPr>
            <w:r>
              <w:t>Наименования муниципальных образований</w:t>
            </w:r>
          </w:p>
        </w:tc>
        <w:tc>
          <w:tcPr>
            <w:tcW w:w="1189" w:type="dxa"/>
            <w:vMerge w:val="restart"/>
          </w:tcPr>
          <w:p w:rsidR="00A87F82" w:rsidRDefault="00A87F82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534" w:type="dxa"/>
            <w:vMerge w:val="restart"/>
          </w:tcPr>
          <w:p w:rsidR="00A87F82" w:rsidRDefault="00A87F82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8342" w:type="dxa"/>
            <w:gridSpan w:val="8"/>
          </w:tcPr>
          <w:p w:rsidR="00A87F82" w:rsidRDefault="00A87F82">
            <w:pPr>
              <w:pStyle w:val="ConsPlusNormal"/>
              <w:jc w:val="center"/>
            </w:pPr>
            <w:r>
              <w:t>Единый тариф на услугу регионального оператора в области обращения с твердыми коммунальными отходами &lt;*&gt;</w:t>
            </w:r>
          </w:p>
        </w:tc>
      </w:tr>
      <w:tr w:rsidR="00A87F82" w:rsidTr="00A87F82">
        <w:trPr>
          <w:gridAfter w:val="1"/>
          <w:wAfter w:w="6" w:type="dxa"/>
        </w:trPr>
        <w:tc>
          <w:tcPr>
            <w:tcW w:w="454" w:type="dxa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4219" w:type="dxa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1189" w:type="dxa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1534" w:type="dxa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2318" w:type="dxa"/>
            <w:gridSpan w:val="2"/>
          </w:tcPr>
          <w:p w:rsidR="00A87F82" w:rsidRDefault="00A87F82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048" w:type="dxa"/>
            <w:gridSpan w:val="2"/>
          </w:tcPr>
          <w:p w:rsidR="00A87F82" w:rsidRDefault="00A87F82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928" w:type="dxa"/>
            <w:gridSpan w:val="2"/>
          </w:tcPr>
          <w:p w:rsidR="00A87F82" w:rsidRDefault="00A87F82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2048" w:type="dxa"/>
            <w:gridSpan w:val="2"/>
          </w:tcPr>
          <w:p w:rsidR="00A87F82" w:rsidRDefault="00A87F82">
            <w:pPr>
              <w:pStyle w:val="ConsPlusNormal"/>
              <w:jc w:val="center"/>
            </w:pPr>
            <w:r>
              <w:t>2023 год</w:t>
            </w:r>
          </w:p>
        </w:tc>
      </w:tr>
      <w:tr w:rsidR="00A87F82" w:rsidTr="00A87F82">
        <w:trPr>
          <w:gridAfter w:val="1"/>
          <w:wAfter w:w="6" w:type="dxa"/>
        </w:trPr>
        <w:tc>
          <w:tcPr>
            <w:tcW w:w="454" w:type="dxa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4219" w:type="dxa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1189" w:type="dxa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1534" w:type="dxa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1294" w:type="dxa"/>
          </w:tcPr>
          <w:p w:rsidR="00A87F82" w:rsidRDefault="00A87F82">
            <w:pPr>
              <w:pStyle w:val="ConsPlusNormal"/>
              <w:jc w:val="center"/>
            </w:pPr>
            <w:r>
              <w:t>с момента вступления в силу настоящего приказа по 30 июня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  <w:jc w:val="center"/>
            </w:pPr>
            <w:r>
              <w:t>с 1 июля по 31 декабря</w:t>
            </w:r>
          </w:p>
        </w:tc>
      </w:tr>
      <w:tr w:rsidR="00A87F82" w:rsidTr="00A87F82">
        <w:trPr>
          <w:gridAfter w:val="1"/>
          <w:wAfter w:w="6" w:type="dxa"/>
        </w:trPr>
        <w:tc>
          <w:tcPr>
            <w:tcW w:w="454" w:type="dxa"/>
          </w:tcPr>
          <w:p w:rsidR="00A87F82" w:rsidRDefault="00A87F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19" w:type="dxa"/>
          </w:tcPr>
          <w:p w:rsidR="00A87F82" w:rsidRDefault="00A87F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9" w:type="dxa"/>
          </w:tcPr>
          <w:p w:rsidR="00A87F82" w:rsidRDefault="00A87F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4" w:type="dxa"/>
          </w:tcPr>
          <w:p w:rsidR="00A87F82" w:rsidRDefault="00A87F8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94" w:type="dxa"/>
          </w:tcPr>
          <w:p w:rsidR="00A87F82" w:rsidRDefault="00A87F8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  <w:jc w:val="center"/>
            </w:pPr>
            <w:r>
              <w:t>12</w:t>
            </w:r>
          </w:p>
        </w:tc>
      </w:tr>
      <w:tr w:rsidR="00A87F82" w:rsidTr="00A87F82">
        <w:trPr>
          <w:gridAfter w:val="1"/>
          <w:wAfter w:w="6" w:type="dxa"/>
        </w:trPr>
        <w:tc>
          <w:tcPr>
            <w:tcW w:w="454" w:type="dxa"/>
            <w:vMerge w:val="restart"/>
          </w:tcPr>
          <w:p w:rsidR="00A87F82" w:rsidRDefault="00A87F82">
            <w:pPr>
              <w:pStyle w:val="ConsPlusNormal"/>
            </w:pPr>
            <w:r>
              <w:t>1</w:t>
            </w:r>
          </w:p>
        </w:tc>
        <w:tc>
          <w:tcPr>
            <w:tcW w:w="4219" w:type="dxa"/>
            <w:vMerge w:val="restart"/>
          </w:tcPr>
          <w:p w:rsidR="00A87F82" w:rsidRDefault="00A87F82">
            <w:pPr>
              <w:pStyle w:val="ConsPlusNormal"/>
            </w:pPr>
            <w:proofErr w:type="spellStart"/>
            <w:r>
              <w:t>Кондинский</w:t>
            </w:r>
            <w:proofErr w:type="spellEnd"/>
            <w:r>
              <w:t xml:space="preserve"> район, </w:t>
            </w:r>
            <w:proofErr w:type="spellStart"/>
            <w:r>
              <w:t>Нефтеюганский</w:t>
            </w:r>
            <w:proofErr w:type="spellEnd"/>
            <w:r>
              <w:t xml:space="preserve"> район, Октябрьский район, Советский район, Ханты-Мансийский район</w:t>
            </w:r>
          </w:p>
        </w:tc>
        <w:tc>
          <w:tcPr>
            <w:tcW w:w="1189" w:type="dxa"/>
          </w:tcPr>
          <w:p w:rsidR="00A87F82" w:rsidRDefault="00A87F82">
            <w:pPr>
              <w:pStyle w:val="ConsPlusNormal"/>
            </w:pPr>
            <w:r>
              <w:t>руб./м3</w:t>
            </w:r>
          </w:p>
        </w:tc>
        <w:tc>
          <w:tcPr>
            <w:tcW w:w="1534" w:type="dxa"/>
          </w:tcPr>
          <w:p w:rsidR="00A87F82" w:rsidRDefault="00A87F8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294" w:type="dxa"/>
          </w:tcPr>
          <w:p w:rsidR="00A87F82" w:rsidRDefault="00A87F82">
            <w:pPr>
              <w:pStyle w:val="ConsPlusNormal"/>
            </w:pPr>
            <w:r>
              <w:t>1461,68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</w:pPr>
            <w:r>
              <w:t>1461,68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</w:pPr>
            <w:r>
              <w:t>1002,72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</w:pPr>
            <w:r>
              <w:t>1002,69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</w:pPr>
            <w:r>
              <w:t>700,23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</w:pPr>
            <w:r>
              <w:t>700,23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</w:pPr>
            <w:r>
              <w:t>700,23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</w:pPr>
            <w:r>
              <w:t>1144,61</w:t>
            </w:r>
          </w:p>
        </w:tc>
      </w:tr>
      <w:tr w:rsidR="00A87F82" w:rsidTr="00A87F82">
        <w:trPr>
          <w:gridAfter w:val="1"/>
          <w:wAfter w:w="6" w:type="dxa"/>
        </w:trPr>
        <w:tc>
          <w:tcPr>
            <w:tcW w:w="454" w:type="dxa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4219" w:type="dxa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1189" w:type="dxa"/>
          </w:tcPr>
          <w:p w:rsidR="00A87F82" w:rsidRDefault="00A87F82">
            <w:pPr>
              <w:pStyle w:val="ConsPlusNormal"/>
            </w:pPr>
            <w:r>
              <w:t>руб./тонна</w:t>
            </w:r>
          </w:p>
        </w:tc>
        <w:tc>
          <w:tcPr>
            <w:tcW w:w="1534" w:type="dxa"/>
          </w:tcPr>
          <w:p w:rsidR="00A87F82" w:rsidRDefault="00A87F8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294" w:type="dxa"/>
          </w:tcPr>
          <w:p w:rsidR="00A87F82" w:rsidRDefault="00A87F82">
            <w:pPr>
              <w:pStyle w:val="ConsPlusNormal"/>
            </w:pPr>
            <w:r>
              <w:t>14616,80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</w:pPr>
            <w:r>
              <w:t>14616,80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</w:pPr>
            <w:r>
              <w:t>10918,74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</w:pPr>
            <w:r>
              <w:t>10918,45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</w:pPr>
            <w:r>
              <w:t>7002,03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</w:pPr>
            <w:r>
              <w:t>7002,03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</w:pPr>
            <w:r>
              <w:t>7002,03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</w:pPr>
            <w:r>
              <w:t>11445,64</w:t>
            </w:r>
          </w:p>
        </w:tc>
      </w:tr>
      <w:tr w:rsidR="00A87F82" w:rsidTr="00A87F82">
        <w:trPr>
          <w:gridAfter w:val="1"/>
          <w:wAfter w:w="6" w:type="dxa"/>
        </w:trPr>
        <w:tc>
          <w:tcPr>
            <w:tcW w:w="454" w:type="dxa"/>
            <w:vMerge w:val="restart"/>
          </w:tcPr>
          <w:p w:rsidR="00A87F82" w:rsidRDefault="00A87F82">
            <w:pPr>
              <w:pStyle w:val="ConsPlusNormal"/>
            </w:pPr>
            <w:r>
              <w:t>2</w:t>
            </w:r>
          </w:p>
        </w:tc>
        <w:tc>
          <w:tcPr>
            <w:tcW w:w="4219" w:type="dxa"/>
            <w:vMerge w:val="restart"/>
          </w:tcPr>
          <w:p w:rsidR="00A87F82" w:rsidRDefault="00A87F82">
            <w:pPr>
              <w:pStyle w:val="ConsPlusNormal"/>
            </w:pPr>
            <w:r>
              <w:t xml:space="preserve">Белоярский район, </w:t>
            </w:r>
            <w:proofErr w:type="spellStart"/>
            <w:r>
              <w:t>Нижневартовский</w:t>
            </w:r>
            <w:proofErr w:type="spellEnd"/>
            <w:r>
              <w:t xml:space="preserve"> район, </w:t>
            </w:r>
            <w:proofErr w:type="spellStart"/>
            <w:r>
              <w:t>Сургутский</w:t>
            </w:r>
            <w:proofErr w:type="spellEnd"/>
            <w:r>
              <w:t xml:space="preserve"> район</w:t>
            </w:r>
          </w:p>
        </w:tc>
        <w:tc>
          <w:tcPr>
            <w:tcW w:w="1189" w:type="dxa"/>
          </w:tcPr>
          <w:p w:rsidR="00A87F82" w:rsidRDefault="00A87F82">
            <w:pPr>
              <w:pStyle w:val="ConsPlusNormal"/>
            </w:pPr>
            <w:r>
              <w:t>руб./м3</w:t>
            </w:r>
          </w:p>
        </w:tc>
        <w:tc>
          <w:tcPr>
            <w:tcW w:w="1534" w:type="dxa"/>
          </w:tcPr>
          <w:p w:rsidR="00A87F82" w:rsidRDefault="00A87F8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294" w:type="dxa"/>
          </w:tcPr>
          <w:p w:rsidR="00A87F82" w:rsidRDefault="00A87F82">
            <w:pPr>
              <w:pStyle w:val="ConsPlusNormal"/>
            </w:pPr>
            <w:r>
              <w:t>1290,50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</w:pPr>
            <w:r>
              <w:t>1290,50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</w:pPr>
            <w:r>
              <w:t>884,64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</w:pPr>
            <w:r>
              <w:t>884,64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</w:pPr>
            <w:r>
              <w:t>884,64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</w:pPr>
            <w:r>
              <w:t>1080,31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</w:pPr>
            <w:r>
              <w:t>1080,31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</w:pPr>
            <w:r>
              <w:t>1294,27</w:t>
            </w:r>
          </w:p>
        </w:tc>
      </w:tr>
      <w:tr w:rsidR="00A87F82" w:rsidTr="00A87F82">
        <w:trPr>
          <w:gridAfter w:val="1"/>
          <w:wAfter w:w="6" w:type="dxa"/>
        </w:trPr>
        <w:tc>
          <w:tcPr>
            <w:tcW w:w="454" w:type="dxa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4219" w:type="dxa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1189" w:type="dxa"/>
          </w:tcPr>
          <w:p w:rsidR="00A87F82" w:rsidRDefault="00A87F82">
            <w:pPr>
              <w:pStyle w:val="ConsPlusNormal"/>
            </w:pPr>
            <w:r>
              <w:t>руб./тонна</w:t>
            </w:r>
          </w:p>
        </w:tc>
        <w:tc>
          <w:tcPr>
            <w:tcW w:w="1534" w:type="dxa"/>
          </w:tcPr>
          <w:p w:rsidR="00A87F82" w:rsidRDefault="00A87F8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294" w:type="dxa"/>
          </w:tcPr>
          <w:p w:rsidR="00A87F82" w:rsidRDefault="00A87F82">
            <w:pPr>
              <w:pStyle w:val="ConsPlusNormal"/>
            </w:pPr>
            <w:r>
              <w:t>12905,05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</w:pPr>
            <w:r>
              <w:t>12905,05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</w:pPr>
            <w:r>
              <w:t>8034,78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</w:pPr>
            <w:r>
              <w:t>8034,78</w:t>
            </w:r>
          </w:p>
        </w:tc>
        <w:tc>
          <w:tcPr>
            <w:tcW w:w="904" w:type="dxa"/>
          </w:tcPr>
          <w:p w:rsidR="00A87F82" w:rsidRDefault="00A87F82">
            <w:pPr>
              <w:pStyle w:val="ConsPlusNormal"/>
            </w:pPr>
            <w:r>
              <w:t>8034,78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</w:pPr>
            <w:r>
              <w:t>11103,20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</w:pPr>
            <w:r>
              <w:t>11103,20</w:t>
            </w:r>
          </w:p>
        </w:tc>
        <w:tc>
          <w:tcPr>
            <w:tcW w:w="1024" w:type="dxa"/>
          </w:tcPr>
          <w:p w:rsidR="00A87F82" w:rsidRDefault="00A87F82">
            <w:pPr>
              <w:pStyle w:val="ConsPlusNormal"/>
            </w:pPr>
            <w:r>
              <w:t>12024,45</w:t>
            </w:r>
          </w:p>
        </w:tc>
      </w:tr>
    </w:tbl>
    <w:p w:rsidR="00A87F82" w:rsidRDefault="00A87F82">
      <w:pPr>
        <w:pStyle w:val="ConsPlusNormal"/>
        <w:spacing w:before="220"/>
        <w:jc w:val="right"/>
      </w:pPr>
      <w:r>
        <w:lastRenderedPageBreak/>
        <w:t>".</w:t>
      </w:r>
    </w:p>
    <w:p w:rsidR="00A87F82" w:rsidRDefault="00A87F82">
      <w:pPr>
        <w:pStyle w:val="ConsPlusNormal"/>
        <w:jc w:val="both"/>
      </w:pPr>
    </w:p>
    <w:p w:rsidR="00A87F82" w:rsidRDefault="00A87F82">
      <w:pPr>
        <w:pStyle w:val="ConsPlusNormal"/>
        <w:ind w:firstLine="540"/>
        <w:jc w:val="both"/>
      </w:pPr>
      <w:r>
        <w:t>4. Настоящий приказ вступает в силу с 1 января 2022 года.</w:t>
      </w:r>
    </w:p>
    <w:p w:rsidR="00A87F82" w:rsidRDefault="00A87F82">
      <w:pPr>
        <w:pStyle w:val="ConsPlusNormal"/>
        <w:jc w:val="both"/>
      </w:pPr>
    </w:p>
    <w:p w:rsidR="00A87F82" w:rsidRDefault="00A87F82">
      <w:pPr>
        <w:pStyle w:val="ConsPlusNormal"/>
        <w:jc w:val="right"/>
      </w:pPr>
      <w:r>
        <w:t>Руководитель службы</w:t>
      </w:r>
    </w:p>
    <w:p w:rsidR="00A87F82" w:rsidRDefault="00A87F82">
      <w:pPr>
        <w:pStyle w:val="ConsPlusNormal"/>
        <w:jc w:val="right"/>
      </w:pPr>
      <w:r>
        <w:t>А.А.БЕРЕЗОВСКИЙ</w:t>
      </w:r>
    </w:p>
    <w:p w:rsidR="00A87F82" w:rsidRDefault="00A87F82">
      <w:pPr>
        <w:pStyle w:val="ConsPlusNormal"/>
        <w:jc w:val="both"/>
      </w:pPr>
    </w:p>
    <w:p w:rsidR="00A87F82" w:rsidRDefault="00A87F82">
      <w:pPr>
        <w:pStyle w:val="ConsPlusNormal"/>
        <w:jc w:val="both"/>
      </w:pPr>
    </w:p>
    <w:p w:rsidR="00A87F82" w:rsidRDefault="00A87F82">
      <w:pPr>
        <w:pStyle w:val="ConsPlusNormal"/>
        <w:jc w:val="both"/>
      </w:pPr>
    </w:p>
    <w:p w:rsidR="00A87F82" w:rsidRDefault="00A87F82">
      <w:pPr>
        <w:pStyle w:val="ConsPlusNormal"/>
        <w:jc w:val="both"/>
      </w:pPr>
    </w:p>
    <w:p w:rsidR="00A87F82" w:rsidRDefault="00A87F82">
      <w:pPr>
        <w:pStyle w:val="ConsPlusNormal"/>
        <w:jc w:val="both"/>
      </w:pPr>
    </w:p>
    <w:p w:rsidR="00A87F82" w:rsidRDefault="00A87F82">
      <w:pPr>
        <w:pStyle w:val="ConsPlusNormal"/>
        <w:jc w:val="both"/>
      </w:pPr>
    </w:p>
    <w:p w:rsidR="00A87F82" w:rsidRDefault="00A87F82">
      <w:pPr>
        <w:pStyle w:val="ConsPlusNormal"/>
        <w:jc w:val="both"/>
      </w:pPr>
    </w:p>
    <w:p w:rsidR="00A87F82" w:rsidRDefault="00A87F82">
      <w:pPr>
        <w:pStyle w:val="ConsPlusNormal"/>
        <w:jc w:val="both"/>
      </w:pPr>
    </w:p>
    <w:p w:rsidR="00A87F82" w:rsidRDefault="00A87F82">
      <w:pPr>
        <w:pStyle w:val="ConsPlusNormal"/>
        <w:jc w:val="both"/>
      </w:pPr>
    </w:p>
    <w:p w:rsidR="00A87F82" w:rsidRDefault="00A87F82">
      <w:pPr>
        <w:pStyle w:val="ConsPlusNormal"/>
        <w:jc w:val="both"/>
      </w:pPr>
    </w:p>
    <w:p w:rsidR="00A87F82" w:rsidRDefault="00A87F82">
      <w:pPr>
        <w:pStyle w:val="ConsPlusNormal"/>
        <w:jc w:val="both"/>
      </w:pPr>
    </w:p>
    <w:p w:rsidR="00A87F82" w:rsidRDefault="00A87F82">
      <w:pPr>
        <w:pStyle w:val="ConsPlusNormal"/>
        <w:jc w:val="both"/>
      </w:pPr>
    </w:p>
    <w:p w:rsidR="00A87F82" w:rsidRDefault="00A87F82">
      <w:pPr>
        <w:pStyle w:val="ConsPlusNormal"/>
        <w:jc w:val="both"/>
      </w:pPr>
    </w:p>
    <w:p w:rsidR="00A87F82" w:rsidRDefault="00A87F82">
      <w:pPr>
        <w:pStyle w:val="ConsPlusNormal"/>
        <w:jc w:val="both"/>
      </w:pPr>
    </w:p>
    <w:p w:rsidR="00A87F82" w:rsidRDefault="00A87F82">
      <w:pPr>
        <w:pStyle w:val="ConsPlusNormal"/>
        <w:jc w:val="both"/>
      </w:pPr>
    </w:p>
    <w:p w:rsidR="00A87F82" w:rsidRDefault="00A87F82">
      <w:pPr>
        <w:pStyle w:val="ConsPlusNormal"/>
        <w:jc w:val="both"/>
      </w:pPr>
    </w:p>
    <w:p w:rsidR="00A87F82" w:rsidRDefault="00A87F82">
      <w:pPr>
        <w:pStyle w:val="ConsPlusNormal"/>
        <w:jc w:val="both"/>
      </w:pPr>
    </w:p>
    <w:p w:rsidR="00A87F82" w:rsidRDefault="00A87F82">
      <w:pPr>
        <w:pStyle w:val="ConsPlusNormal"/>
        <w:jc w:val="both"/>
      </w:pPr>
    </w:p>
    <w:p w:rsidR="00A87F82" w:rsidRDefault="00A87F82">
      <w:pPr>
        <w:pStyle w:val="ConsPlusNormal"/>
        <w:jc w:val="both"/>
      </w:pPr>
    </w:p>
    <w:p w:rsidR="00A87F82" w:rsidRDefault="00A87F82">
      <w:pPr>
        <w:pStyle w:val="ConsPlusNormal"/>
        <w:jc w:val="both"/>
      </w:pPr>
    </w:p>
    <w:p w:rsidR="00A87F82" w:rsidRDefault="00A87F82">
      <w:pPr>
        <w:pStyle w:val="ConsPlusNormal"/>
        <w:jc w:val="both"/>
      </w:pPr>
    </w:p>
    <w:p w:rsidR="00A87F82" w:rsidRDefault="00A87F82">
      <w:pPr>
        <w:pStyle w:val="ConsPlusNormal"/>
        <w:jc w:val="both"/>
      </w:pPr>
    </w:p>
    <w:p w:rsidR="00A87F82" w:rsidRDefault="00A87F82">
      <w:pPr>
        <w:pStyle w:val="ConsPlusNormal"/>
        <w:jc w:val="both"/>
      </w:pPr>
    </w:p>
    <w:p w:rsidR="00A87F82" w:rsidRDefault="00A87F82">
      <w:pPr>
        <w:pStyle w:val="ConsPlusNormal"/>
        <w:jc w:val="both"/>
      </w:pPr>
    </w:p>
    <w:p w:rsidR="00A87F82" w:rsidRDefault="00A87F82">
      <w:pPr>
        <w:pStyle w:val="ConsPlusNormal"/>
        <w:jc w:val="right"/>
        <w:outlineLvl w:val="0"/>
      </w:pPr>
      <w:r>
        <w:lastRenderedPageBreak/>
        <w:t>Приложение</w:t>
      </w:r>
    </w:p>
    <w:p w:rsidR="00A87F82" w:rsidRDefault="00A87F82">
      <w:pPr>
        <w:pStyle w:val="ConsPlusNormal"/>
        <w:jc w:val="right"/>
      </w:pPr>
      <w:r>
        <w:t>к приказу Региональной службы</w:t>
      </w:r>
    </w:p>
    <w:p w:rsidR="00A87F82" w:rsidRDefault="00A87F82">
      <w:pPr>
        <w:pStyle w:val="ConsPlusNormal"/>
        <w:jc w:val="right"/>
      </w:pPr>
      <w:r>
        <w:t>по тарифам Ханты-Мансийского</w:t>
      </w:r>
    </w:p>
    <w:p w:rsidR="00A87F82" w:rsidRDefault="00A87F82">
      <w:pPr>
        <w:pStyle w:val="ConsPlusNormal"/>
        <w:jc w:val="right"/>
      </w:pPr>
      <w:r>
        <w:t>автономного округа - Югры</w:t>
      </w:r>
    </w:p>
    <w:p w:rsidR="00A87F82" w:rsidRDefault="00A87F82">
      <w:pPr>
        <w:pStyle w:val="ConsPlusNormal"/>
        <w:jc w:val="right"/>
      </w:pPr>
      <w:r>
        <w:t>от 16 декабря 2021 года N 144-нп</w:t>
      </w:r>
    </w:p>
    <w:p w:rsidR="00A87F82" w:rsidRDefault="00A87F82">
      <w:pPr>
        <w:pStyle w:val="ConsPlusNormal"/>
        <w:jc w:val="both"/>
      </w:pPr>
    </w:p>
    <w:p w:rsidR="00A87F82" w:rsidRDefault="00A87F82">
      <w:pPr>
        <w:pStyle w:val="ConsPlusTitle"/>
        <w:jc w:val="center"/>
      </w:pPr>
      <w:bookmarkStart w:id="0" w:name="P176"/>
      <w:bookmarkEnd w:id="0"/>
      <w:r>
        <w:t>ПРЕДЕЛЬНЫЙ ЕДИНЫЙ ТАРИФ</w:t>
      </w:r>
    </w:p>
    <w:p w:rsidR="00A87F82" w:rsidRDefault="00A87F82">
      <w:pPr>
        <w:pStyle w:val="ConsPlusTitle"/>
        <w:jc w:val="center"/>
      </w:pPr>
      <w:r>
        <w:t>НА УСЛУГУ РЕГИОНАЛЬНОГО ОПЕРАТОРА В ОБЛАСТИ ОБРАЩЕНИЯ</w:t>
      </w:r>
    </w:p>
    <w:p w:rsidR="00A87F82" w:rsidRDefault="00A87F82">
      <w:pPr>
        <w:pStyle w:val="ConsPlusTitle"/>
        <w:jc w:val="center"/>
      </w:pPr>
      <w:r>
        <w:t>С ТВЕРДЫМИ КОММУНАЛЬНЫМИ ОТХОДАМИ ДЛЯ АКЦИОНЕРНОГО ОБЩЕСТВА</w:t>
      </w:r>
    </w:p>
    <w:p w:rsidR="00A87F82" w:rsidRDefault="00A87F82">
      <w:pPr>
        <w:pStyle w:val="ConsPlusTitle"/>
        <w:jc w:val="center"/>
      </w:pPr>
      <w:r>
        <w:t>"ЮГРА-ЭКОЛОГИЯ"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"/>
        <w:gridCol w:w="113"/>
        <w:gridCol w:w="246"/>
        <w:gridCol w:w="1656"/>
        <w:gridCol w:w="648"/>
        <w:gridCol w:w="1394"/>
        <w:gridCol w:w="824"/>
        <w:gridCol w:w="824"/>
        <w:gridCol w:w="933"/>
        <w:gridCol w:w="933"/>
        <w:gridCol w:w="933"/>
        <w:gridCol w:w="933"/>
        <w:gridCol w:w="933"/>
        <w:gridCol w:w="943"/>
        <w:gridCol w:w="933"/>
        <w:gridCol w:w="933"/>
        <w:gridCol w:w="933"/>
        <w:gridCol w:w="933"/>
        <w:gridCol w:w="4"/>
        <w:gridCol w:w="928"/>
      </w:tblGrid>
      <w:tr w:rsidR="00A87F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7F82" w:rsidRDefault="00A87F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7F82" w:rsidRDefault="00A87F82">
            <w:pPr>
              <w:pStyle w:val="ConsPlusNormal"/>
            </w:pPr>
          </w:p>
        </w:tc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7F82" w:rsidRDefault="00A87F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7F82" w:rsidRDefault="00A87F82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A87F82" w:rsidRDefault="00A87F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24.11.2022 </w:t>
            </w:r>
            <w:hyperlink r:id="rId18">
              <w:r>
                <w:rPr>
                  <w:color w:val="0000FF"/>
                </w:rPr>
                <w:t>N 93-нп</w:t>
              </w:r>
            </w:hyperlink>
            <w:r>
              <w:rPr>
                <w:color w:val="392C69"/>
              </w:rPr>
              <w:t xml:space="preserve">, от 14.12.2023 </w:t>
            </w:r>
            <w:hyperlink r:id="rId19">
              <w:r>
                <w:rPr>
                  <w:color w:val="0000FF"/>
                </w:rPr>
                <w:t>N 132-нп</w:t>
              </w:r>
            </w:hyperlink>
            <w:r>
              <w:rPr>
                <w:color w:val="392C69"/>
              </w:rPr>
              <w:t xml:space="preserve">, от 12.12.2024 </w:t>
            </w:r>
            <w:hyperlink r:id="rId20">
              <w:r>
                <w:rPr>
                  <w:color w:val="0000FF"/>
                </w:rPr>
                <w:t>N 122-нп</w:t>
              </w:r>
            </w:hyperlink>
            <w:r>
              <w:rPr>
                <w:color w:val="392C69"/>
              </w:rPr>
              <w:t>,</w:t>
            </w:r>
          </w:p>
          <w:p w:rsidR="00A87F82" w:rsidRDefault="00A87F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16.12.2025 </w:t>
            </w:r>
            <w:hyperlink r:id="rId21">
              <w:r>
                <w:rPr>
                  <w:color w:val="0000FF"/>
                </w:rPr>
                <w:t>N 134-нп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7F82" w:rsidRDefault="00A87F82">
            <w:pPr>
              <w:pStyle w:val="ConsPlusNormal"/>
            </w:pPr>
          </w:p>
        </w:tc>
      </w:tr>
      <w:tr w:rsidR="00A87F82" w:rsidTr="00A87F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gridSpan w:val="3"/>
            <w:vMerge w:val="restart"/>
          </w:tcPr>
          <w:p w:rsidR="00A87F82" w:rsidRDefault="00A87F8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56" w:type="dxa"/>
            <w:vMerge w:val="restart"/>
          </w:tcPr>
          <w:p w:rsidR="00A87F82" w:rsidRDefault="00A87F82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648" w:type="dxa"/>
            <w:vMerge w:val="restart"/>
          </w:tcPr>
          <w:p w:rsidR="00A87F82" w:rsidRDefault="00A87F82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393" w:type="dxa"/>
            <w:vMerge w:val="restart"/>
          </w:tcPr>
          <w:p w:rsidR="00A87F82" w:rsidRDefault="00A87F82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11911" w:type="dxa"/>
            <w:gridSpan w:val="14"/>
          </w:tcPr>
          <w:p w:rsidR="00A87F82" w:rsidRDefault="00A87F82">
            <w:pPr>
              <w:pStyle w:val="ConsPlusNormal"/>
              <w:jc w:val="center"/>
            </w:pPr>
            <w:r>
              <w:t>Единый тариф на услугу регионального оператора в области обращения с твердыми коммунальными отходами **</w:t>
            </w:r>
          </w:p>
        </w:tc>
      </w:tr>
      <w:tr w:rsidR="00A87F82" w:rsidTr="00A87F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gridSpan w:val="3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0" w:type="auto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0" w:type="auto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0" w:type="auto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1648" w:type="dxa"/>
            <w:gridSpan w:val="2"/>
          </w:tcPr>
          <w:p w:rsidR="00A87F82" w:rsidRDefault="00A87F82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932" w:type="dxa"/>
            <w:vMerge w:val="restart"/>
          </w:tcPr>
          <w:p w:rsidR="00A87F82" w:rsidRDefault="00A87F82">
            <w:pPr>
              <w:pStyle w:val="ConsPlusNormal"/>
              <w:jc w:val="center"/>
            </w:pPr>
            <w:r>
              <w:t>с 1 декабря 2022 года</w:t>
            </w:r>
          </w:p>
          <w:p w:rsidR="00A87F82" w:rsidRDefault="00A87F82">
            <w:pPr>
              <w:pStyle w:val="ConsPlusNormal"/>
              <w:jc w:val="center"/>
            </w:pPr>
            <w:r>
              <w:t>по 31 декабря 2023 года</w:t>
            </w:r>
          </w:p>
        </w:tc>
        <w:tc>
          <w:tcPr>
            <w:tcW w:w="1864" w:type="dxa"/>
            <w:gridSpan w:val="2"/>
          </w:tcPr>
          <w:p w:rsidR="00A87F82" w:rsidRDefault="00A87F82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864" w:type="dxa"/>
            <w:gridSpan w:val="2"/>
          </w:tcPr>
          <w:p w:rsidR="00A87F82" w:rsidRDefault="00A87F82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875" w:type="dxa"/>
            <w:gridSpan w:val="2"/>
          </w:tcPr>
          <w:p w:rsidR="00A87F82" w:rsidRDefault="00A87F82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864" w:type="dxa"/>
            <w:gridSpan w:val="2"/>
          </w:tcPr>
          <w:p w:rsidR="00A87F82" w:rsidRDefault="00A87F82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864" w:type="dxa"/>
            <w:gridSpan w:val="3"/>
          </w:tcPr>
          <w:p w:rsidR="00A87F82" w:rsidRDefault="00A87F82">
            <w:pPr>
              <w:pStyle w:val="ConsPlusNormal"/>
              <w:jc w:val="center"/>
            </w:pPr>
            <w:r>
              <w:t>2028 год</w:t>
            </w:r>
          </w:p>
        </w:tc>
      </w:tr>
      <w:tr w:rsidR="00A87F82" w:rsidTr="00A87F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gridSpan w:val="3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0" w:type="auto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0" w:type="auto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0" w:type="auto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824" w:type="dxa"/>
          </w:tcPr>
          <w:p w:rsidR="00A87F82" w:rsidRDefault="00A87F82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824" w:type="dxa"/>
          </w:tcPr>
          <w:p w:rsidR="00A87F82" w:rsidRDefault="00A87F82">
            <w:pPr>
              <w:pStyle w:val="ConsPlusNormal"/>
              <w:jc w:val="center"/>
            </w:pPr>
            <w:r>
              <w:t>с 1 июля по 30 ноября</w:t>
            </w:r>
          </w:p>
        </w:tc>
        <w:tc>
          <w:tcPr>
            <w:tcW w:w="0" w:type="auto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932" w:type="dxa"/>
          </w:tcPr>
          <w:p w:rsidR="00A87F82" w:rsidRDefault="00A87F82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943" w:type="dxa"/>
          </w:tcPr>
          <w:p w:rsidR="00A87F82" w:rsidRDefault="00A87F82">
            <w:pPr>
              <w:pStyle w:val="ConsPlusNormal"/>
              <w:jc w:val="center"/>
            </w:pPr>
            <w:r>
              <w:t>с 1 января по 30 сентября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  <w:jc w:val="center"/>
            </w:pPr>
            <w:r>
              <w:t>с 1 октября по 31 декабря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32" w:type="dxa"/>
            <w:gridSpan w:val="2"/>
          </w:tcPr>
          <w:p w:rsidR="00A87F82" w:rsidRDefault="00A87F82">
            <w:pPr>
              <w:pStyle w:val="ConsPlusNormal"/>
              <w:jc w:val="center"/>
            </w:pPr>
            <w:r>
              <w:t>с 1 июля по 31 декабря</w:t>
            </w:r>
          </w:p>
        </w:tc>
      </w:tr>
      <w:tr w:rsidR="00A87F82" w:rsidTr="00A87F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gridSpan w:val="3"/>
          </w:tcPr>
          <w:p w:rsidR="00A87F82" w:rsidRDefault="00A87F82">
            <w:pPr>
              <w:pStyle w:val="ConsPlusNormal"/>
              <w:jc w:val="center"/>
            </w:pPr>
          </w:p>
        </w:tc>
        <w:tc>
          <w:tcPr>
            <w:tcW w:w="1656" w:type="dxa"/>
          </w:tcPr>
          <w:p w:rsidR="00A87F82" w:rsidRDefault="00A87F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8" w:type="dxa"/>
          </w:tcPr>
          <w:p w:rsidR="00A87F82" w:rsidRDefault="00A87F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3" w:type="dxa"/>
          </w:tcPr>
          <w:p w:rsidR="00A87F82" w:rsidRDefault="00A87F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4" w:type="dxa"/>
          </w:tcPr>
          <w:p w:rsidR="00A87F82" w:rsidRDefault="00A87F8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4" w:type="dxa"/>
          </w:tcPr>
          <w:p w:rsidR="00A87F82" w:rsidRDefault="00A87F8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43" w:type="dxa"/>
          </w:tcPr>
          <w:p w:rsidR="00A87F82" w:rsidRDefault="00A87F8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32" w:type="dxa"/>
            <w:gridSpan w:val="2"/>
          </w:tcPr>
          <w:p w:rsidR="00A87F82" w:rsidRDefault="00A87F82">
            <w:pPr>
              <w:pStyle w:val="ConsPlusNormal"/>
              <w:jc w:val="center"/>
            </w:pPr>
            <w:r>
              <w:t>16</w:t>
            </w:r>
          </w:p>
        </w:tc>
      </w:tr>
      <w:tr w:rsidR="00A87F82" w:rsidTr="00A87F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gridSpan w:val="3"/>
            <w:vMerge w:val="restart"/>
          </w:tcPr>
          <w:p w:rsidR="00A87F82" w:rsidRDefault="00A87F82">
            <w:pPr>
              <w:pStyle w:val="ConsPlusNormal"/>
            </w:pPr>
            <w:r>
              <w:t>1</w:t>
            </w:r>
          </w:p>
        </w:tc>
        <w:tc>
          <w:tcPr>
            <w:tcW w:w="1656" w:type="dxa"/>
            <w:vMerge w:val="restart"/>
          </w:tcPr>
          <w:p w:rsidR="00A87F82" w:rsidRDefault="00A87F82">
            <w:pPr>
              <w:pStyle w:val="ConsPlusNormal"/>
            </w:pPr>
            <w:r>
              <w:t xml:space="preserve">городской округ Нефтеюганск Ханты-Мансийского автономного округа - Югры, </w:t>
            </w:r>
            <w:r>
              <w:lastRenderedPageBreak/>
              <w:t xml:space="preserve">городской округ </w:t>
            </w:r>
            <w:proofErr w:type="spellStart"/>
            <w:r>
              <w:t>Нягань</w:t>
            </w:r>
            <w:proofErr w:type="spellEnd"/>
            <w:r>
              <w:t xml:space="preserve"> Ханты-Мансийского автономного округа - Югры, городской округ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округа - Югры, городской округ </w:t>
            </w:r>
            <w:proofErr w:type="spellStart"/>
            <w:r>
              <w:t>Урай</w:t>
            </w:r>
            <w:proofErr w:type="spellEnd"/>
            <w:r>
              <w:t xml:space="preserve"> Ханты-Мансийского автономного округа - Югры, городской округ Ханты-Мансийск Ханты-Мансийского автономного округа - Югры, городской округ </w:t>
            </w:r>
            <w:proofErr w:type="spellStart"/>
            <w:r>
              <w:t>Югорск</w:t>
            </w:r>
            <w:proofErr w:type="spellEnd"/>
            <w:r>
              <w:t xml:space="preserve"> Ханты-Мансийского автономного округа - Югры, </w:t>
            </w:r>
            <w:proofErr w:type="spellStart"/>
            <w:r>
              <w:t>Кондинский</w:t>
            </w:r>
            <w:proofErr w:type="spellEnd"/>
            <w:r>
              <w:t xml:space="preserve"> муниципальный район Ханты-Мансийского </w:t>
            </w:r>
            <w:r>
              <w:lastRenderedPageBreak/>
              <w:t xml:space="preserve">автономного округа - Югры, </w:t>
            </w:r>
            <w:proofErr w:type="spellStart"/>
            <w:r>
              <w:t>Нефтеюганский</w:t>
            </w:r>
            <w:proofErr w:type="spellEnd"/>
            <w:r>
              <w:t xml:space="preserve"> муниципальный район Ханты-Мансийского автономного округа - Югры, Октябрьский муниципальный район Ханты-Мансийского автономного округа - Югры, Советский муниципальный район Ханты-Мансийского автономного округа - Югры, Ханты-Мансийский муниципальный район Ханты-Мансийского автономного округа - Югры</w:t>
            </w:r>
          </w:p>
        </w:tc>
        <w:tc>
          <w:tcPr>
            <w:tcW w:w="648" w:type="dxa"/>
            <w:vMerge w:val="restart"/>
          </w:tcPr>
          <w:p w:rsidR="00A87F82" w:rsidRDefault="00A87F82">
            <w:pPr>
              <w:pStyle w:val="ConsPlusNormal"/>
            </w:pPr>
            <w:r>
              <w:lastRenderedPageBreak/>
              <w:t>руб./</w:t>
            </w:r>
          </w:p>
          <w:p w:rsidR="00A87F82" w:rsidRDefault="00A87F82">
            <w:pPr>
              <w:pStyle w:val="ConsPlusNormal"/>
            </w:pPr>
            <w:r>
              <w:t>м3</w:t>
            </w:r>
          </w:p>
        </w:tc>
        <w:tc>
          <w:tcPr>
            <w:tcW w:w="1393" w:type="dxa"/>
          </w:tcPr>
          <w:p w:rsidR="00A87F82" w:rsidRDefault="00A87F8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24" w:type="dxa"/>
          </w:tcPr>
          <w:p w:rsidR="00A87F82" w:rsidRDefault="00A87F82">
            <w:pPr>
              <w:pStyle w:val="ConsPlusNormal"/>
            </w:pPr>
            <w:r>
              <w:t>615,30</w:t>
            </w:r>
          </w:p>
        </w:tc>
        <w:tc>
          <w:tcPr>
            <w:tcW w:w="824" w:type="dxa"/>
          </w:tcPr>
          <w:p w:rsidR="00A87F82" w:rsidRDefault="00A87F82">
            <w:pPr>
              <w:pStyle w:val="ConsPlusNormal"/>
            </w:pPr>
            <w:r>
              <w:t>636,23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800,16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800,16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897,46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897,46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1004,22</w:t>
            </w:r>
          </w:p>
        </w:tc>
        <w:tc>
          <w:tcPr>
            <w:tcW w:w="943" w:type="dxa"/>
          </w:tcPr>
          <w:p w:rsidR="00A87F82" w:rsidRDefault="00A87F82">
            <w:pPr>
              <w:pStyle w:val="ConsPlusNormal"/>
            </w:pPr>
            <w:r>
              <w:t>1004,22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1097,03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1097,03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1109,91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1007,00</w:t>
            </w:r>
          </w:p>
        </w:tc>
        <w:tc>
          <w:tcPr>
            <w:tcW w:w="932" w:type="dxa"/>
            <w:gridSpan w:val="2"/>
          </w:tcPr>
          <w:p w:rsidR="00A87F82" w:rsidRDefault="00A87F82">
            <w:pPr>
              <w:pStyle w:val="ConsPlusNormal"/>
            </w:pPr>
            <w:r>
              <w:t>1007,00</w:t>
            </w:r>
          </w:p>
        </w:tc>
      </w:tr>
      <w:tr w:rsidR="00A87F82" w:rsidTr="00A87F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gridSpan w:val="3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0" w:type="auto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0" w:type="auto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1393" w:type="dxa"/>
          </w:tcPr>
          <w:p w:rsidR="00A87F82" w:rsidRDefault="00A87F82">
            <w:pPr>
              <w:pStyle w:val="ConsPlusNormal"/>
            </w:pPr>
            <w:r>
              <w:t xml:space="preserve">для населения (с учетом НДС) </w:t>
            </w:r>
            <w:r>
              <w:lastRenderedPageBreak/>
              <w:t>*</w:t>
            </w:r>
          </w:p>
        </w:tc>
        <w:tc>
          <w:tcPr>
            <w:tcW w:w="824" w:type="dxa"/>
          </w:tcPr>
          <w:p w:rsidR="00A87F82" w:rsidRDefault="00A87F82">
            <w:pPr>
              <w:pStyle w:val="ConsPlusNormal"/>
            </w:pPr>
            <w:r>
              <w:lastRenderedPageBreak/>
              <w:t>738,36</w:t>
            </w:r>
          </w:p>
        </w:tc>
        <w:tc>
          <w:tcPr>
            <w:tcW w:w="824" w:type="dxa"/>
          </w:tcPr>
          <w:p w:rsidR="00A87F82" w:rsidRDefault="00A87F82">
            <w:pPr>
              <w:pStyle w:val="ConsPlusNormal"/>
            </w:pPr>
            <w:r>
              <w:t>763,48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960,19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960,19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1076,95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1076,95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1205,06</w:t>
            </w:r>
          </w:p>
        </w:tc>
        <w:tc>
          <w:tcPr>
            <w:tcW w:w="943" w:type="dxa"/>
          </w:tcPr>
          <w:p w:rsidR="00A87F82" w:rsidRDefault="00A87F82">
            <w:pPr>
              <w:pStyle w:val="ConsPlusNormal"/>
            </w:pPr>
            <w:r>
              <w:t>1225,15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1338,38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1338,38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1354,09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1228,54</w:t>
            </w:r>
          </w:p>
        </w:tc>
        <w:tc>
          <w:tcPr>
            <w:tcW w:w="932" w:type="dxa"/>
            <w:gridSpan w:val="2"/>
          </w:tcPr>
          <w:p w:rsidR="00A87F82" w:rsidRDefault="00A87F82">
            <w:pPr>
              <w:pStyle w:val="ConsPlusNormal"/>
            </w:pPr>
            <w:r>
              <w:t>1228,54</w:t>
            </w:r>
          </w:p>
        </w:tc>
      </w:tr>
      <w:tr w:rsidR="00A87F82" w:rsidTr="00A87F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gridSpan w:val="3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0" w:type="auto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648" w:type="dxa"/>
            <w:vMerge w:val="restart"/>
          </w:tcPr>
          <w:p w:rsidR="00A87F82" w:rsidRDefault="00A87F82">
            <w:pPr>
              <w:pStyle w:val="ConsPlusNormal"/>
            </w:pPr>
            <w:r>
              <w:t>руб./</w:t>
            </w:r>
          </w:p>
          <w:p w:rsidR="00A87F82" w:rsidRDefault="00A87F82">
            <w:pPr>
              <w:pStyle w:val="ConsPlusNormal"/>
            </w:pPr>
            <w:r>
              <w:t>тонна</w:t>
            </w:r>
          </w:p>
        </w:tc>
        <w:tc>
          <w:tcPr>
            <w:tcW w:w="1393" w:type="dxa"/>
          </w:tcPr>
          <w:p w:rsidR="00A87F82" w:rsidRDefault="00A87F82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824" w:type="dxa"/>
          </w:tcPr>
          <w:p w:rsidR="00A87F82" w:rsidRDefault="00A87F82">
            <w:pPr>
              <w:pStyle w:val="ConsPlusNormal"/>
            </w:pPr>
            <w:r>
              <w:t>6973,26</w:t>
            </w:r>
          </w:p>
        </w:tc>
        <w:tc>
          <w:tcPr>
            <w:tcW w:w="824" w:type="dxa"/>
          </w:tcPr>
          <w:p w:rsidR="00A87F82" w:rsidRDefault="00A87F82">
            <w:pPr>
              <w:pStyle w:val="ConsPlusNormal"/>
            </w:pPr>
            <w:r>
              <w:t>7209,78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9153,94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9153,94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10105,38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10105,38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11474,94</w:t>
            </w:r>
          </w:p>
        </w:tc>
        <w:tc>
          <w:tcPr>
            <w:tcW w:w="943" w:type="dxa"/>
          </w:tcPr>
          <w:p w:rsidR="00A87F82" w:rsidRDefault="00A87F82">
            <w:pPr>
              <w:pStyle w:val="ConsPlusNormal"/>
            </w:pPr>
            <w:r>
              <w:t>11474,94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11992,70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11992,70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12933,86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11373,69</w:t>
            </w:r>
          </w:p>
        </w:tc>
        <w:tc>
          <w:tcPr>
            <w:tcW w:w="932" w:type="dxa"/>
            <w:gridSpan w:val="2"/>
          </w:tcPr>
          <w:p w:rsidR="00A87F82" w:rsidRDefault="00A87F82">
            <w:pPr>
              <w:pStyle w:val="ConsPlusNormal"/>
            </w:pPr>
            <w:r>
              <w:t>11373,69</w:t>
            </w:r>
          </w:p>
        </w:tc>
      </w:tr>
      <w:tr w:rsidR="00A87F82" w:rsidTr="00A87F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0" w:type="auto"/>
            <w:gridSpan w:val="3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0" w:type="auto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0" w:type="auto"/>
            <w:vMerge/>
          </w:tcPr>
          <w:p w:rsidR="00A87F82" w:rsidRDefault="00A87F82">
            <w:pPr>
              <w:pStyle w:val="ConsPlusNormal"/>
            </w:pPr>
          </w:p>
        </w:tc>
        <w:tc>
          <w:tcPr>
            <w:tcW w:w="1393" w:type="dxa"/>
          </w:tcPr>
          <w:p w:rsidR="00A87F82" w:rsidRDefault="00A87F82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824" w:type="dxa"/>
          </w:tcPr>
          <w:p w:rsidR="00A87F82" w:rsidRDefault="00A87F82">
            <w:pPr>
              <w:pStyle w:val="ConsPlusNormal"/>
            </w:pPr>
            <w:r>
              <w:t>8367,91</w:t>
            </w:r>
          </w:p>
        </w:tc>
        <w:tc>
          <w:tcPr>
            <w:tcW w:w="824" w:type="dxa"/>
          </w:tcPr>
          <w:p w:rsidR="00A87F82" w:rsidRDefault="00A87F82">
            <w:pPr>
              <w:pStyle w:val="ConsPlusNormal"/>
            </w:pPr>
            <w:r>
              <w:t>8651,74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10984,73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10984,73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12126,46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12126,46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13769,93</w:t>
            </w:r>
          </w:p>
        </w:tc>
        <w:tc>
          <w:tcPr>
            <w:tcW w:w="943" w:type="dxa"/>
          </w:tcPr>
          <w:p w:rsidR="00A87F82" w:rsidRDefault="00A87F82">
            <w:pPr>
              <w:pStyle w:val="ConsPlusNormal"/>
            </w:pPr>
            <w:r>
              <w:t>13999,43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14631,09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14631,09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15779,31</w:t>
            </w:r>
          </w:p>
        </w:tc>
        <w:tc>
          <w:tcPr>
            <w:tcW w:w="932" w:type="dxa"/>
          </w:tcPr>
          <w:p w:rsidR="00A87F82" w:rsidRDefault="00A87F82">
            <w:pPr>
              <w:pStyle w:val="ConsPlusNormal"/>
            </w:pPr>
            <w:r>
              <w:t>13875,90</w:t>
            </w:r>
          </w:p>
        </w:tc>
        <w:tc>
          <w:tcPr>
            <w:tcW w:w="932" w:type="dxa"/>
            <w:gridSpan w:val="2"/>
          </w:tcPr>
          <w:p w:rsidR="00A87F82" w:rsidRDefault="00A87F82">
            <w:pPr>
              <w:pStyle w:val="ConsPlusNormal"/>
            </w:pPr>
            <w:r>
              <w:t>13875,90</w:t>
            </w:r>
          </w:p>
        </w:tc>
      </w:tr>
    </w:tbl>
    <w:p w:rsidR="00A87F82" w:rsidRDefault="00A87F82">
      <w:pPr>
        <w:pStyle w:val="ConsPlusNormal"/>
        <w:jc w:val="both"/>
      </w:pPr>
    </w:p>
    <w:p w:rsidR="00A87F82" w:rsidRDefault="00A87F82">
      <w:pPr>
        <w:pStyle w:val="ConsPlusNormal"/>
        <w:jc w:val="both"/>
      </w:pPr>
      <w:r>
        <w:t xml:space="preserve">(таблица в ред. </w:t>
      </w:r>
      <w:hyperlink r:id="rId22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16.12.2025 N 134-нп)</w:t>
      </w:r>
    </w:p>
    <w:p w:rsidR="00A87F82" w:rsidRDefault="00A87F82">
      <w:pPr>
        <w:pStyle w:val="ConsPlusNormal"/>
        <w:ind w:firstLine="540"/>
        <w:jc w:val="both"/>
      </w:pPr>
      <w:r>
        <w:t>--------------------------------</w:t>
      </w:r>
    </w:p>
    <w:p w:rsidR="00A87F82" w:rsidRDefault="00A87F82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23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вторая).</w:t>
      </w:r>
    </w:p>
    <w:p w:rsidR="00A87F82" w:rsidRDefault="00A87F82">
      <w:pPr>
        <w:pStyle w:val="ConsPlusNormal"/>
        <w:spacing w:before="220"/>
        <w:ind w:firstLine="540"/>
        <w:jc w:val="both"/>
      </w:pPr>
      <w:r>
        <w:t xml:space="preserve">&lt;**&gt; Тарифы установлены без применения </w:t>
      </w:r>
      <w:hyperlink r:id="rId24">
        <w:r>
          <w:rPr>
            <w:color w:val="0000FF"/>
          </w:rPr>
          <w:t>подпункта 36 пункта 2 статьи 149</w:t>
        </w:r>
      </w:hyperlink>
      <w:r>
        <w:t xml:space="preserve"> Налогового кодекса Российской Федерации (часть вторая).</w:t>
      </w:r>
    </w:p>
    <w:p w:rsidR="00756870" w:rsidRDefault="00756870">
      <w:bookmarkStart w:id="1" w:name="_GoBack"/>
      <w:bookmarkEnd w:id="1"/>
    </w:p>
    <w:sectPr w:rsidR="00756870" w:rsidSect="00A87F82">
      <w:pgSz w:w="16838" w:h="11905" w:orient="landscape"/>
      <w:pgMar w:top="1418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82"/>
    <w:rsid w:val="00756870"/>
    <w:rsid w:val="00A8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C52B"/>
  <w15:chartTrackingRefBased/>
  <w15:docId w15:val="{6C88F833-B43D-4866-A363-492B5F4B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F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7F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7F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14766&amp;dst=100005" TargetMode="External"/><Relationship Id="rId13" Type="http://schemas.openxmlformats.org/officeDocument/2006/relationships/hyperlink" Target="https://login.consultant.ru/link/?req=doc&amp;base=RLAW926&amp;n=320739" TargetMode="External"/><Relationship Id="rId18" Type="http://schemas.openxmlformats.org/officeDocument/2006/relationships/hyperlink" Target="https://login.consultant.ru/link/?req=doc&amp;base=RLAW926&amp;n=339850&amp;dst=100075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339672&amp;dst=100005" TargetMode="External"/><Relationship Id="rId7" Type="http://schemas.openxmlformats.org/officeDocument/2006/relationships/hyperlink" Target="https://login.consultant.ru/link/?req=doc&amp;base=RLAW926&amp;n=340328&amp;dst=100006" TargetMode="External"/><Relationship Id="rId12" Type="http://schemas.openxmlformats.org/officeDocument/2006/relationships/hyperlink" Target="https://login.consultant.ru/link/?req=doc&amp;base=LAW&amp;n=414372" TargetMode="External"/><Relationship Id="rId17" Type="http://schemas.openxmlformats.org/officeDocument/2006/relationships/hyperlink" Target="https://login.consultant.ru/link/?req=doc&amp;base=RLAW926&amp;n=239303&amp;dst=10001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39303&amp;dst=100010" TargetMode="External"/><Relationship Id="rId20" Type="http://schemas.openxmlformats.org/officeDocument/2006/relationships/hyperlink" Target="https://login.consultant.ru/link/?req=doc&amp;base=RLAW926&amp;n=314766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39850&amp;dst=100075" TargetMode="External"/><Relationship Id="rId11" Type="http://schemas.openxmlformats.org/officeDocument/2006/relationships/hyperlink" Target="https://login.consultant.ru/link/?req=doc&amp;base=LAW&amp;n=519498" TargetMode="External"/><Relationship Id="rId24" Type="http://schemas.openxmlformats.org/officeDocument/2006/relationships/hyperlink" Target="https://login.consultant.ru/link/?req=doc&amp;base=LAW&amp;n=495706&amp;dst=17592" TargetMode="External"/><Relationship Id="rId5" Type="http://schemas.openxmlformats.org/officeDocument/2006/relationships/hyperlink" Target="https://login.consultant.ru/link/?req=doc&amp;base=RLAW926&amp;n=250548&amp;dst=100087" TargetMode="External"/><Relationship Id="rId15" Type="http://schemas.openxmlformats.org/officeDocument/2006/relationships/hyperlink" Target="https://login.consultant.ru/link/?req=doc&amp;base=RLAW926&amp;n=226147&amp;dst=100009" TargetMode="External"/><Relationship Id="rId23" Type="http://schemas.openxmlformats.org/officeDocument/2006/relationships/hyperlink" Target="https://login.consultant.ru/link/?req=doc&amp;base=LAW&amp;n=495706&amp;dst=14605" TargetMode="External"/><Relationship Id="rId10" Type="http://schemas.openxmlformats.org/officeDocument/2006/relationships/hyperlink" Target="https://login.consultant.ru/link/?req=doc&amp;base=LAW&amp;n=523209" TargetMode="External"/><Relationship Id="rId19" Type="http://schemas.openxmlformats.org/officeDocument/2006/relationships/hyperlink" Target="https://login.consultant.ru/link/?req=doc&amp;base=RLAW926&amp;n=340328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39672&amp;dst=100005" TargetMode="External"/><Relationship Id="rId14" Type="http://schemas.openxmlformats.org/officeDocument/2006/relationships/hyperlink" Target="https://login.consultant.ru/link/?req=doc&amp;base=RLAW926&amp;n=226147&amp;dst=100009" TargetMode="External"/><Relationship Id="rId22" Type="http://schemas.openxmlformats.org/officeDocument/2006/relationships/hyperlink" Target="https://login.consultant.ru/link/?req=doc&amp;base=RLAW926&amp;n=339672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2026-01-28T09:58:00Z</dcterms:created>
  <dcterms:modified xsi:type="dcterms:W3CDTF">2026-01-28T10:01:00Z</dcterms:modified>
</cp:coreProperties>
</file>