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C1" w:rsidRDefault="001343C1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343C1" w:rsidRDefault="001343C1">
      <w:pPr>
        <w:pStyle w:val="ConsPlusNormal"/>
        <w:outlineLvl w:val="0"/>
      </w:pPr>
    </w:p>
    <w:p w:rsidR="001343C1" w:rsidRDefault="001343C1">
      <w:pPr>
        <w:pStyle w:val="ConsPlusTitle"/>
        <w:jc w:val="center"/>
        <w:outlineLvl w:val="0"/>
      </w:pPr>
      <w:r>
        <w:t>РЕГИОНАЛЬНАЯ СЛУЖБА ПО ТАРИФАМ</w:t>
      </w:r>
    </w:p>
    <w:p w:rsidR="001343C1" w:rsidRDefault="001343C1">
      <w:pPr>
        <w:pStyle w:val="ConsPlusTitle"/>
        <w:jc w:val="center"/>
      </w:pPr>
      <w:r>
        <w:t>ХАНТЫ-МАНСИЙСКОГО АВТОНОМНОГО ОКРУГА - ЮГРЫ</w:t>
      </w:r>
    </w:p>
    <w:p w:rsidR="001343C1" w:rsidRDefault="001343C1">
      <w:pPr>
        <w:pStyle w:val="ConsPlusTitle"/>
        <w:jc w:val="center"/>
      </w:pPr>
      <w:r>
        <w:t>(РСТ ЮГРЫ)</w:t>
      </w:r>
    </w:p>
    <w:p w:rsidR="001343C1" w:rsidRDefault="001343C1">
      <w:pPr>
        <w:pStyle w:val="ConsPlusTitle"/>
        <w:jc w:val="center"/>
      </w:pPr>
    </w:p>
    <w:p w:rsidR="001343C1" w:rsidRDefault="001343C1">
      <w:pPr>
        <w:pStyle w:val="ConsPlusTitle"/>
        <w:jc w:val="center"/>
      </w:pPr>
      <w:r>
        <w:t>ПРИКАЗ</w:t>
      </w:r>
    </w:p>
    <w:p w:rsidR="001343C1" w:rsidRDefault="001343C1">
      <w:pPr>
        <w:pStyle w:val="ConsPlusTitle"/>
        <w:jc w:val="center"/>
      </w:pPr>
      <w:r>
        <w:t>от 10 июня 2025 г. N 46-нп</w:t>
      </w:r>
    </w:p>
    <w:p w:rsidR="001343C1" w:rsidRDefault="001343C1">
      <w:pPr>
        <w:pStyle w:val="ConsPlusTitle"/>
        <w:jc w:val="center"/>
      </w:pPr>
    </w:p>
    <w:p w:rsidR="001343C1" w:rsidRDefault="001343C1">
      <w:pPr>
        <w:pStyle w:val="ConsPlusTitle"/>
        <w:jc w:val="center"/>
      </w:pPr>
      <w:r>
        <w:t>ОБ УСТАНОВЛЕНИИ РОЗНИЧНЫХ ЦЕН НА ГАЗ, РЕАЛИЗУЕМЫЙ НАСЕЛЕНИЮ</w:t>
      </w:r>
    </w:p>
    <w:p w:rsidR="001343C1" w:rsidRDefault="001343C1">
      <w:pPr>
        <w:pStyle w:val="ConsPlusTitle"/>
        <w:jc w:val="center"/>
      </w:pPr>
      <w:r>
        <w:t>НА ТЕРРИТОРИИ ХАНТЫ-МАНСИЙСКОГО АВТОНОМНОГО ОКРУГА - ЮГРЫ</w:t>
      </w:r>
    </w:p>
    <w:p w:rsidR="001343C1" w:rsidRDefault="001343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343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3C1" w:rsidRDefault="001343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3C1" w:rsidRDefault="001343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43C1" w:rsidRDefault="001343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43C1" w:rsidRDefault="001343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1343C1" w:rsidRDefault="001343C1">
            <w:pPr>
              <w:pStyle w:val="ConsPlusNormal"/>
              <w:jc w:val="center"/>
            </w:pPr>
            <w:r>
              <w:rPr>
                <w:color w:val="392C69"/>
              </w:rPr>
              <w:t>от 23.12.2025 N 135-нп)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3C1" w:rsidRDefault="001343C1">
            <w:pPr>
              <w:pStyle w:val="ConsPlusNormal"/>
            </w:pPr>
          </w:p>
        </w:tc>
      </w:tr>
    </w:tbl>
    <w:p w:rsidR="001343C1" w:rsidRDefault="001343C1">
      <w:pPr>
        <w:pStyle w:val="ConsPlusNormal"/>
        <w:ind w:firstLine="540"/>
        <w:jc w:val="both"/>
      </w:pPr>
    </w:p>
    <w:p w:rsidR="001343C1" w:rsidRDefault="001343C1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декабря 2000 года N 1021 "О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службе по тарифам Ханты-Мансийского автономного округа - Югры", на основании протокола правления Региональной службы по тарифам Ханты-Мансийского автономного округа - Югры от 10 июня 2025 года N 29 приказываю:</w:t>
      </w:r>
    </w:p>
    <w:p w:rsidR="001343C1" w:rsidRDefault="001343C1">
      <w:pPr>
        <w:pStyle w:val="ConsPlusNormal"/>
        <w:spacing w:before="220"/>
        <w:ind w:firstLine="540"/>
        <w:jc w:val="both"/>
      </w:pPr>
      <w:r>
        <w:t xml:space="preserve">1. Установить и ввести в действие с 1 июля 2025 года розничные </w:t>
      </w:r>
      <w:hyperlink w:anchor="P35">
        <w:r>
          <w:rPr>
            <w:color w:val="0000FF"/>
          </w:rPr>
          <w:t>цены</w:t>
        </w:r>
      </w:hyperlink>
      <w:r>
        <w:t xml:space="preserve"> на природный газ, реализуемый населению для удовлетворения личных, семейных, домашних и иных нужд (кроме газа для заправки автотранспортных средств), не связанных с осуществлением предпринимательской (профессиональной) деятельности, на территории Ханты-Мансийского автономного округа - Югры, согласно приложению к настоящему приказу.</w:t>
      </w:r>
    </w:p>
    <w:p w:rsidR="001343C1" w:rsidRDefault="001343C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1343C1" w:rsidRDefault="001343C1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Региональной службы по тарифам Ханты-Мансийского автономного округа - Югры от 19 декабря 2023 года N 134-нп "Об установлении розничных цен на газ, реализуемый населению на территории Ханты-Мансийского автономного округа - Югры";</w:t>
      </w:r>
    </w:p>
    <w:p w:rsidR="001343C1" w:rsidRDefault="001343C1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пункт 3</w:t>
        </w:r>
      </w:hyperlink>
      <w:r>
        <w:t xml:space="preserve"> приказа Региональной службы по тарифам Ханты-Мансийского автономного округа - Югры от 20 февраля 2024 года N 6-нп "О внесении изменений в некоторые приказы Региональной службы по тарифам Ханты-Мансийского автономного округа - Югры";</w:t>
      </w:r>
    </w:p>
    <w:p w:rsidR="001343C1" w:rsidRDefault="001343C1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Региональной службы по тарифам Ханты-Мансийского автономного округа - Югры от 26 сентября 2024 года N 56-нп "О внесении изменения в приложение к приказу Региональной службы по тарифам Ханты-Мансийского автономного округа - Югры от 19 декабря 2023 года N 134-нп "Об установлении розничных цен на газ, реализуемый населению на территории Ханты-Мансийского автономного округа - Югры".</w:t>
      </w:r>
    </w:p>
    <w:p w:rsidR="001343C1" w:rsidRDefault="001343C1">
      <w:pPr>
        <w:pStyle w:val="ConsPlusNormal"/>
        <w:spacing w:before="220"/>
        <w:ind w:firstLine="540"/>
        <w:jc w:val="both"/>
      </w:pPr>
      <w:r>
        <w:t>3. Настоящий приказ вступает в силу с 1 июля 2025 года.</w:t>
      </w:r>
    </w:p>
    <w:p w:rsidR="001343C1" w:rsidRDefault="001343C1">
      <w:pPr>
        <w:pStyle w:val="ConsPlusNormal"/>
        <w:jc w:val="center"/>
      </w:pPr>
    </w:p>
    <w:p w:rsidR="001343C1" w:rsidRDefault="001343C1">
      <w:pPr>
        <w:pStyle w:val="ConsPlusNormal"/>
        <w:jc w:val="right"/>
      </w:pPr>
      <w:r>
        <w:t>Руководитель службы</w:t>
      </w:r>
    </w:p>
    <w:p w:rsidR="001343C1" w:rsidRDefault="001343C1">
      <w:pPr>
        <w:pStyle w:val="ConsPlusNormal"/>
        <w:jc w:val="right"/>
      </w:pPr>
      <w:r>
        <w:t>А.А.БЕРЕЗОВСКИЙ</w:t>
      </w:r>
    </w:p>
    <w:p w:rsidR="001343C1" w:rsidRDefault="001343C1">
      <w:pPr>
        <w:pStyle w:val="ConsPlusNormal"/>
        <w:jc w:val="right"/>
        <w:outlineLvl w:val="0"/>
      </w:pPr>
      <w:r>
        <w:lastRenderedPageBreak/>
        <w:t>Приложение</w:t>
      </w:r>
    </w:p>
    <w:p w:rsidR="001343C1" w:rsidRDefault="001343C1">
      <w:pPr>
        <w:pStyle w:val="ConsPlusNormal"/>
        <w:jc w:val="right"/>
      </w:pPr>
      <w:r>
        <w:t>к приказу</w:t>
      </w:r>
    </w:p>
    <w:p w:rsidR="001343C1" w:rsidRDefault="001343C1">
      <w:pPr>
        <w:pStyle w:val="ConsPlusNormal"/>
        <w:jc w:val="right"/>
      </w:pPr>
      <w:r>
        <w:t>Региональной службы по тарифам</w:t>
      </w:r>
    </w:p>
    <w:p w:rsidR="001343C1" w:rsidRDefault="001343C1">
      <w:pPr>
        <w:pStyle w:val="ConsPlusNormal"/>
        <w:jc w:val="right"/>
      </w:pPr>
      <w:r>
        <w:t>Ханты-Мансийского автономного округа - Югры</w:t>
      </w:r>
    </w:p>
    <w:p w:rsidR="001343C1" w:rsidRDefault="001343C1">
      <w:pPr>
        <w:pStyle w:val="ConsPlusNormal"/>
        <w:jc w:val="right"/>
      </w:pPr>
      <w:r>
        <w:t>от 10 июня 2025 года N 46-нп</w:t>
      </w:r>
    </w:p>
    <w:p w:rsidR="001343C1" w:rsidRDefault="001343C1">
      <w:pPr>
        <w:pStyle w:val="ConsPlusNormal"/>
      </w:pPr>
    </w:p>
    <w:p w:rsidR="001343C1" w:rsidRDefault="001343C1">
      <w:pPr>
        <w:pStyle w:val="ConsPlusTitle"/>
        <w:jc w:val="center"/>
      </w:pPr>
      <w:bookmarkStart w:id="0" w:name="P35"/>
      <w:bookmarkEnd w:id="0"/>
      <w:r>
        <w:t>РОЗНИЧНЫЕ ЦЕНЫ</w:t>
      </w:r>
    </w:p>
    <w:p w:rsidR="001343C1" w:rsidRDefault="001343C1">
      <w:pPr>
        <w:pStyle w:val="ConsPlusTitle"/>
        <w:jc w:val="center"/>
      </w:pPr>
      <w:r>
        <w:t>НА ПРИРОДНЫЙ ГАЗ, РЕАЛИЗУЕМЫЙ НАСЕЛЕНИЮ ДЛЯ УДОВЛЕТВОРЕНИЯ</w:t>
      </w:r>
    </w:p>
    <w:p w:rsidR="001343C1" w:rsidRDefault="001343C1">
      <w:pPr>
        <w:pStyle w:val="ConsPlusTitle"/>
        <w:jc w:val="center"/>
      </w:pPr>
      <w:r>
        <w:t>ЛИЧНЫХ, СЕМЕЙНЫХ, ДОМАШНИХ И ИНЫХ НУЖД (КРОМЕ ГАЗА</w:t>
      </w:r>
    </w:p>
    <w:p w:rsidR="001343C1" w:rsidRDefault="001343C1">
      <w:pPr>
        <w:pStyle w:val="ConsPlusTitle"/>
        <w:jc w:val="center"/>
      </w:pPr>
      <w:r>
        <w:t>ДЛЯ ЗАПРАВКИ АВТОТРАНСПОРТНЫХ СРЕДСТВ), НЕ СВЯЗАННЫХ</w:t>
      </w:r>
    </w:p>
    <w:p w:rsidR="001343C1" w:rsidRDefault="001343C1">
      <w:pPr>
        <w:pStyle w:val="ConsPlusTitle"/>
        <w:jc w:val="center"/>
      </w:pPr>
      <w:r>
        <w:t>С ОСУЩЕСТВЛЕНИЕМ ПРЕДПРИНИМАТЕЛЬСКОЙ (ПРОФЕССИОНАЛЬНОЙ)</w:t>
      </w:r>
    </w:p>
    <w:p w:rsidR="001343C1" w:rsidRDefault="001343C1">
      <w:pPr>
        <w:pStyle w:val="ConsPlusTitle"/>
        <w:jc w:val="center"/>
      </w:pPr>
      <w:r>
        <w:t>ДЕЯТЕЛЬНОСТИ, НА ТЕРРИТОРИИ ХАНТЫ-МАНСИЙСКОГО АВТОНОМНОГО</w:t>
      </w:r>
    </w:p>
    <w:p w:rsidR="001343C1" w:rsidRDefault="001343C1">
      <w:pPr>
        <w:pStyle w:val="ConsPlusTitle"/>
        <w:jc w:val="center"/>
      </w:pPr>
      <w:r>
        <w:t>ОКРУГА - ЮГРЫ</w:t>
      </w:r>
    </w:p>
    <w:p w:rsidR="001343C1" w:rsidRDefault="001343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343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3C1" w:rsidRDefault="001343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3C1" w:rsidRDefault="001343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43C1" w:rsidRDefault="001343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43C1" w:rsidRDefault="001343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1343C1" w:rsidRDefault="001343C1">
            <w:pPr>
              <w:pStyle w:val="ConsPlusNormal"/>
              <w:jc w:val="center"/>
            </w:pPr>
            <w:r>
              <w:rPr>
                <w:color w:val="392C69"/>
              </w:rPr>
              <w:t>от 23.12.2025 N 135-нп)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3C1" w:rsidRDefault="001343C1">
            <w:pPr>
              <w:pStyle w:val="ConsPlusNormal"/>
            </w:pPr>
          </w:p>
        </w:tc>
      </w:tr>
    </w:tbl>
    <w:p w:rsidR="001343C1" w:rsidRDefault="001343C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4"/>
        <w:gridCol w:w="4536"/>
        <w:gridCol w:w="3628"/>
      </w:tblGrid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  <w:jc w:val="center"/>
            </w:pPr>
            <w:r>
              <w:t>Наименование организации, осуществляющей поставку газа населению &lt;*&gt;</w:t>
            </w:r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t>Розничные цены на природный газ, руб./1000 м</w:t>
            </w:r>
            <w:r>
              <w:rPr>
                <w:vertAlign w:val="superscript"/>
              </w:rPr>
              <w:t>3</w:t>
            </w:r>
            <w:r>
              <w:t xml:space="preserve"> (включая налог на добавленную стоимость) по направлениям (наборам направлений) использования газа &lt;**&gt;</w:t>
            </w: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межрегионгаз</w:t>
            </w:r>
            <w:proofErr w:type="spellEnd"/>
            <w:r>
              <w:t xml:space="preserve"> Север"</w:t>
            </w:r>
          </w:p>
          <w:p w:rsidR="001343C1" w:rsidRDefault="001343C1">
            <w:pPr>
              <w:pStyle w:val="ConsPlusNormal"/>
            </w:pPr>
            <w:r>
              <w:t>на территории:</w:t>
            </w:r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r>
              <w:t>Белоярского района</w:t>
            </w:r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t>8 522,55</w:t>
            </w: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r>
              <w:t xml:space="preserve">Березовского района (п. Светлый, д. </w:t>
            </w:r>
            <w:proofErr w:type="spellStart"/>
            <w:r>
              <w:t>Хулимсунт</w:t>
            </w:r>
            <w:proofErr w:type="spellEnd"/>
            <w:r>
              <w:t>, п. Приполярный)</w:t>
            </w:r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t>7 402,18</w:t>
            </w: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r>
              <w:t xml:space="preserve">Березовского района (кроме п. Светлый, д. </w:t>
            </w:r>
            <w:proofErr w:type="spellStart"/>
            <w:r>
              <w:t>Хулимсунт</w:t>
            </w:r>
            <w:proofErr w:type="spellEnd"/>
            <w:r>
              <w:t>, п. Приполярный)</w:t>
            </w:r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t>7 239,55</w:t>
            </w: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proofErr w:type="spellStart"/>
            <w:r>
              <w:t>Нефтеюганского</w:t>
            </w:r>
            <w:proofErr w:type="spellEnd"/>
            <w:r>
              <w:t xml:space="preserve"> района (п. </w:t>
            </w:r>
            <w:proofErr w:type="spellStart"/>
            <w:r>
              <w:t>Салым</w:t>
            </w:r>
            <w:proofErr w:type="spellEnd"/>
            <w:r>
              <w:t>)</w:t>
            </w:r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t>6 797,21</w:t>
            </w: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proofErr w:type="spellStart"/>
            <w:r>
              <w:t>Нефтеюганского</w:t>
            </w:r>
            <w:proofErr w:type="spellEnd"/>
            <w:r>
              <w:t xml:space="preserve"> района (п. </w:t>
            </w:r>
            <w:proofErr w:type="spellStart"/>
            <w:r>
              <w:t>Сингапай</w:t>
            </w:r>
            <w:proofErr w:type="spellEnd"/>
            <w:r>
              <w:t>)</w:t>
            </w:r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t>6 969,57</w:t>
            </w: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r>
              <w:t xml:space="preserve">прочие населенные пункты </w:t>
            </w:r>
            <w:proofErr w:type="spellStart"/>
            <w:r>
              <w:t>Нефтеюганского</w:t>
            </w:r>
            <w:proofErr w:type="spellEnd"/>
            <w:r>
              <w:t xml:space="preserve"> района (кроме п. </w:t>
            </w:r>
            <w:proofErr w:type="spellStart"/>
            <w:r>
              <w:t>Салым</w:t>
            </w:r>
            <w:proofErr w:type="spellEnd"/>
            <w:r>
              <w:t xml:space="preserve">, п. </w:t>
            </w:r>
            <w:proofErr w:type="spellStart"/>
            <w:r>
              <w:t>Сингапай</w:t>
            </w:r>
            <w:proofErr w:type="spellEnd"/>
            <w:r>
              <w:t>)</w:t>
            </w:r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t>7 722,22</w:t>
            </w: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r>
              <w:t>Октябрьского района</w:t>
            </w:r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t>8 566,86</w:t>
            </w: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r>
              <w:t xml:space="preserve">Ханты-Мансийского района (п. </w:t>
            </w:r>
            <w:proofErr w:type="spellStart"/>
            <w:r>
              <w:t>Горноправдинск</w:t>
            </w:r>
            <w:proofErr w:type="spellEnd"/>
            <w:r>
              <w:t>, п. Бобровский)</w:t>
            </w:r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t>9 017,82</w:t>
            </w: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r>
              <w:t>Ханты-Мансийского района</w:t>
            </w:r>
          </w:p>
          <w:p w:rsidR="001343C1" w:rsidRDefault="001343C1">
            <w:pPr>
              <w:pStyle w:val="ConsPlusNormal"/>
            </w:pPr>
            <w:r>
              <w:t xml:space="preserve">(с. </w:t>
            </w:r>
            <w:proofErr w:type="spellStart"/>
            <w:r>
              <w:t>Цингалы</w:t>
            </w:r>
            <w:proofErr w:type="spellEnd"/>
            <w:r>
              <w:t xml:space="preserve">, п. Сибирский, с. </w:t>
            </w:r>
            <w:proofErr w:type="spellStart"/>
            <w:r>
              <w:t>Реполово</w:t>
            </w:r>
            <w:proofErr w:type="spellEnd"/>
            <w:r>
              <w:t xml:space="preserve">, с. </w:t>
            </w:r>
            <w:proofErr w:type="spellStart"/>
            <w:r>
              <w:t>Батово</w:t>
            </w:r>
            <w:proofErr w:type="spellEnd"/>
            <w:r>
              <w:t xml:space="preserve">, д. Ярки, д. </w:t>
            </w:r>
            <w:proofErr w:type="spellStart"/>
            <w:r>
              <w:t>Шапша</w:t>
            </w:r>
            <w:proofErr w:type="spellEnd"/>
            <w:r>
              <w:t xml:space="preserve">, п. </w:t>
            </w:r>
            <w:proofErr w:type="spellStart"/>
            <w:r>
              <w:t>Выкатной</w:t>
            </w:r>
            <w:proofErr w:type="spellEnd"/>
            <w:r>
              <w:t>)</w:t>
            </w:r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t>9 263,96</w:t>
            </w: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r>
              <w:t xml:space="preserve">Ханты-Мансийского района (п. </w:t>
            </w:r>
            <w:proofErr w:type="spellStart"/>
            <w:r>
              <w:t>Луговской</w:t>
            </w:r>
            <w:proofErr w:type="spellEnd"/>
            <w:r>
              <w:t>)</w:t>
            </w:r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t>10 988,04</w:t>
            </w: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r>
              <w:t xml:space="preserve">Ханты-Мансийского района (д. Белогорье, с. </w:t>
            </w:r>
            <w:r>
              <w:lastRenderedPageBreak/>
              <w:t>Троица, п. Кирпичный)</w:t>
            </w:r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lastRenderedPageBreak/>
              <w:t>9 802,45</w:t>
            </w: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lastRenderedPageBreak/>
              <w:t>1.12.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r>
              <w:t>города Нефтеюганска</w:t>
            </w:r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t>7 722,22</w:t>
            </w: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r>
              <w:t xml:space="preserve">города </w:t>
            </w:r>
            <w:proofErr w:type="spellStart"/>
            <w:r>
              <w:t>Нягани</w:t>
            </w:r>
            <w:proofErr w:type="spellEnd"/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t>5 982,08</w:t>
            </w: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r>
              <w:t xml:space="preserve">города </w:t>
            </w:r>
            <w:proofErr w:type="spellStart"/>
            <w:r>
              <w:t>Пыть-Яха</w:t>
            </w:r>
            <w:proofErr w:type="spellEnd"/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t>8 888,49</w:t>
            </w: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r>
              <w:t>города Ханты-Мансийска</w:t>
            </w:r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t>8 790,02</w:t>
            </w: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r>
              <w:t xml:space="preserve">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t>6 482,18</w:t>
            </w: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1.17.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r>
              <w:t>Советского района</w:t>
            </w:r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t>6 368,44</w:t>
            </w: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1.18.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r>
              <w:t>города Сургута</w:t>
            </w:r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t>6 357,56</w:t>
            </w: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1.19.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r>
              <w:t>Ханты-Мансийского района</w:t>
            </w:r>
          </w:p>
          <w:p w:rsidR="001343C1" w:rsidRDefault="001343C1">
            <w:pPr>
              <w:pStyle w:val="ConsPlusNormal"/>
            </w:pPr>
            <w:r>
              <w:t>(ТСН СНТ "</w:t>
            </w:r>
            <w:proofErr w:type="spellStart"/>
            <w:r>
              <w:t>Самаровское</w:t>
            </w:r>
            <w:proofErr w:type="spellEnd"/>
            <w:r>
              <w:t>", ДНТ СН "</w:t>
            </w:r>
            <w:proofErr w:type="spellStart"/>
            <w:r>
              <w:t>Черемхи</w:t>
            </w:r>
            <w:proofErr w:type="spellEnd"/>
            <w:r>
              <w:t>", ДНТ СН "Черемхи-2")</w:t>
            </w:r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t>7 299,83</w:t>
            </w: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1.20.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r>
              <w:t xml:space="preserve">Белоярского района (п. </w:t>
            </w:r>
            <w:proofErr w:type="spellStart"/>
            <w:r>
              <w:t>Лыхма</w:t>
            </w:r>
            <w:proofErr w:type="spellEnd"/>
            <w:r>
              <w:t>)</w:t>
            </w:r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t>8 330,58</w:t>
            </w: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Мегионгазсервис</w:t>
            </w:r>
            <w:proofErr w:type="spellEnd"/>
            <w:r>
              <w:t>" &lt;***&gt;</w:t>
            </w:r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t>5 810,01</w:t>
            </w: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Шаимгаз</w:t>
            </w:r>
            <w:proofErr w:type="spellEnd"/>
            <w:r>
              <w:t>"</w:t>
            </w:r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t>7 149,87</w:t>
            </w: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r>
              <w:t>Открытое акционерное общество "</w:t>
            </w:r>
            <w:proofErr w:type="spellStart"/>
            <w:r>
              <w:t>Сургутгаз</w:t>
            </w:r>
            <w:proofErr w:type="spellEnd"/>
            <w:r>
              <w:t>"</w:t>
            </w:r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t>6 513,21</w:t>
            </w: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Нижневартовскгаз</w:t>
            </w:r>
            <w:proofErr w:type="spellEnd"/>
            <w:r>
              <w:t>"</w:t>
            </w:r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t>6 109,04</w:t>
            </w: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Когалымгоргаз</w:t>
            </w:r>
            <w:proofErr w:type="spellEnd"/>
            <w:r>
              <w:t>"</w:t>
            </w:r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t>6 355,76</w:t>
            </w:r>
          </w:p>
        </w:tc>
      </w:tr>
      <w:tr w:rsidR="001343C1">
        <w:tc>
          <w:tcPr>
            <w:tcW w:w="774" w:type="dxa"/>
          </w:tcPr>
          <w:p w:rsidR="001343C1" w:rsidRDefault="001343C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536" w:type="dxa"/>
          </w:tcPr>
          <w:p w:rsidR="001343C1" w:rsidRDefault="001343C1">
            <w:pPr>
              <w:pStyle w:val="ConsPlusNormal"/>
            </w:pPr>
            <w:r>
              <w:t xml:space="preserve">Муниципальное унитарное предприятие "Территориально объединенное 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 и водоотведения N 1" муниципального образования </w:t>
            </w:r>
            <w:proofErr w:type="spellStart"/>
            <w:r>
              <w:t>Сургутский</w:t>
            </w:r>
            <w:proofErr w:type="spellEnd"/>
            <w:r>
              <w:t xml:space="preserve"> район (д. </w:t>
            </w:r>
            <w:proofErr w:type="spellStart"/>
            <w:r>
              <w:t>Сайгатина</w:t>
            </w:r>
            <w:proofErr w:type="spellEnd"/>
            <w:r>
              <w:t>)</w:t>
            </w:r>
          </w:p>
        </w:tc>
        <w:tc>
          <w:tcPr>
            <w:tcW w:w="3628" w:type="dxa"/>
          </w:tcPr>
          <w:p w:rsidR="001343C1" w:rsidRDefault="001343C1">
            <w:pPr>
              <w:pStyle w:val="ConsPlusNormal"/>
              <w:jc w:val="center"/>
            </w:pPr>
            <w:r>
              <w:t>5 679,56</w:t>
            </w:r>
          </w:p>
        </w:tc>
      </w:tr>
    </w:tbl>
    <w:p w:rsidR="001343C1" w:rsidRDefault="001343C1">
      <w:pPr>
        <w:pStyle w:val="ConsPlusNormal"/>
        <w:jc w:val="both"/>
      </w:pPr>
    </w:p>
    <w:p w:rsidR="001343C1" w:rsidRDefault="001343C1">
      <w:pPr>
        <w:pStyle w:val="ConsPlusNormal"/>
        <w:jc w:val="both"/>
      </w:pPr>
      <w:r>
        <w:t xml:space="preserve">(таблица в ред. </w:t>
      </w:r>
      <w:hyperlink r:id="rId13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23.12.2025 N 135-нп)</w:t>
      </w:r>
    </w:p>
    <w:p w:rsidR="001343C1" w:rsidRDefault="001343C1">
      <w:pPr>
        <w:pStyle w:val="ConsPlusNormal"/>
        <w:jc w:val="both"/>
      </w:pPr>
    </w:p>
    <w:p w:rsidR="001343C1" w:rsidRDefault="001343C1">
      <w:pPr>
        <w:pStyle w:val="ConsPlusNormal"/>
        <w:ind w:firstLine="540"/>
        <w:jc w:val="both"/>
      </w:pPr>
      <w:r>
        <w:t>--------------------------------</w:t>
      </w:r>
    </w:p>
    <w:p w:rsidR="001343C1" w:rsidRDefault="001343C1">
      <w:pPr>
        <w:pStyle w:val="ConsPlusNormal"/>
        <w:spacing w:before="220"/>
        <w:ind w:firstLine="540"/>
        <w:jc w:val="both"/>
      </w:pPr>
      <w:r>
        <w:t>&lt;*&gt; К категории "население" относятся:</w:t>
      </w:r>
    </w:p>
    <w:p w:rsidR="001343C1" w:rsidRDefault="001343C1">
      <w:pPr>
        <w:pStyle w:val="ConsPlusNormal"/>
        <w:spacing w:before="220"/>
        <w:ind w:firstLine="540"/>
        <w:jc w:val="both"/>
      </w:pPr>
      <w:r>
        <w:t>физические лица (граждане) - собственники (наниматели) жилого помещения;</w:t>
      </w:r>
    </w:p>
    <w:p w:rsidR="001343C1" w:rsidRDefault="001343C1">
      <w:pPr>
        <w:pStyle w:val="ConsPlusNormal"/>
        <w:spacing w:before="220"/>
        <w:ind w:firstLine="540"/>
        <w:jc w:val="both"/>
      </w:pPr>
      <w:r>
        <w:t xml:space="preserve">лица, приобретающие газ, в том числе исполнители коммунальных услуг, для его использования </w:t>
      </w:r>
      <w:proofErr w:type="gramStart"/>
      <w:r>
        <w:t>в котельных всех типов</w:t>
      </w:r>
      <w:proofErr w:type="gramEnd"/>
      <w:r>
        <w:t xml:space="preserve"> и (или) ином оборудовании для производства электрической и (или) тепловой энергии в целях удовлетворения бытовых нужд жильцов многоквартирных домов, находящихся в общей долевой собственности собственников помещений в указанных многоквартирных домах;</w:t>
      </w:r>
    </w:p>
    <w:p w:rsidR="001343C1" w:rsidRDefault="001343C1">
      <w:pPr>
        <w:pStyle w:val="ConsPlusNormal"/>
        <w:spacing w:before="220"/>
        <w:ind w:firstLine="540"/>
        <w:jc w:val="both"/>
      </w:pPr>
      <w:r>
        <w:t>иные лица, приобретающие газ, потребляемый физическими лицами (гражданами), а именно:</w:t>
      </w:r>
    </w:p>
    <w:p w:rsidR="001343C1" w:rsidRDefault="001343C1">
      <w:pPr>
        <w:pStyle w:val="ConsPlusNormal"/>
        <w:spacing w:before="220"/>
        <w:ind w:firstLine="540"/>
        <w:jc w:val="both"/>
      </w:pPr>
      <w:r>
        <w:lastRenderedPageBreak/>
        <w:t>исполнители коммунальных услуг (управляющие организации, товарищества собственников жилья, жилищно-строительные, жилищные или иные специализированные потребительские кооперативы);</w:t>
      </w:r>
    </w:p>
    <w:p w:rsidR="001343C1" w:rsidRDefault="001343C1">
      <w:pPr>
        <w:pStyle w:val="ConsPlusNormal"/>
        <w:spacing w:before="220"/>
        <w:ind w:firstLine="540"/>
        <w:jc w:val="both"/>
      </w:pPr>
      <w:proofErr w:type="spellStart"/>
      <w:r>
        <w:t>наймодатели</w:t>
      </w:r>
      <w:proofErr w:type="spellEnd"/>
      <w:r>
        <w:t xml:space="preserve"> (или уполномоченные ими лица), предоставляющие гражданам жилые помещения специализированного жилищного фонда, - служебные жилые помещения,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 и временного поселения лиц, признанных беженцами, жилые помещения для социальной защиты отдельных категорий граждан;</w:t>
      </w:r>
    </w:p>
    <w:p w:rsidR="001343C1" w:rsidRDefault="001343C1">
      <w:pPr>
        <w:pStyle w:val="ConsPlusNormal"/>
        <w:spacing w:before="220"/>
        <w:ind w:firstLine="540"/>
        <w:jc w:val="both"/>
      </w:pPr>
      <w:r>
        <w:t>садоводческие или огороднические некоммерческие товарищества;</w:t>
      </w:r>
    </w:p>
    <w:p w:rsidR="001343C1" w:rsidRDefault="001343C1">
      <w:pPr>
        <w:pStyle w:val="ConsPlusNormal"/>
        <w:spacing w:before="220"/>
        <w:ind w:firstLine="540"/>
        <w:jc w:val="both"/>
      </w:pPr>
      <w:r>
        <w:t>религиозные организации, приобретающие газ для его использования в котельных всех типов и (или) оборудовании, находящихся у них на праве собственности или ином законном основании, для производства электро- и (или) тепловой энергии в целях удовлетворения бытовых нужд на объектах, специально предназначенных для богослужения, молитвенных и религиозных собраний, а также для всего монастырского или храмового комплекса, в том числе трапезных, помещений, используемых религиозными организациями для обучения религии, монашеской жизнедеятельности, временного проживания паломников, помещений, не имеющих религиозного назначения и предназначенных для обслуживания имущества религиозного назначения.</w:t>
      </w:r>
    </w:p>
    <w:p w:rsidR="001343C1" w:rsidRDefault="001343C1">
      <w:pPr>
        <w:pStyle w:val="ConsPlusNormal"/>
        <w:spacing w:before="220"/>
        <w:ind w:firstLine="540"/>
        <w:jc w:val="both"/>
      </w:pPr>
      <w:r>
        <w:t>&lt;**&gt; Направления (наборы направлений) использования газа:</w:t>
      </w:r>
    </w:p>
    <w:p w:rsidR="001343C1" w:rsidRDefault="001343C1">
      <w:pPr>
        <w:pStyle w:val="ConsPlusNormal"/>
        <w:spacing w:before="220"/>
        <w:ind w:firstLine="540"/>
        <w:jc w:val="both"/>
      </w:pPr>
      <w:r>
        <w:t>- приготовление пищи и нагрев воды с использованием газовой плиты (в отсутствие других направлений использования газа);</w:t>
      </w:r>
    </w:p>
    <w:p w:rsidR="001343C1" w:rsidRDefault="001343C1">
      <w:pPr>
        <w:pStyle w:val="ConsPlusNormal"/>
        <w:spacing w:before="220"/>
        <w:ind w:firstLine="540"/>
        <w:jc w:val="both"/>
      </w:pPr>
      <w:r>
        <w:t>-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газа);</w:t>
      </w:r>
    </w:p>
    <w:p w:rsidR="001343C1" w:rsidRDefault="001343C1">
      <w:pPr>
        <w:pStyle w:val="ConsPlusNormal"/>
        <w:spacing w:before="220"/>
        <w:ind w:firstLine="540"/>
        <w:jc w:val="both"/>
      </w:pPr>
      <w:r>
        <w:t>-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газа);</w:t>
      </w:r>
    </w:p>
    <w:p w:rsidR="001343C1" w:rsidRDefault="001343C1">
      <w:pPr>
        <w:pStyle w:val="ConsPlusNormal"/>
        <w:spacing w:before="220"/>
        <w:ind w:firstLine="540"/>
        <w:jc w:val="both"/>
      </w:pPr>
      <w:r>
        <w:t>- отопление или отопление с одновременным использованием газа на другие цели (кроме отопления и (или) выработки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домах);</w:t>
      </w:r>
    </w:p>
    <w:p w:rsidR="001343C1" w:rsidRDefault="001343C1">
      <w:pPr>
        <w:pStyle w:val="ConsPlusNormal"/>
        <w:spacing w:before="220"/>
        <w:ind w:firstLine="540"/>
        <w:jc w:val="both"/>
      </w:pPr>
      <w:r>
        <w:t>- отопление и (или) выработка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 с годовым объемом потребления газа до 10 тыс. м</w:t>
      </w:r>
      <w:r>
        <w:rPr>
          <w:vertAlign w:val="superscript"/>
        </w:rPr>
        <w:t>3</w:t>
      </w:r>
      <w:r>
        <w:t xml:space="preserve"> включительно;</w:t>
      </w:r>
    </w:p>
    <w:p w:rsidR="001343C1" w:rsidRDefault="001343C1">
      <w:pPr>
        <w:pStyle w:val="ConsPlusNormal"/>
        <w:spacing w:before="220"/>
        <w:ind w:firstLine="540"/>
        <w:jc w:val="both"/>
      </w:pPr>
      <w:r>
        <w:t>- отопление и (или) выработка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 с годовым объемом потребления газа от 10 до 100 тыс. м</w:t>
      </w:r>
      <w:r>
        <w:rPr>
          <w:vertAlign w:val="superscript"/>
        </w:rPr>
        <w:t>3</w:t>
      </w:r>
      <w:r>
        <w:t xml:space="preserve"> включительно;</w:t>
      </w:r>
    </w:p>
    <w:p w:rsidR="001343C1" w:rsidRDefault="001343C1">
      <w:pPr>
        <w:pStyle w:val="ConsPlusNormal"/>
        <w:spacing w:before="220"/>
        <w:ind w:firstLine="540"/>
        <w:jc w:val="both"/>
      </w:pPr>
      <w:r>
        <w:t>- отопление и (или) выработка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 с годовым объемом потребления газа свыше 100 тыс. м</w:t>
      </w:r>
      <w:r>
        <w:rPr>
          <w:vertAlign w:val="superscript"/>
        </w:rPr>
        <w:t>3</w:t>
      </w:r>
      <w:r>
        <w:t>.</w:t>
      </w:r>
    </w:p>
    <w:p w:rsidR="001343C1" w:rsidRDefault="001343C1">
      <w:pPr>
        <w:pStyle w:val="ConsPlusNormal"/>
        <w:spacing w:before="220"/>
        <w:ind w:firstLine="540"/>
        <w:jc w:val="both"/>
      </w:pPr>
      <w:r>
        <w:t xml:space="preserve">&lt;***&gt; Применяют упрощенную систему налогообложения в соответствии с </w:t>
      </w:r>
      <w:hyperlink r:id="rId14">
        <w:r>
          <w:rPr>
            <w:color w:val="0000FF"/>
          </w:rPr>
          <w:t>главой 26.2</w:t>
        </w:r>
      </w:hyperlink>
      <w:r>
        <w:t xml:space="preserve"> Налогового кодекса Российской Федерации.</w:t>
      </w:r>
    </w:p>
    <w:p w:rsidR="001343C1" w:rsidRDefault="001343C1">
      <w:pPr>
        <w:pStyle w:val="ConsPlusNormal"/>
        <w:ind w:firstLine="540"/>
        <w:jc w:val="both"/>
      </w:pPr>
    </w:p>
    <w:p w:rsidR="00810EA2" w:rsidRDefault="00810EA2">
      <w:bookmarkStart w:id="1" w:name="_GoBack"/>
      <w:bookmarkEnd w:id="1"/>
    </w:p>
    <w:sectPr w:rsidR="00810EA2" w:rsidSect="001343C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C1"/>
    <w:rsid w:val="001343C1"/>
    <w:rsid w:val="0081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3FD3"/>
  <w15:chartTrackingRefBased/>
  <w15:docId w15:val="{0806A771-D216-46F7-B294-CCB72204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4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43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20739&amp;dst=44" TargetMode="External"/><Relationship Id="rId13" Type="http://schemas.openxmlformats.org/officeDocument/2006/relationships/hyperlink" Target="https://login.consultant.ru/link/?req=doc&amp;base=RLAW926&amp;n=340002&amp;dst=1000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3585&amp;dst=195" TargetMode="External"/><Relationship Id="rId12" Type="http://schemas.openxmlformats.org/officeDocument/2006/relationships/hyperlink" Target="https://login.consultant.ru/link/?req=doc&amp;base=RLAW926&amp;n=340002&amp;dst=10000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55&amp;dst=101687" TargetMode="External"/><Relationship Id="rId11" Type="http://schemas.openxmlformats.org/officeDocument/2006/relationships/hyperlink" Target="https://login.consultant.ru/link/?req=doc&amp;base=RLAW926&amp;n=309413" TargetMode="External"/><Relationship Id="rId5" Type="http://schemas.openxmlformats.org/officeDocument/2006/relationships/hyperlink" Target="https://login.consultant.ru/link/?req=doc&amp;base=RLAW926&amp;n=340002&amp;dst=10000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297712&amp;dst=10008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09558" TargetMode="External"/><Relationship Id="rId14" Type="http://schemas.openxmlformats.org/officeDocument/2006/relationships/hyperlink" Target="https://login.consultant.ru/link/?req=doc&amp;base=LAW&amp;n=495706&amp;dst=103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2026-01-29T11:10:00Z</dcterms:created>
  <dcterms:modified xsi:type="dcterms:W3CDTF">2026-01-29T11:11:00Z</dcterms:modified>
</cp:coreProperties>
</file>