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19" w:rsidRDefault="0062071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0719" w:rsidRDefault="00620719">
      <w:pPr>
        <w:pStyle w:val="ConsPlusNormal"/>
        <w:outlineLvl w:val="0"/>
      </w:pPr>
    </w:p>
    <w:p w:rsidR="00620719" w:rsidRDefault="00620719">
      <w:pPr>
        <w:pStyle w:val="ConsPlusTitle"/>
        <w:jc w:val="center"/>
        <w:outlineLvl w:val="0"/>
      </w:pPr>
      <w:r>
        <w:t>РЕГИОНАЛЬНАЯ СЛУЖБА ПО ТАРИФАМ</w:t>
      </w:r>
    </w:p>
    <w:p w:rsidR="00620719" w:rsidRDefault="00620719">
      <w:pPr>
        <w:pStyle w:val="ConsPlusTitle"/>
        <w:jc w:val="center"/>
      </w:pPr>
      <w:r>
        <w:t>ХАНТЫ-МАНСИЙСКОГО АВТОНОМНОГО ОКРУГА - ЮГРЫ</w:t>
      </w:r>
    </w:p>
    <w:p w:rsidR="00620719" w:rsidRDefault="00620719">
      <w:pPr>
        <w:pStyle w:val="ConsPlusTitle"/>
        <w:jc w:val="center"/>
      </w:pPr>
      <w:r>
        <w:t>(РСТ ЮГРЫ)</w:t>
      </w:r>
    </w:p>
    <w:p w:rsidR="00620719" w:rsidRDefault="00620719">
      <w:pPr>
        <w:pStyle w:val="ConsPlusTitle"/>
        <w:jc w:val="center"/>
      </w:pPr>
    </w:p>
    <w:p w:rsidR="00620719" w:rsidRDefault="00620719">
      <w:pPr>
        <w:pStyle w:val="ConsPlusTitle"/>
        <w:jc w:val="center"/>
      </w:pPr>
      <w:r>
        <w:t>ПРИКАЗ</w:t>
      </w:r>
    </w:p>
    <w:p w:rsidR="00620719" w:rsidRDefault="00620719">
      <w:pPr>
        <w:pStyle w:val="ConsPlusTitle"/>
        <w:jc w:val="center"/>
      </w:pPr>
      <w:r>
        <w:t>от 29 ноября 2022 г. N 101-нп</w:t>
      </w:r>
    </w:p>
    <w:p w:rsidR="00620719" w:rsidRDefault="00620719">
      <w:pPr>
        <w:pStyle w:val="ConsPlusTitle"/>
        <w:jc w:val="center"/>
      </w:pPr>
    </w:p>
    <w:p w:rsidR="00620719" w:rsidRDefault="00620719">
      <w:pPr>
        <w:pStyle w:val="ConsPlusTitle"/>
        <w:jc w:val="center"/>
      </w:pPr>
      <w:r>
        <w:t>ОБ УСТАНОВЛЕНИИ ТАРИФОВ НА ГОРЯЧУЮ ВОДУ В ЗАКРЫТОЙ СИСТЕМЕ</w:t>
      </w:r>
    </w:p>
    <w:p w:rsidR="00620719" w:rsidRDefault="00620719">
      <w:pPr>
        <w:pStyle w:val="ConsPlusTitle"/>
        <w:jc w:val="center"/>
      </w:pPr>
      <w:r>
        <w:t>ГОРЯЧЕГО ВОДОСНАБЖЕНИЯ ДЛЯ ОРГАНИЗАЦИЙ, ОСУЩЕСТВЛЯЮЩИХ</w:t>
      </w:r>
    </w:p>
    <w:p w:rsidR="00620719" w:rsidRDefault="00620719">
      <w:pPr>
        <w:pStyle w:val="ConsPlusTitle"/>
        <w:jc w:val="center"/>
      </w:pPr>
      <w:r>
        <w:t>ГОРЯЧЕЕ ВОДОСНАБЖЕНИЕ, И О ВНЕСЕНИИ ИЗМЕНЕНИЙ В НЕКОТОРЫЕ</w:t>
      </w:r>
    </w:p>
    <w:p w:rsidR="00620719" w:rsidRDefault="00620719">
      <w:pPr>
        <w:pStyle w:val="ConsPlusTitle"/>
        <w:jc w:val="center"/>
      </w:pPr>
      <w:r>
        <w:t>ПРИКАЗЫ РЕГИОНАЛЬНОЙ СЛУЖБЫ ПО ТАРИФАМ ХАНТЫ-МАНСИЙСКОГО</w:t>
      </w:r>
    </w:p>
    <w:p w:rsidR="00620719" w:rsidRDefault="00620719">
      <w:pPr>
        <w:pStyle w:val="ConsPlusTitle"/>
        <w:jc w:val="center"/>
      </w:pPr>
      <w:r>
        <w:t>АВТОНОМНОГО ОКРУГА - ЮГРЫ</w:t>
      </w:r>
    </w:p>
    <w:p w:rsidR="00620719" w:rsidRDefault="006207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07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5">
              <w:r>
                <w:rPr>
                  <w:color w:val="0000FF"/>
                </w:rPr>
                <w:t>N 19-нп</w:t>
              </w:r>
            </w:hyperlink>
            <w:r>
              <w:rPr>
                <w:color w:val="392C69"/>
              </w:rPr>
              <w:t xml:space="preserve">, от 18.05.2023 </w:t>
            </w:r>
            <w:hyperlink r:id="rId6">
              <w:r>
                <w:rPr>
                  <w:color w:val="0000FF"/>
                </w:rPr>
                <w:t>N 34-нп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7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,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8">
              <w:r>
                <w:rPr>
                  <w:color w:val="0000FF"/>
                </w:rPr>
                <w:t>N 118-нп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</w:tr>
    </w:tbl>
    <w:p w:rsidR="00620719" w:rsidRDefault="00620719">
      <w:pPr>
        <w:pStyle w:val="ConsPlusNormal"/>
        <w:jc w:val="center"/>
      </w:pPr>
    </w:p>
    <w:p w:rsidR="00620719" w:rsidRDefault="0062071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10">
        <w:r>
          <w:rPr>
            <w:color w:val="0000FF"/>
          </w:rPr>
          <w:t>N 406</w:t>
        </w:r>
      </w:hyperlink>
      <w:r>
        <w:t xml:space="preserve"> "О государственном регулировании тарифов в сфере водоснабжения и водоотведения", от 14 ноября 2022 года </w:t>
      </w:r>
      <w:hyperlink r:id="rId11">
        <w:r>
          <w:rPr>
            <w:color w:val="0000FF"/>
          </w:rPr>
          <w:t>N 2053</w:t>
        </w:r>
      </w:hyperlink>
      <w:r>
        <w:t xml:space="preserve">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на основании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обращений организаций, осуществляющих горячее водоснабжение, и протокола правления Региональной службы по тарифам Ханты-Мансийского автономного округа - Югры от 29 ноября 2022 года N 60 приказываю:</w:t>
      </w:r>
    </w:p>
    <w:p w:rsidR="00620719" w:rsidRDefault="0062071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13.04.2023 N 19-нп)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1. Установить на период с 1 декабря 2022 года по 31 декабря 2023 года </w:t>
      </w:r>
      <w:hyperlink w:anchor="P43">
        <w:r>
          <w:rPr>
            <w:color w:val="0000FF"/>
          </w:rPr>
          <w:t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1 к настоящему приказу.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2. Установить на период с 1 декабря 2022 года по 31 декабря 2027 года </w:t>
      </w:r>
      <w:hyperlink w:anchor="P129">
        <w:r>
          <w:rPr>
            <w:color w:val="0000FF"/>
          </w:rPr>
          <w:t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2 к настоящему приказу.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3. Установить на период с 1 декабря 2022 года по 31 декабря 2028 года </w:t>
      </w:r>
      <w:hyperlink w:anchor="P731">
        <w:r>
          <w:rPr>
            <w:color w:val="0000FF"/>
          </w:rPr>
          <w:t>тарифы</w:t>
        </w:r>
      </w:hyperlink>
      <w:r>
        <w:t xml:space="preserve"> на горячую воду в закрытой системе горячего водоснабжения для общества с ограниченной ответственностью "Концессионная Коммунальная Компания", осуществляющего горячее водоснабжение, согласно приложению 3 к настоящему приказу.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4">
        <w:r>
          <w:rPr>
            <w:color w:val="0000FF"/>
          </w:rPr>
          <w:t>приложение 2</w:t>
        </w:r>
      </w:hyperlink>
      <w:r>
        <w:t xml:space="preserve"> к приказу Региональной службы по тарифам Ханты-Мансийского автономного округа - Югры от 14 декабря 2017 года N 187-нп "Об установлении тарифов на горячую воду в закрытой системе горячего водоснабжения для организаций, осуществляющих горячее водоснабжение".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5">
        <w:r>
          <w:rPr>
            <w:color w:val="0000FF"/>
          </w:rPr>
          <w:t>приложение 2</w:t>
        </w:r>
      </w:hyperlink>
      <w:r>
        <w:t xml:space="preserve"> к приказу Региональной службы по тарифам Ханты-Мансийского автономного округа - Югры от 13 декабря 2018 года N 109-нп "Об установлении тарифов на горячую воду в закрытой системе горячего водоснабжения для организаций, </w:t>
      </w:r>
      <w:r>
        <w:lastRenderedPageBreak/>
        <w:t>осуществляющих горячее водоснабжение".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6">
        <w:r>
          <w:rPr>
            <w:color w:val="0000FF"/>
          </w:rPr>
          <w:t>приложение 2</w:t>
        </w:r>
      </w:hyperlink>
      <w:r>
        <w:t xml:space="preserve"> к приказу Региональной службы по тарифам Ханты-Мансийского автономного округа - Югры от 17 декабря 2019 года N 157-нп "Об установлении тарифов на горячую воду в закрытой системе горячего водоснабжения для организаций, осуществляющих горячее водоснабжение".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7. Признать утратившими силу </w:t>
      </w:r>
      <w:hyperlink r:id="rId17">
        <w:r>
          <w:rPr>
            <w:color w:val="0000FF"/>
          </w:rPr>
          <w:t>строки 1.2</w:t>
        </w:r>
      </w:hyperlink>
      <w:r>
        <w:t xml:space="preserve"> - </w:t>
      </w:r>
      <w:hyperlink r:id="rId18">
        <w:r>
          <w:rPr>
            <w:color w:val="0000FF"/>
          </w:rPr>
          <w:t>1.5</w:t>
        </w:r>
      </w:hyperlink>
      <w:r>
        <w:t xml:space="preserve">, </w:t>
      </w:r>
      <w:hyperlink r:id="rId19">
        <w:r>
          <w:rPr>
            <w:color w:val="0000FF"/>
          </w:rPr>
          <w:t>1.7</w:t>
        </w:r>
      </w:hyperlink>
      <w:r>
        <w:t xml:space="preserve"> - </w:t>
      </w:r>
      <w:hyperlink r:id="rId20">
        <w:r>
          <w:rPr>
            <w:color w:val="0000FF"/>
          </w:rPr>
          <w:t>1.10 таблицы</w:t>
        </w:r>
      </w:hyperlink>
      <w:r>
        <w:t xml:space="preserve"> приложения 3 к приказу Региональной службы по тарифам Ханты-Мансийского автономного округа - Югры от 15 декабря 2020 года N 111-нп "Об установлении тарифов на горячую воду в открытой системе теплоснабжения (горячее водоснабжение)".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21">
        <w:r>
          <w:rPr>
            <w:color w:val="0000FF"/>
          </w:rPr>
          <w:t>приложение 1</w:t>
        </w:r>
      </w:hyperlink>
      <w:r>
        <w:t xml:space="preserve"> к приказу Региональной службы по тарифам Ханты-Мансийского автономного округа - Югры от 14 декабря 2021 года N 138-нп "Об установлении тарифов на горячую воду в закрытой системе горячего водоснабжения для организаций, осуществляющих горячее водоснабжение".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>9. Настоящий приказ вступает в силу с 1 декабря 2022 года.</w:t>
      </w:r>
    </w:p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jc w:val="right"/>
      </w:pPr>
      <w:r>
        <w:t>Руководитель службы</w:t>
      </w:r>
    </w:p>
    <w:p w:rsidR="00620719" w:rsidRDefault="00620719">
      <w:pPr>
        <w:pStyle w:val="ConsPlusNormal"/>
        <w:jc w:val="right"/>
      </w:pPr>
      <w:r>
        <w:t>А.А.БЕРЕЗОВСКИЙ</w:t>
      </w: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  <w:jc w:val="right"/>
        <w:outlineLvl w:val="0"/>
      </w:pPr>
      <w:r>
        <w:t>Приложение 1</w:t>
      </w:r>
    </w:p>
    <w:p w:rsidR="00620719" w:rsidRDefault="00620719">
      <w:pPr>
        <w:pStyle w:val="ConsPlusNormal"/>
        <w:jc w:val="right"/>
      </w:pPr>
      <w:r>
        <w:t>к приказу Региональной службы</w:t>
      </w:r>
    </w:p>
    <w:p w:rsidR="00620719" w:rsidRDefault="00620719">
      <w:pPr>
        <w:pStyle w:val="ConsPlusNormal"/>
        <w:jc w:val="right"/>
      </w:pPr>
      <w:r>
        <w:t>по тарифам Ханты-Мансийского</w:t>
      </w:r>
    </w:p>
    <w:p w:rsidR="00620719" w:rsidRDefault="00620719">
      <w:pPr>
        <w:pStyle w:val="ConsPlusNormal"/>
        <w:jc w:val="right"/>
      </w:pPr>
      <w:r>
        <w:t>автономного округа - Югры</w:t>
      </w:r>
    </w:p>
    <w:p w:rsidR="00620719" w:rsidRDefault="00620719">
      <w:pPr>
        <w:pStyle w:val="ConsPlusNormal"/>
        <w:jc w:val="right"/>
      </w:pPr>
      <w:r>
        <w:t>от 29 ноября 2022 года N 101-нп</w:t>
      </w:r>
    </w:p>
    <w:p w:rsidR="00620719" w:rsidRDefault="00620719">
      <w:pPr>
        <w:pStyle w:val="ConsPlusNormal"/>
      </w:pPr>
    </w:p>
    <w:p w:rsidR="00620719" w:rsidRDefault="00620719">
      <w:pPr>
        <w:pStyle w:val="ConsPlusTitle"/>
        <w:jc w:val="center"/>
      </w:pPr>
      <w:bookmarkStart w:id="0" w:name="P43"/>
      <w:bookmarkEnd w:id="0"/>
      <w:r>
        <w:t>ТАРИФЫ</w:t>
      </w:r>
    </w:p>
    <w:p w:rsidR="00620719" w:rsidRDefault="00620719">
      <w:pPr>
        <w:pStyle w:val="ConsPlusTitle"/>
        <w:jc w:val="center"/>
      </w:pPr>
      <w:r>
        <w:t>НА ГОРЯЧУЮ ВОДУ В ЗАКРЫТОЙ СИСТЕМЕ ГОРЯЧЕГО ВОДОСНАБЖЕНИЯ</w:t>
      </w:r>
    </w:p>
    <w:p w:rsidR="00620719" w:rsidRDefault="00620719">
      <w:pPr>
        <w:pStyle w:val="ConsPlusTitle"/>
        <w:jc w:val="center"/>
      </w:pPr>
      <w:r>
        <w:t>ДЛЯ ОРГАНИЗАЦИЙ, ОСУЩЕСТВЛЯЮЩИХ ГОРЯЧЕЕ ВОДОСНАБЖЕНИЕ</w:t>
      </w:r>
    </w:p>
    <w:p w:rsidR="00620719" w:rsidRDefault="006207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07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от 13.04.2023 N 19-нп)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</w:tr>
    </w:tbl>
    <w:p w:rsidR="00620719" w:rsidRDefault="00620719">
      <w:pPr>
        <w:pStyle w:val="ConsPlusNormal"/>
      </w:pPr>
    </w:p>
    <w:p w:rsidR="00620719" w:rsidRDefault="00620719">
      <w:pPr>
        <w:pStyle w:val="ConsPlusNormal"/>
        <w:sectPr w:rsidR="00620719" w:rsidSect="008836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85"/>
        <w:gridCol w:w="5812"/>
        <w:gridCol w:w="1534"/>
        <w:gridCol w:w="3181"/>
        <w:gridCol w:w="1714"/>
      </w:tblGrid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26" w:type="dxa"/>
            <w:gridSpan w:val="5"/>
          </w:tcPr>
          <w:p w:rsidR="00620719" w:rsidRDefault="00620719">
            <w:pPr>
              <w:pStyle w:val="ConsPlusNormal"/>
              <w:jc w:val="center"/>
            </w:pPr>
            <w:r>
              <w:t>На период с 1 декабря 2022 года по 31 декабря 2023 года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организаций, осуществляющих горячее водоснабжение</w:t>
            </w:r>
          </w:p>
        </w:tc>
        <w:tc>
          <w:tcPr>
            <w:tcW w:w="5812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3181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компонента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  <w:jc w:val="center"/>
            </w:pPr>
            <w:r>
              <w:t>Тарифы в сфере горячего водоснабжения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14" w:type="dxa"/>
          </w:tcPr>
          <w:p w:rsidR="00620719" w:rsidRDefault="00620719">
            <w:pPr>
              <w:pStyle w:val="ConsPlusNormal"/>
              <w:jc w:val="center"/>
            </w:pPr>
            <w:r>
              <w:t>с 1 декабря 2022 года по 31 декабря 2023 года</w:t>
            </w:r>
          </w:p>
        </w:tc>
      </w:tr>
      <w:tr w:rsidR="00620719" w:rsidTr="00620719">
        <w:tc>
          <w:tcPr>
            <w:tcW w:w="454" w:type="dxa"/>
          </w:tcPr>
          <w:p w:rsidR="00620719" w:rsidRDefault="006207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85" w:type="dxa"/>
          </w:tcPr>
          <w:p w:rsidR="00620719" w:rsidRDefault="00620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620719" w:rsidRDefault="00620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</w:tcPr>
          <w:p w:rsidR="00620719" w:rsidRDefault="00620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  <w:jc w:val="center"/>
            </w:pPr>
            <w:r>
              <w:t>6</w:t>
            </w:r>
          </w:p>
        </w:tc>
      </w:tr>
      <w:tr w:rsidR="00620719" w:rsidTr="00620719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620719" w:rsidRDefault="00620719">
            <w:pPr>
              <w:pStyle w:val="ConsPlusNormal"/>
            </w:pPr>
            <w:r>
              <w:t>1.</w:t>
            </w:r>
          </w:p>
        </w:tc>
        <w:tc>
          <w:tcPr>
            <w:tcW w:w="15326" w:type="dxa"/>
            <w:gridSpan w:val="5"/>
            <w:tcBorders>
              <w:bottom w:val="nil"/>
            </w:tcBorders>
          </w:tcPr>
          <w:p w:rsidR="00620719" w:rsidRDefault="00620719">
            <w:pPr>
              <w:pStyle w:val="ConsPlusNormal"/>
              <w:jc w:val="both"/>
            </w:pPr>
            <w:r>
              <w:t xml:space="preserve">Утратил силу. - </w:t>
            </w:r>
            <w:hyperlink r:id="rId23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13.04.2023 N 19-нп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2.</w:t>
            </w:r>
          </w:p>
        </w:tc>
        <w:tc>
          <w:tcPr>
            <w:tcW w:w="3085" w:type="dxa"/>
            <w:vMerge w:val="restart"/>
          </w:tcPr>
          <w:p w:rsidR="00620719" w:rsidRDefault="00620719">
            <w:pPr>
              <w:pStyle w:val="ConsPlusNormal"/>
            </w:pPr>
            <w:r>
              <w:t>Муниципальное предприятие "ЖЭК-3" Ханты-Мансийского района</w:t>
            </w:r>
          </w:p>
        </w:tc>
        <w:tc>
          <w:tcPr>
            <w:tcW w:w="5812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Горноправдинск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Горноправдинск</w:t>
            </w:r>
            <w:proofErr w:type="spellEnd"/>
            <w:r>
              <w:t>)</w:t>
            </w: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23,05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1939,47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 (с учетом НДС &lt;*&gt;)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27,66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2327,36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3.</w:t>
            </w:r>
          </w:p>
        </w:tc>
        <w:tc>
          <w:tcPr>
            <w:tcW w:w="3085" w:type="dxa"/>
            <w:vMerge w:val="restart"/>
          </w:tcPr>
          <w:p w:rsidR="00620719" w:rsidRDefault="00620719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5812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(за исключением котельной N 4 по улице Крымская, дом 39а, котельной N 6 по улице Крымская, дом 12а, котельной по улице </w:t>
            </w:r>
            <w:proofErr w:type="spellStart"/>
            <w:r>
              <w:t>Долгопрудная</w:t>
            </w:r>
            <w:proofErr w:type="spellEnd"/>
            <w:r>
              <w:t>, 5)</w:t>
            </w: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100,27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3519,81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 w:val="restart"/>
          </w:tcPr>
          <w:p w:rsidR="00620719" w:rsidRDefault="00620719">
            <w:pPr>
              <w:pStyle w:val="ConsPlusNormal"/>
            </w:pPr>
            <w:r>
              <w:t>городское поселение Приобье Октябрьского муниципального района Ханты-Мансийского автономного округа - Югры (от котельных N 4 по улице Крымская, 39а, N 6 по улице Крымская, 12а)</w:t>
            </w: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100,27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</w:t>
            </w:r>
            <w:r>
              <w:lastRenderedPageBreak/>
              <w:t>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lastRenderedPageBreak/>
              <w:t>1874,94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120,32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2249,93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(от котельной по ул. </w:t>
            </w:r>
            <w:proofErr w:type="spellStart"/>
            <w:r>
              <w:t>Долгопрудная</w:t>
            </w:r>
            <w:proofErr w:type="spellEnd"/>
            <w:r>
              <w:t>, д. 5)</w:t>
            </w: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42,97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1688,02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51,56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085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5812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3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3181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714" w:type="dxa"/>
          </w:tcPr>
          <w:p w:rsidR="00620719" w:rsidRDefault="00620719">
            <w:pPr>
              <w:pStyle w:val="ConsPlusNormal"/>
            </w:pPr>
            <w:r>
              <w:t>2025,62</w:t>
            </w:r>
          </w:p>
        </w:tc>
      </w:tr>
    </w:tbl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ind w:firstLine="540"/>
        <w:jc w:val="both"/>
      </w:pPr>
      <w:r>
        <w:t>--------------------------------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4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  <w:jc w:val="right"/>
        <w:outlineLvl w:val="0"/>
      </w:pPr>
      <w:r>
        <w:lastRenderedPageBreak/>
        <w:t>Приложение 2</w:t>
      </w:r>
    </w:p>
    <w:p w:rsidR="00620719" w:rsidRDefault="00620719">
      <w:pPr>
        <w:pStyle w:val="ConsPlusNormal"/>
        <w:jc w:val="right"/>
      </w:pPr>
      <w:r>
        <w:t>к приказу</w:t>
      </w:r>
    </w:p>
    <w:p w:rsidR="00620719" w:rsidRDefault="00620719">
      <w:pPr>
        <w:pStyle w:val="ConsPlusNormal"/>
        <w:jc w:val="right"/>
      </w:pPr>
      <w:r>
        <w:t>Региональной службы по тарифам Ханты-Мансийского</w:t>
      </w:r>
    </w:p>
    <w:p w:rsidR="00620719" w:rsidRDefault="00620719">
      <w:pPr>
        <w:pStyle w:val="ConsPlusNormal"/>
        <w:jc w:val="right"/>
      </w:pPr>
      <w:r>
        <w:t>автономного округа - Югры</w:t>
      </w:r>
    </w:p>
    <w:p w:rsidR="00620719" w:rsidRDefault="00620719">
      <w:pPr>
        <w:pStyle w:val="ConsPlusNormal"/>
        <w:jc w:val="right"/>
      </w:pPr>
      <w:r>
        <w:t>от 29 ноября 2022 года N 101-нп</w:t>
      </w:r>
    </w:p>
    <w:p w:rsidR="00620719" w:rsidRDefault="00620719">
      <w:pPr>
        <w:pStyle w:val="ConsPlusNormal"/>
      </w:pPr>
    </w:p>
    <w:p w:rsidR="00620719" w:rsidRDefault="00620719">
      <w:pPr>
        <w:pStyle w:val="ConsPlusTitle"/>
        <w:jc w:val="center"/>
      </w:pPr>
      <w:bookmarkStart w:id="1" w:name="P129"/>
      <w:bookmarkEnd w:id="1"/>
      <w:r>
        <w:t>ТАРИФЫ</w:t>
      </w:r>
    </w:p>
    <w:p w:rsidR="00620719" w:rsidRDefault="00620719">
      <w:pPr>
        <w:pStyle w:val="ConsPlusTitle"/>
        <w:jc w:val="center"/>
      </w:pPr>
      <w:r>
        <w:t>НА ГОРЯЧУЮ ВОДУ В ЗАКРЫТОЙ СИСТЕМЕ ГОРЯЧЕГО ВОДОСНАБЖЕНИЯ</w:t>
      </w:r>
    </w:p>
    <w:p w:rsidR="00620719" w:rsidRDefault="00620719">
      <w:pPr>
        <w:pStyle w:val="ConsPlusTitle"/>
        <w:jc w:val="center"/>
      </w:pPr>
      <w:r>
        <w:t>ДЛЯ ОРГАНИЗАЦИЙ, ОСУЩЕСТВЛЯЮЩИХ ГОРЯЧЕЕ ВОДОСНАБЖЕНИЕ</w:t>
      </w:r>
    </w:p>
    <w:p w:rsidR="00620719" w:rsidRDefault="006207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6207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от 12.12.2024 N 118-нп)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</w:tr>
    </w:tbl>
    <w:p w:rsidR="00620719" w:rsidRDefault="006207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09"/>
        <w:gridCol w:w="1843"/>
        <w:gridCol w:w="1559"/>
        <w:gridCol w:w="1729"/>
        <w:gridCol w:w="1248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420" w:type="dxa"/>
            <w:gridSpan w:val="13"/>
          </w:tcPr>
          <w:p w:rsidR="00620719" w:rsidRDefault="00620719">
            <w:pPr>
              <w:pStyle w:val="ConsPlusNormal"/>
              <w:jc w:val="center"/>
            </w:pPr>
            <w:r>
              <w:t>На период с 1 декабря 2022 года по 31 декабря 2027 года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организаций, осуществляющих горячее водоснабжение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729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компонента</w:t>
            </w:r>
          </w:p>
        </w:tc>
        <w:tc>
          <w:tcPr>
            <w:tcW w:w="8480" w:type="dxa"/>
            <w:gridSpan w:val="9"/>
          </w:tcPr>
          <w:p w:rsidR="00620719" w:rsidRDefault="00620719">
            <w:pPr>
              <w:pStyle w:val="ConsPlusNormal"/>
              <w:jc w:val="center"/>
            </w:pPr>
            <w:r>
              <w:t>Тарифы в сфере горячего водоснабжения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248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с 1 декабря 2022 года по 31 декабря 2023 года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2027 год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248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620719" w:rsidTr="00620719">
        <w:tc>
          <w:tcPr>
            <w:tcW w:w="454" w:type="dxa"/>
          </w:tcPr>
          <w:p w:rsidR="00620719" w:rsidRDefault="006207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9" w:type="dxa"/>
          </w:tcPr>
          <w:p w:rsidR="00620719" w:rsidRDefault="00620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20719" w:rsidRDefault="00620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20719" w:rsidRDefault="00620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14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1.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>Некоммерческая организация "Товарищество собственников жилья "Факел" &lt;**&gt;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47,11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47,11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51,62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51,62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56,27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56,27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59,30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59,30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59,60 &lt;**&gt;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1154,08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1134,18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1134,18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1134,18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1236,25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1236,25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1303,02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1303,02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1365,56 &lt;**&gt;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47,11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47,11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51,62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51,62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56,27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56,27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59,30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59,30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59,60 &lt;**&gt;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1154,08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1134,18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1134,18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1134,18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1236,25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1236,25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1303,02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1303,02 &lt;**&gt;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1365,56 &lt;**&gt;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2.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Югорскэнергогаз</w:t>
            </w:r>
            <w:proofErr w:type="spellEnd"/>
            <w:r>
              <w:t>"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>городской округ Югорск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48,34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48,34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52,68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52,68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57,42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57,42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57,72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57,72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60,36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2047,33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2047,33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2243,83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2243,83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2445,77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2445,77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2577,82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2577,82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2701,55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58,01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58,01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68,90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68,90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69,26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69,26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72,43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2456,80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2456,80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2692,60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2692,60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2934,92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2934,92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3093,38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3093,38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3241,86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3.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"Южно-</w:t>
            </w:r>
            <w:proofErr w:type="spellStart"/>
            <w:r>
              <w:t>Балыкский</w:t>
            </w:r>
            <w:proofErr w:type="spellEnd"/>
            <w:r>
              <w:t xml:space="preserve"> газоперерабатывающий завод" - </w:t>
            </w:r>
            <w:r>
              <w:lastRenderedPageBreak/>
              <w:t>филиал открытого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lastRenderedPageBreak/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39,26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39,26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43,02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43,02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46,89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46,89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49,42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49,42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49,67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961,73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945,15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945,15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945,15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1030,21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1030,21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1085,85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1085,85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1137,97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4.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57,95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57,95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63,51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63,51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71,17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71,17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73,89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422,30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422,30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462,83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462,83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504,48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504,48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531,72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531,72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557,25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69,54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76,21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76,21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83,06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83,06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85,40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85,40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88,67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506,76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506,76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555,40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555,40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605,38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605,38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638,06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638,06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668,70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5.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Сосновское линейное </w:t>
            </w:r>
            <w:r>
              <w:lastRenderedPageBreak/>
              <w:t>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lastRenderedPageBreak/>
              <w:t>сельское поселение Сосновка Белоярского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42,33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42,33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46,39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46,39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50,56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50,56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51,45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51,45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53,92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331,97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331,97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363,83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363,83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396,58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396,58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417,99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417,99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438,06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 xml:space="preserve">(с учетом НДС </w:t>
            </w:r>
            <w:r>
              <w:lastRenderedPageBreak/>
              <w:t>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</w:t>
            </w:r>
            <w:r>
              <w:lastRenderedPageBreak/>
              <w:t>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lastRenderedPageBreak/>
              <w:t>50,80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50,80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55,67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55,67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60,67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60,67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61,74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61,74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64,70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398,36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398,36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436,60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436,60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475,90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475,90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501,59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501,59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525,67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6.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56,24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56,24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61,64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61,64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67,18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67,18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70,81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70,81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74,21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952,33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952,33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1043,75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1043,75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1136,27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1136,27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1200,87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1200,87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1223,25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67,49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67,49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73,97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73,97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80,62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80,62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89,05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1142,80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1142,80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1252,50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1252,50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1363,52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1363,52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1441,04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1441,04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1467,90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7.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Бобровское линейное </w:t>
            </w:r>
            <w:r>
              <w:lastRenderedPageBreak/>
              <w:t>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lastRenderedPageBreak/>
              <w:t xml:space="preserve">сельское поселение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53,83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53,83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58,99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58,99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66,18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66,18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68,41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405,68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405,68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444,61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444,61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484,62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484,62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510,78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510,78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535,28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 xml:space="preserve">(с учетом НДС </w:t>
            </w:r>
            <w:r>
              <w:lastRenderedPageBreak/>
              <w:t>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</w:t>
            </w:r>
            <w:r>
              <w:lastRenderedPageBreak/>
              <w:t>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lastRenderedPageBreak/>
              <w:t>64,60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64,60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70,79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70,79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77,15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77,15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79,42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79,42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82,09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486,82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486,82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533,53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533,53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581,54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581,54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612,94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612,94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642,34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8.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Октябрьское линейное 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>городское поселение Андра Октябрьского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66,48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66,48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72,86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72,86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79,41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78,75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78,75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78,75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82,51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1202,76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1202,76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1318,22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1318,22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1436,85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1436,85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1514,42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1514,42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1561,38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79,78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79,78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87,43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87,43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95,29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94,50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94,50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94,50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99,01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1443,31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1443,31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1581,86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1581,86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1724,22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1724,22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1817,30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1817,30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1873,66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9.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Таежное линейное производственно</w:t>
            </w:r>
            <w:r>
              <w:lastRenderedPageBreak/>
              <w:t>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lastRenderedPageBreak/>
              <w:t>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70,79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70,79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77,57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77,57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84,55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84,55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86,77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86,77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86,77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1210,90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1210,90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1327,12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1327,12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1399,65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1399,65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1475,17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1475,17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1494,63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 xml:space="preserve">(с учетом НДС </w:t>
            </w:r>
            <w:r>
              <w:lastRenderedPageBreak/>
              <w:t>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</w:t>
            </w:r>
            <w:r>
              <w:lastRenderedPageBreak/>
              <w:t>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lastRenderedPageBreak/>
              <w:t>84,95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84,95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101,46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101,46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104,12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104,12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104,12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1453,08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1453,08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1592,54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1592,54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1679,58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1679,58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1770,20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1770,20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1793,56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10.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>сельское поселение Перегребное Октябрьского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70,29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77,04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77,04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83,97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83,97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84,09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84,09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88,12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1094,58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1094,58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1199,63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1199,63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1306,96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1306,96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1310,85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1310,85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1325,63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84,35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84,35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92,45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92,45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100,76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100,76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100,91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100,91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105,74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1313,50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1313,50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1439,56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1439,56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1568,35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1568,35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1573,02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1573,02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1590,76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11.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Уральское линейное </w:t>
            </w:r>
            <w:r>
              <w:lastRenderedPageBreak/>
              <w:t>производственное управление магистральных газопроводов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lastRenderedPageBreak/>
              <w:t>сельское поселение Приполярный Березовского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57,78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57,78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69,03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69,03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72,54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72,54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76,02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593,30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593,30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616,53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616,53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672,00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672,00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708,29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708,29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742,26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 xml:space="preserve">(с учетом НДС </w:t>
            </w:r>
            <w:r>
              <w:lastRenderedPageBreak/>
              <w:t>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</w:t>
            </w:r>
            <w:r>
              <w:lastRenderedPageBreak/>
              <w:t>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lastRenderedPageBreak/>
              <w:t>69,34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69,34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76,00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76,00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82,84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82,84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87,05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87,05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91,22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711,96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711,96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739,84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739,84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806,40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806,40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849,95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849,95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890,71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12.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>Муниципальное предприятие "ЖЭК-3" Ханты-Мансийского района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Выкатной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Выкатной</w:t>
            </w:r>
            <w:proofErr w:type="spellEnd"/>
            <w:r>
              <w:t>)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117,64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117,64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128,10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128,10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139,62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138,05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138,05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138,05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144,65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3373,55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3373,55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3697,33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3697,33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4029,97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3971,05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3971,05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3971,05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4161,19</w:t>
            </w: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13.</w:t>
            </w:r>
          </w:p>
        </w:tc>
        <w:tc>
          <w:tcPr>
            <w:tcW w:w="1809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>" муниципального образования Березовский район</w:t>
            </w:r>
          </w:p>
        </w:tc>
        <w:tc>
          <w:tcPr>
            <w:tcW w:w="1843" w:type="dxa"/>
            <w:vMerge w:val="restart"/>
          </w:tcPr>
          <w:p w:rsidR="00620719" w:rsidRDefault="00620719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51,71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51,71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56,67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56,67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61,77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61,77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64,52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64,52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66,35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0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843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1248" w:type="dxa"/>
          </w:tcPr>
          <w:p w:rsidR="00620719" w:rsidRDefault="00620719">
            <w:pPr>
              <w:pStyle w:val="ConsPlusNormal"/>
            </w:pPr>
            <w:r>
              <w:t>2159,63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2159,63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2224,20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2118,29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2308,93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2308,93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2433,61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2433,61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2550,42</w:t>
            </w:r>
          </w:p>
        </w:tc>
      </w:tr>
    </w:tbl>
    <w:p w:rsidR="00620719" w:rsidRDefault="00620719">
      <w:pPr>
        <w:pStyle w:val="ConsPlusNormal"/>
        <w:sectPr w:rsidR="00620719" w:rsidSect="00620719">
          <w:pgSz w:w="16838" w:h="11905" w:orient="landscape"/>
          <w:pgMar w:top="1418" w:right="397" w:bottom="850" w:left="397" w:header="0" w:footer="0" w:gutter="0"/>
          <w:cols w:space="720"/>
          <w:titlePg/>
        </w:sectPr>
      </w:pPr>
    </w:p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ind w:firstLine="540"/>
        <w:jc w:val="both"/>
      </w:pPr>
      <w:r>
        <w:t>--------------------------------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 xml:space="preserve">&lt;**&gt; Применяют упрощенную систему налогообложения в соответствии с </w:t>
      </w:r>
      <w:hyperlink r:id="rId27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НДС не облагается в соответствии с </w:t>
      </w:r>
      <w:hyperlink r:id="rId28">
        <w:r>
          <w:rPr>
            <w:color w:val="0000FF"/>
          </w:rPr>
          <w:t>абзацем 3 пункта 1 статьи 145 главы 21</w:t>
        </w:r>
      </w:hyperlink>
      <w:r>
        <w:t xml:space="preserve"> Налогового кодекса Российской Федерации.</w:t>
      </w:r>
    </w:p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ind w:firstLine="540"/>
        <w:jc w:val="both"/>
      </w:pPr>
      <w:r>
        <w:t>Примечание: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>Долгосрочные параметры регулирования тарифов в отношении компонентов на тепловую энергию и на холодное водоснабжение на 2023 - 2027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</w:pPr>
    </w:p>
    <w:p w:rsidR="00620719" w:rsidRDefault="00620719">
      <w:pPr>
        <w:pStyle w:val="ConsPlusNormal"/>
        <w:jc w:val="both"/>
      </w:pPr>
    </w:p>
    <w:p w:rsidR="00620719" w:rsidRDefault="00620719">
      <w:pPr>
        <w:pStyle w:val="ConsPlusNormal"/>
        <w:jc w:val="right"/>
        <w:outlineLvl w:val="0"/>
      </w:pPr>
      <w:r>
        <w:t>Приложение 3</w:t>
      </w:r>
    </w:p>
    <w:p w:rsidR="00620719" w:rsidRDefault="00620719">
      <w:pPr>
        <w:pStyle w:val="ConsPlusNormal"/>
        <w:jc w:val="right"/>
      </w:pPr>
      <w:r>
        <w:t>к приказу</w:t>
      </w:r>
    </w:p>
    <w:p w:rsidR="00620719" w:rsidRDefault="00620719">
      <w:pPr>
        <w:pStyle w:val="ConsPlusNormal"/>
        <w:jc w:val="right"/>
      </w:pPr>
      <w:r>
        <w:t>Региональной службы по тарифам Ханты-Мансийского</w:t>
      </w:r>
    </w:p>
    <w:p w:rsidR="00620719" w:rsidRDefault="00620719">
      <w:pPr>
        <w:pStyle w:val="ConsPlusNormal"/>
        <w:jc w:val="right"/>
      </w:pPr>
      <w:r>
        <w:t>автономного округа - Югры</w:t>
      </w:r>
    </w:p>
    <w:p w:rsidR="00620719" w:rsidRDefault="00620719">
      <w:pPr>
        <w:pStyle w:val="ConsPlusNormal"/>
        <w:jc w:val="right"/>
      </w:pPr>
      <w:r>
        <w:t>от 29 ноября 2022 года N 101-нп</w:t>
      </w:r>
    </w:p>
    <w:p w:rsidR="00620719" w:rsidRDefault="00620719">
      <w:pPr>
        <w:pStyle w:val="ConsPlusNormal"/>
      </w:pPr>
    </w:p>
    <w:p w:rsidR="00620719" w:rsidRDefault="00620719">
      <w:pPr>
        <w:pStyle w:val="ConsPlusTitle"/>
        <w:jc w:val="center"/>
      </w:pPr>
      <w:bookmarkStart w:id="2" w:name="P731"/>
      <w:bookmarkEnd w:id="2"/>
      <w:r>
        <w:t>ТАРИФЫ</w:t>
      </w:r>
    </w:p>
    <w:p w:rsidR="00620719" w:rsidRDefault="00620719">
      <w:pPr>
        <w:pStyle w:val="ConsPlusTitle"/>
        <w:jc w:val="center"/>
      </w:pPr>
      <w:r>
        <w:t>НА ГОРЯЧУЮ ВОДУ В ЗАКРЫТОЙ СИСТЕМЕ ГОРЯЧЕГО ВОДОСНАБЖЕНИЯ</w:t>
      </w:r>
    </w:p>
    <w:p w:rsidR="00620719" w:rsidRDefault="00620719">
      <w:pPr>
        <w:pStyle w:val="ConsPlusTitle"/>
        <w:jc w:val="center"/>
      </w:pPr>
      <w:r>
        <w:t>ДЛЯ ОБЩЕСТВА С ОГРАНИЧЕННОЙ ОТВЕТСТВЕННОСТЬЮ "КОНЦЕССИОННАЯ</w:t>
      </w:r>
    </w:p>
    <w:p w:rsidR="00620719" w:rsidRDefault="00620719">
      <w:pPr>
        <w:pStyle w:val="ConsPlusTitle"/>
        <w:jc w:val="center"/>
      </w:pPr>
      <w:r>
        <w:t>КОММУНАЛЬНАЯ КОМПАНИЯ", ОСУЩЕСТВЛЯЮЩЕГО ГОРЯЧЕЕ</w:t>
      </w:r>
    </w:p>
    <w:p w:rsidR="00620719" w:rsidRDefault="00620719">
      <w:pPr>
        <w:pStyle w:val="ConsPlusTitle"/>
        <w:jc w:val="center"/>
      </w:pPr>
      <w:r>
        <w:t>ВОДОСНАБЖЕНИЕ</w:t>
      </w:r>
    </w:p>
    <w:p w:rsidR="00620719" w:rsidRDefault="006207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207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620719" w:rsidRDefault="00620719">
            <w:pPr>
              <w:pStyle w:val="ConsPlusNormal"/>
              <w:jc w:val="center"/>
            </w:pPr>
            <w:r>
              <w:rPr>
                <w:color w:val="392C69"/>
              </w:rPr>
              <w:t>от 12.12.2024 N 118-нп)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19" w:rsidRDefault="00620719">
            <w:pPr>
              <w:pStyle w:val="ConsPlusNormal"/>
            </w:pPr>
          </w:p>
        </w:tc>
      </w:tr>
    </w:tbl>
    <w:p w:rsidR="00620719" w:rsidRDefault="00620719">
      <w:pPr>
        <w:pStyle w:val="ConsPlusNormal"/>
        <w:jc w:val="center"/>
      </w:pPr>
    </w:p>
    <w:p w:rsidR="00620719" w:rsidRDefault="00620719">
      <w:pPr>
        <w:pStyle w:val="ConsPlusNormal"/>
        <w:sectPr w:rsidR="0062071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84"/>
        <w:gridCol w:w="1559"/>
        <w:gridCol w:w="1040"/>
        <w:gridCol w:w="1729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656" w:type="dxa"/>
            <w:gridSpan w:val="15"/>
          </w:tcPr>
          <w:p w:rsidR="00620719" w:rsidRDefault="00620719">
            <w:pPr>
              <w:pStyle w:val="ConsPlusNormal"/>
              <w:jc w:val="center"/>
            </w:pPr>
            <w:r>
              <w:t>На период с 1 декабря 2022 года по 31 декабря 2028 года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384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организаций, осуществляющих горячее водоснабжение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040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729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Наименование компонента</w:t>
            </w:r>
          </w:p>
        </w:tc>
        <w:tc>
          <w:tcPr>
            <w:tcW w:w="9944" w:type="dxa"/>
            <w:gridSpan w:val="11"/>
          </w:tcPr>
          <w:p w:rsidR="00620719" w:rsidRDefault="00620719">
            <w:pPr>
              <w:pStyle w:val="ConsPlusNormal"/>
              <w:jc w:val="center"/>
            </w:pPr>
            <w:r>
              <w:t>Тарифы в сфере горячего водоснабжения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38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040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904" w:type="dxa"/>
            <w:vMerge w:val="restart"/>
          </w:tcPr>
          <w:p w:rsidR="00620719" w:rsidRDefault="00620719">
            <w:pPr>
              <w:pStyle w:val="ConsPlusNormal"/>
              <w:jc w:val="center"/>
            </w:pPr>
            <w:r>
              <w:t>с 1 декабря 2022 года по 31 декабря 2023 года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808" w:type="dxa"/>
            <w:gridSpan w:val="2"/>
          </w:tcPr>
          <w:p w:rsidR="00620719" w:rsidRDefault="00620719">
            <w:pPr>
              <w:pStyle w:val="ConsPlusNormal"/>
              <w:jc w:val="center"/>
            </w:pPr>
            <w:r>
              <w:t>2028 год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38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040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90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</w:t>
            </w:r>
            <w:bookmarkStart w:id="3" w:name="_GoBack"/>
            <w:bookmarkEnd w:id="3"/>
            <w:r>
              <w:t>1 декабря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620719" w:rsidTr="00620719">
        <w:tc>
          <w:tcPr>
            <w:tcW w:w="454" w:type="dxa"/>
          </w:tcPr>
          <w:p w:rsidR="00620719" w:rsidRDefault="006207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4" w:type="dxa"/>
          </w:tcPr>
          <w:p w:rsidR="00620719" w:rsidRDefault="00620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20719" w:rsidRDefault="00620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40" w:type="dxa"/>
          </w:tcPr>
          <w:p w:rsidR="00620719" w:rsidRDefault="00620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620719" w:rsidRDefault="00620719">
            <w:pPr>
              <w:pStyle w:val="ConsPlusNormal"/>
              <w:jc w:val="center"/>
            </w:pPr>
          </w:p>
        </w:tc>
      </w:tr>
      <w:tr w:rsidR="00620719" w:rsidTr="00620719">
        <w:tc>
          <w:tcPr>
            <w:tcW w:w="454" w:type="dxa"/>
            <w:vMerge w:val="restart"/>
          </w:tcPr>
          <w:p w:rsidR="00620719" w:rsidRDefault="00620719">
            <w:pPr>
              <w:pStyle w:val="ConsPlusNormal"/>
            </w:pPr>
            <w:r>
              <w:t>1.</w:t>
            </w:r>
          </w:p>
        </w:tc>
        <w:tc>
          <w:tcPr>
            <w:tcW w:w="1384" w:type="dxa"/>
            <w:vMerge w:val="restart"/>
          </w:tcPr>
          <w:p w:rsidR="00620719" w:rsidRDefault="00620719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  <w:tc>
          <w:tcPr>
            <w:tcW w:w="1559" w:type="dxa"/>
            <w:vMerge w:val="restart"/>
          </w:tcPr>
          <w:p w:rsidR="00620719" w:rsidRDefault="00620719">
            <w:pPr>
              <w:pStyle w:val="ConsPlusNormal"/>
            </w:pPr>
            <w:r>
              <w:t>городской округ Когалым Ханты-Мансийского автономного округа - Югры</w:t>
            </w:r>
          </w:p>
        </w:tc>
        <w:tc>
          <w:tcPr>
            <w:tcW w:w="1040" w:type="dxa"/>
            <w:vMerge w:val="restart"/>
          </w:tcPr>
          <w:p w:rsidR="00620719" w:rsidRDefault="00620719">
            <w:pPr>
              <w:pStyle w:val="ConsPlusNormal"/>
            </w:pPr>
            <w:r>
              <w:t>Для прочих потребителей</w:t>
            </w:r>
          </w:p>
          <w:p w:rsidR="00620719" w:rsidRDefault="00620719">
            <w:pPr>
              <w:pStyle w:val="ConsPlusNormal"/>
            </w:pPr>
            <w:r>
              <w:t>(без учета НДС)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40,63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40,63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44,53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44,53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48,52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48,52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48,56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48,56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50,54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52,97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38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040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1750,36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1750,36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1844,21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1844,21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2010,19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1910,90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1910,90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1910,90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2002,61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1936,26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1936,26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38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040" w:type="dxa"/>
            <w:vMerge w:val="restart"/>
          </w:tcPr>
          <w:p w:rsidR="00620719" w:rsidRDefault="00620719">
            <w:pPr>
              <w:pStyle w:val="ConsPlusNormal"/>
            </w:pPr>
            <w:r>
              <w:t>Для населения</w:t>
            </w:r>
          </w:p>
          <w:p w:rsidR="00620719" w:rsidRDefault="00620719">
            <w:pPr>
              <w:pStyle w:val="ConsPlusNormal"/>
            </w:pPr>
            <w:r>
              <w:t>(с учетом НДС &lt;*&gt;)</w:t>
            </w: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48,76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53,44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53,44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58,22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58,27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58,27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60,65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60,65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63,56</w:t>
            </w:r>
          </w:p>
        </w:tc>
      </w:tr>
      <w:tr w:rsidR="00620719" w:rsidTr="00620719">
        <w:tc>
          <w:tcPr>
            <w:tcW w:w="45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384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559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040" w:type="dxa"/>
            <w:vMerge/>
          </w:tcPr>
          <w:p w:rsidR="00620719" w:rsidRDefault="00620719">
            <w:pPr>
              <w:pStyle w:val="ConsPlusNormal"/>
            </w:pPr>
          </w:p>
        </w:tc>
        <w:tc>
          <w:tcPr>
            <w:tcW w:w="1729" w:type="dxa"/>
          </w:tcPr>
          <w:p w:rsidR="00620719" w:rsidRDefault="00620719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2100,43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2100,43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2213,05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2213,05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2412,23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2293,08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2293,08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2293,08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2403,13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2323,51</w:t>
            </w:r>
          </w:p>
        </w:tc>
        <w:tc>
          <w:tcPr>
            <w:tcW w:w="904" w:type="dxa"/>
          </w:tcPr>
          <w:p w:rsidR="00620719" w:rsidRDefault="00620719">
            <w:pPr>
              <w:pStyle w:val="ConsPlusNormal"/>
            </w:pPr>
            <w:r>
              <w:t>2323,51</w:t>
            </w:r>
          </w:p>
        </w:tc>
      </w:tr>
    </w:tbl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ind w:firstLine="540"/>
        <w:jc w:val="both"/>
      </w:pPr>
      <w:r>
        <w:t>--------------------------------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lastRenderedPageBreak/>
        <w:t xml:space="preserve">&lt;*&gt; Выделяется в целях реализации </w:t>
      </w:r>
      <w:hyperlink r:id="rId30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ind w:firstLine="540"/>
        <w:jc w:val="both"/>
      </w:pPr>
      <w:r>
        <w:t>Примечание:</w:t>
      </w:r>
    </w:p>
    <w:p w:rsidR="00620719" w:rsidRDefault="00620719">
      <w:pPr>
        <w:pStyle w:val="ConsPlusNormal"/>
        <w:spacing w:before="220"/>
        <w:ind w:firstLine="540"/>
        <w:jc w:val="both"/>
      </w:pPr>
      <w:r>
        <w:t>Долгосрочные параметры регулирования тарифов в отношении компонентов на тепловую энергию и на холодное водоснабжение на 2023 - 2028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</w:p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ind w:firstLine="540"/>
        <w:jc w:val="both"/>
      </w:pPr>
    </w:p>
    <w:p w:rsidR="00620719" w:rsidRDefault="006207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19"/>
    <w:rsid w:val="002E1537"/>
    <w:rsid w:val="0062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C3375-83A7-4738-8091-D280650D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7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07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07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207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7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7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7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7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4649&amp;dst=100006" TargetMode="External"/><Relationship Id="rId13" Type="http://schemas.openxmlformats.org/officeDocument/2006/relationships/hyperlink" Target="https://login.consultant.ru/link/?req=doc&amp;base=RLAW926&amp;n=278311&amp;dst=100008" TargetMode="External"/><Relationship Id="rId18" Type="http://schemas.openxmlformats.org/officeDocument/2006/relationships/hyperlink" Target="https://login.consultant.ru/link/?req=doc&amp;base=RLAW926&amp;n=247093&amp;dst=100359" TargetMode="External"/><Relationship Id="rId26" Type="http://schemas.openxmlformats.org/officeDocument/2006/relationships/hyperlink" Target="https://login.consultant.ru/link/?req=doc&amp;base=LAW&amp;n=493219&amp;dst=146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61278&amp;dst=100009" TargetMode="External"/><Relationship Id="rId7" Type="http://schemas.openxmlformats.org/officeDocument/2006/relationships/hyperlink" Target="https://login.consultant.ru/link/?req=doc&amp;base=RLAW926&amp;n=293523&amp;dst=100006" TargetMode="External"/><Relationship Id="rId12" Type="http://schemas.openxmlformats.org/officeDocument/2006/relationships/hyperlink" Target="https://login.consultant.ru/link/?req=doc&amp;base=RLAW926&amp;n=308392" TargetMode="External"/><Relationship Id="rId17" Type="http://schemas.openxmlformats.org/officeDocument/2006/relationships/hyperlink" Target="https://login.consultant.ru/link/?req=doc&amp;base=RLAW926&amp;n=247093&amp;dst=100341" TargetMode="External"/><Relationship Id="rId25" Type="http://schemas.openxmlformats.org/officeDocument/2006/relationships/hyperlink" Target="https://login.consultant.ru/link/?req=doc&amp;base=RLAW926&amp;n=314649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4527&amp;dst=100634" TargetMode="External"/><Relationship Id="rId20" Type="http://schemas.openxmlformats.org/officeDocument/2006/relationships/hyperlink" Target="https://login.consultant.ru/link/?req=doc&amp;base=RLAW926&amp;n=247093&amp;dst=100390" TargetMode="External"/><Relationship Id="rId29" Type="http://schemas.openxmlformats.org/officeDocument/2006/relationships/hyperlink" Target="https://login.consultant.ru/link/?req=doc&amp;base=RLAW926&amp;n=31464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80020&amp;dst=100006" TargetMode="External"/><Relationship Id="rId11" Type="http://schemas.openxmlformats.org/officeDocument/2006/relationships/hyperlink" Target="https://login.consultant.ru/link/?req=doc&amp;base=LAW&amp;n=453475" TargetMode="External"/><Relationship Id="rId24" Type="http://schemas.openxmlformats.org/officeDocument/2006/relationships/hyperlink" Target="https://login.consultant.ru/link/?req=doc&amp;base=LAW&amp;n=493219&amp;dst=1460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78311&amp;dst=100007" TargetMode="External"/><Relationship Id="rId15" Type="http://schemas.openxmlformats.org/officeDocument/2006/relationships/hyperlink" Target="https://login.consultant.ru/link/?req=doc&amp;base=RLAW926&amp;n=246985&amp;dst=104730" TargetMode="External"/><Relationship Id="rId23" Type="http://schemas.openxmlformats.org/officeDocument/2006/relationships/hyperlink" Target="https://login.consultant.ru/link/?req=doc&amp;base=RLAW926&amp;n=278311&amp;dst=100009" TargetMode="External"/><Relationship Id="rId28" Type="http://schemas.openxmlformats.org/officeDocument/2006/relationships/hyperlink" Target="https://login.consultant.ru/link/?req=doc&amp;base=LAW&amp;n=493219&amp;dst=25732" TargetMode="External"/><Relationship Id="rId10" Type="http://schemas.openxmlformats.org/officeDocument/2006/relationships/hyperlink" Target="https://login.consultant.ru/link/?req=doc&amp;base=LAW&amp;n=493664" TargetMode="External"/><Relationship Id="rId19" Type="http://schemas.openxmlformats.org/officeDocument/2006/relationships/hyperlink" Target="https://login.consultant.ru/link/?req=doc&amp;base=RLAW926&amp;n=247093&amp;dst=10037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640" TargetMode="External"/><Relationship Id="rId14" Type="http://schemas.openxmlformats.org/officeDocument/2006/relationships/hyperlink" Target="https://login.consultant.ru/link/?req=doc&amp;base=RLAW926&amp;n=247090&amp;dst=102463" TargetMode="External"/><Relationship Id="rId22" Type="http://schemas.openxmlformats.org/officeDocument/2006/relationships/hyperlink" Target="https://login.consultant.ru/link/?req=doc&amp;base=RLAW926&amp;n=278311&amp;dst=100009" TargetMode="External"/><Relationship Id="rId27" Type="http://schemas.openxmlformats.org/officeDocument/2006/relationships/hyperlink" Target="https://login.consultant.ru/link/?req=doc&amp;base=LAW&amp;n=493219&amp;dst=103572" TargetMode="External"/><Relationship Id="rId30" Type="http://schemas.openxmlformats.org/officeDocument/2006/relationships/hyperlink" Target="https://login.consultant.ru/link/?req=doc&amp;base=LAW&amp;n=493219&amp;dst=14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2025-01-22T07:09:00Z</dcterms:created>
  <dcterms:modified xsi:type="dcterms:W3CDTF">2025-01-22T07:12:00Z</dcterms:modified>
</cp:coreProperties>
</file>