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86" w:rsidRDefault="0071258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2586" w:rsidRDefault="00712586">
      <w:pPr>
        <w:pStyle w:val="ConsPlusNormal"/>
        <w:jc w:val="both"/>
        <w:outlineLvl w:val="0"/>
      </w:pPr>
    </w:p>
    <w:p w:rsidR="00712586" w:rsidRDefault="00712586">
      <w:pPr>
        <w:pStyle w:val="ConsPlusTitle"/>
        <w:jc w:val="center"/>
        <w:outlineLvl w:val="0"/>
      </w:pPr>
      <w:r>
        <w:t>РЕГИОНАЛЬНАЯ СЛУЖБА ПО ТАРИФАМ</w:t>
      </w:r>
    </w:p>
    <w:p w:rsidR="00712586" w:rsidRDefault="00712586">
      <w:pPr>
        <w:pStyle w:val="ConsPlusTitle"/>
        <w:jc w:val="center"/>
      </w:pPr>
      <w:r>
        <w:t>ХАНТЫ-МАНСИЙСКОГО АВТОНОМНОГО ОКРУГА - ЮГРЫ</w:t>
      </w:r>
    </w:p>
    <w:p w:rsidR="00712586" w:rsidRDefault="00712586">
      <w:pPr>
        <w:pStyle w:val="ConsPlusTitle"/>
        <w:jc w:val="center"/>
      </w:pPr>
    </w:p>
    <w:p w:rsidR="00712586" w:rsidRDefault="00712586">
      <w:pPr>
        <w:pStyle w:val="ConsPlusTitle"/>
        <w:jc w:val="center"/>
      </w:pPr>
      <w:r>
        <w:t>ПРИКАЗ</w:t>
      </w:r>
    </w:p>
    <w:p w:rsidR="00712586" w:rsidRDefault="00712586">
      <w:pPr>
        <w:pStyle w:val="ConsPlusTitle"/>
        <w:jc w:val="center"/>
      </w:pPr>
      <w:r>
        <w:t>от 23 ноября 2017 г. N 131-нп</w:t>
      </w:r>
    </w:p>
    <w:p w:rsidR="00712586" w:rsidRDefault="00712586">
      <w:pPr>
        <w:pStyle w:val="ConsPlusTitle"/>
        <w:jc w:val="center"/>
      </w:pPr>
    </w:p>
    <w:p w:rsidR="00712586" w:rsidRDefault="00712586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712586" w:rsidRDefault="00712586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712586" w:rsidRDefault="00712586">
      <w:pPr>
        <w:pStyle w:val="ConsPlusTitle"/>
        <w:jc w:val="center"/>
      </w:pPr>
      <w:r>
        <w:t>ВОДОСНАБЖЕНИЕ И ВОДООТВЕДЕНИЕ</w:t>
      </w:r>
    </w:p>
    <w:p w:rsidR="00712586" w:rsidRDefault="007125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5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5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22.11.2018 </w:t>
            </w:r>
            <w:hyperlink r:id="rId6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7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8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9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10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1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12" w:history="1">
              <w:r>
                <w:rPr>
                  <w:color w:val="0000FF"/>
                </w:rPr>
                <w:t>N 142-нп</w:t>
              </w:r>
            </w:hyperlink>
            <w:r>
              <w:rPr>
                <w:color w:val="392C69"/>
              </w:rPr>
              <w:t xml:space="preserve">, от 12.11.2020 </w:t>
            </w:r>
            <w:hyperlink r:id="rId13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14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15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16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17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18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19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20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</w:tr>
    </w:tbl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23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холодное водоснабжение и водоотведение, и протокола правления Региональной службы по тарифам Ханты-Мансийского автономного округа - Югры от 23 ноября 2017 года N 76 приказываю:</w:t>
      </w:r>
    </w:p>
    <w:p w:rsidR="00712586" w:rsidRDefault="00712586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2018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39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712586" w:rsidRDefault="00712586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2018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719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712586" w:rsidRDefault="00712586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97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2018 - 2022 годы, согласно приложению 3 к настоящему приказу.</w:t>
      </w:r>
    </w:p>
    <w:p w:rsidR="00712586" w:rsidRDefault="00712586">
      <w:pPr>
        <w:pStyle w:val="ConsPlusNormal"/>
        <w:spacing w:before="220"/>
        <w:ind w:firstLine="540"/>
        <w:jc w:val="both"/>
      </w:pPr>
      <w:r>
        <w:t xml:space="preserve">4. Установить организациям, осуществляющим водоотведение, долгосрочные </w:t>
      </w:r>
      <w:hyperlink w:anchor="P1366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на 2018 - 2022 годы, согласно приложению 4 к настоящему приказу.</w:t>
      </w:r>
    </w:p>
    <w:p w:rsidR="00712586" w:rsidRDefault="00712586">
      <w:pPr>
        <w:pStyle w:val="ConsPlusNormal"/>
        <w:spacing w:before="220"/>
        <w:ind w:firstLine="540"/>
        <w:jc w:val="both"/>
      </w:pPr>
      <w:r>
        <w:t>5. Настоящий приказ вступает в силу по истечении десяти дней с момента его официального опубликования.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right"/>
      </w:pPr>
      <w:r>
        <w:lastRenderedPageBreak/>
        <w:t>Руководитель службы</w:t>
      </w:r>
    </w:p>
    <w:p w:rsidR="00712586" w:rsidRDefault="00712586">
      <w:pPr>
        <w:pStyle w:val="ConsPlusNormal"/>
        <w:jc w:val="right"/>
      </w:pPr>
      <w:r>
        <w:t>А.А.БЕРЕЗОВСКИЙ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right"/>
        <w:outlineLvl w:val="0"/>
      </w:pPr>
      <w:r>
        <w:t>Приложение 1</w:t>
      </w:r>
    </w:p>
    <w:p w:rsidR="00712586" w:rsidRDefault="00712586">
      <w:pPr>
        <w:pStyle w:val="ConsPlusNormal"/>
        <w:jc w:val="right"/>
      </w:pPr>
      <w:r>
        <w:t>к приказу Региональной службы</w:t>
      </w:r>
    </w:p>
    <w:p w:rsidR="00712586" w:rsidRDefault="00712586">
      <w:pPr>
        <w:pStyle w:val="ConsPlusNormal"/>
        <w:jc w:val="right"/>
      </w:pPr>
      <w:r>
        <w:t>по тарифам Ханты-Мансийского</w:t>
      </w:r>
    </w:p>
    <w:p w:rsidR="00712586" w:rsidRDefault="00712586">
      <w:pPr>
        <w:pStyle w:val="ConsPlusNormal"/>
        <w:jc w:val="right"/>
      </w:pPr>
      <w:r>
        <w:t>автономного округа - Югры</w:t>
      </w:r>
    </w:p>
    <w:p w:rsidR="00712586" w:rsidRDefault="00712586">
      <w:pPr>
        <w:pStyle w:val="ConsPlusNormal"/>
        <w:jc w:val="right"/>
      </w:pPr>
      <w:r>
        <w:t>от 23 ноября 2017 года N 131-нп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Title"/>
        <w:jc w:val="center"/>
      </w:pPr>
      <w:bookmarkStart w:id="0" w:name="P39"/>
      <w:bookmarkEnd w:id="0"/>
      <w:r>
        <w:t>ОДНОСТАВОЧНЫЕ ТАРИФЫ</w:t>
      </w:r>
    </w:p>
    <w:p w:rsidR="00712586" w:rsidRDefault="00712586">
      <w:pPr>
        <w:pStyle w:val="ConsPlusTitle"/>
        <w:jc w:val="center"/>
      </w:pPr>
      <w:r>
        <w:t>В СФЕРЕ ХОЛОДНОГО ВОДОСНАБЖЕНИЯ ДЛЯ ОРГАНИЗАЦИЙ,</w:t>
      </w:r>
    </w:p>
    <w:p w:rsidR="00712586" w:rsidRDefault="00712586">
      <w:pPr>
        <w:pStyle w:val="ConsPlusTitle"/>
        <w:jc w:val="center"/>
      </w:pPr>
      <w:r>
        <w:t>ОСУЩЕСТВЛЯЮЩИХ ХОЛОДНОЕ ВОДОСНАБЖЕНИЕ</w:t>
      </w:r>
    </w:p>
    <w:p w:rsidR="00712586" w:rsidRDefault="007125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5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25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22.11.2018 </w:t>
            </w:r>
            <w:hyperlink r:id="rId26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27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28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29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30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31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32" w:history="1">
              <w:r>
                <w:rPr>
                  <w:color w:val="0000FF"/>
                </w:rPr>
                <w:t>N 142-нп</w:t>
              </w:r>
            </w:hyperlink>
            <w:r>
              <w:rPr>
                <w:color w:val="392C69"/>
              </w:rPr>
              <w:t xml:space="preserve">, от 12.11.2020 </w:t>
            </w:r>
            <w:hyperlink r:id="rId33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34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35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36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37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38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39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</w:tr>
    </w:tbl>
    <w:p w:rsidR="00712586" w:rsidRDefault="00712586">
      <w:pPr>
        <w:pStyle w:val="ConsPlusNormal"/>
        <w:jc w:val="both"/>
      </w:pPr>
    </w:p>
    <w:p w:rsidR="00712586" w:rsidRDefault="00712586">
      <w:pPr>
        <w:sectPr w:rsidR="00712586" w:rsidSect="00A76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1701"/>
        <w:gridCol w:w="852"/>
        <w:gridCol w:w="849"/>
        <w:gridCol w:w="850"/>
        <w:gridCol w:w="851"/>
        <w:gridCol w:w="850"/>
        <w:gridCol w:w="851"/>
        <w:gridCol w:w="851"/>
        <w:gridCol w:w="850"/>
        <w:gridCol w:w="850"/>
        <w:gridCol w:w="851"/>
      </w:tblGrid>
      <w:tr w:rsidR="00712586" w:rsidTr="00712586">
        <w:tc>
          <w:tcPr>
            <w:tcW w:w="15593" w:type="dxa"/>
            <w:gridSpan w:val="15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На период с 1 января 2018 года по 31 декабря 2022 года</w:t>
            </w:r>
          </w:p>
        </w:tc>
      </w:tr>
      <w:tr w:rsidR="00712586" w:rsidTr="00712586">
        <w:tc>
          <w:tcPr>
            <w:tcW w:w="425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418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701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505" w:type="dxa"/>
            <w:gridSpan w:val="10"/>
            <w:vAlign w:val="center"/>
          </w:tcPr>
          <w:p w:rsidR="00712586" w:rsidRDefault="00712586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</w:t>
            </w:r>
          </w:p>
        </w:tc>
      </w:tr>
      <w:tr w:rsidR="00712586" w:rsidTr="00712586">
        <w:tc>
          <w:tcPr>
            <w:tcW w:w="425" w:type="dxa"/>
            <w:vMerge/>
          </w:tcPr>
          <w:p w:rsidR="00712586" w:rsidRDefault="00712586"/>
        </w:tc>
        <w:tc>
          <w:tcPr>
            <w:tcW w:w="2410" w:type="dxa"/>
            <w:vMerge/>
          </w:tcPr>
          <w:p w:rsidR="00712586" w:rsidRDefault="00712586"/>
        </w:tc>
        <w:tc>
          <w:tcPr>
            <w:tcW w:w="1418" w:type="dxa"/>
            <w:vMerge/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Merge/>
          </w:tcPr>
          <w:p w:rsidR="00712586" w:rsidRDefault="00712586"/>
        </w:tc>
        <w:tc>
          <w:tcPr>
            <w:tcW w:w="1701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01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 год</w:t>
            </w:r>
          </w:p>
        </w:tc>
      </w:tr>
      <w:tr w:rsidR="00712586" w:rsidTr="00712586">
        <w:tc>
          <w:tcPr>
            <w:tcW w:w="425" w:type="dxa"/>
            <w:vMerge/>
          </w:tcPr>
          <w:p w:rsidR="00712586" w:rsidRDefault="00712586"/>
        </w:tc>
        <w:tc>
          <w:tcPr>
            <w:tcW w:w="2410" w:type="dxa"/>
            <w:vMerge/>
          </w:tcPr>
          <w:p w:rsidR="00712586" w:rsidRDefault="00712586"/>
        </w:tc>
        <w:tc>
          <w:tcPr>
            <w:tcW w:w="1418" w:type="dxa"/>
            <w:vMerge/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Merge/>
          </w:tcPr>
          <w:p w:rsidR="00712586" w:rsidRDefault="00712586"/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12586" w:rsidTr="00712586">
        <w:tc>
          <w:tcPr>
            <w:tcW w:w="425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31,94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31,94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32,56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32,56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34,84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34,84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36,02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1 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Некоммерческая организация "Товарищество собственников жилья "Факел"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 xml:space="preserve">45,67 </w:t>
            </w:r>
            <w:hyperlink w:anchor="P6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47,50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47,50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48,45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48,45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50,14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50,14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51,84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51,84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53,60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45,67 &lt;**&gt;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47,50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47,50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48,45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48,45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50,14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50,14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51,84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51,84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53,60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сельское поселение Малый Атлым Октябрьского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548,14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548,14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559,04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559,04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578,58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578,58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598,23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598,23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618,55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636,26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646,81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657,77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670,85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670,85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694,30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694,30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717,88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717,88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742,26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385,57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393,97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393,97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401,77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401,77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415,75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415,75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429,88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429,88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439,19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454,97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464,88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472,76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482,12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482,12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498,90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498,90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515,86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515,86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527,03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407,25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419,09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417,23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425,03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425,03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439,90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439,90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453,99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453,99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464,87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480,56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494,53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500,68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510,04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510,04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527,88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527,88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544,79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544,79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557,84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3 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2586" w:rsidRDefault="00712586">
            <w:pPr>
              <w:pStyle w:val="ConsPlusNormal"/>
              <w:jc w:val="both"/>
            </w:pPr>
            <w:r>
              <w:t>N 71-нп)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Шеркальское муниципальное предприятие жилищно-коммунального </w:t>
            </w:r>
            <w:r>
              <w:lastRenderedPageBreak/>
              <w:t>хозяйства муниципального образования сельское поселение Шеркалы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сельское поселение Шеркалы Октябрьского </w:t>
            </w:r>
            <w:r>
              <w:lastRenderedPageBreak/>
              <w:t>района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 xml:space="preserve">550,88 </w:t>
            </w:r>
            <w:hyperlink w:anchor="P6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572,74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572,74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584,16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584,16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604,60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604,60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625,13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625,13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646,35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</w:t>
            </w:r>
            <w:r>
              <w:lastRenderedPageBreak/>
              <w:t xml:space="preserve">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550,88 </w:t>
            </w:r>
            <w:r>
              <w:lastRenderedPageBreak/>
              <w:t>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572,74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572,74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584,16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584,16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604,60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604,60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625,13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625,13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646,35 </w:t>
            </w:r>
            <w:r>
              <w:lastRenderedPageBreak/>
              <w:t>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155,15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161,22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161,22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164,20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164,20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166,98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166,98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172,64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172,64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178,50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155,15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161,22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161,22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164,20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164,20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166,98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166,98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172,64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172,64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178,50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техническая вода </w:t>
            </w:r>
            <w:hyperlink w:anchor="P7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486,40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505,02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505,02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515,07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515,07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532,99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532,99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551,11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551,11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560,17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486,40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505,02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505,02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515,07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515,07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532,99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532,99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551,11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551,11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560,17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техническая вода </w:t>
            </w:r>
            <w:hyperlink w:anchor="P7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175,05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178,51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178,51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181,85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181,85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188,21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188,21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192,61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192,61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197,43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175,05 &lt;**&gt;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178,51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178,51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181,85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181,85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188,21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188,21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192,61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192,61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197,43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4 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2586" w:rsidRDefault="00712586">
            <w:pPr>
              <w:pStyle w:val="ConsPlusNormal"/>
              <w:jc w:val="both"/>
            </w:pPr>
            <w:r>
              <w:t>N 71-нп)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Муниципальное предприятие жилищно-коммунального хозяйства </w:t>
            </w:r>
            <w:r>
              <w:lastRenderedPageBreak/>
              <w:t>муниципального образования сельское поселение Карымкары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сельское поселение Карымкары Октябрьского </w:t>
            </w:r>
            <w:r>
              <w:lastRenderedPageBreak/>
              <w:t>района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 xml:space="preserve">340,25 </w:t>
            </w:r>
            <w:hyperlink w:anchor="P6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353,71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353,71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360,64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360,64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373,24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373,24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377,18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377,18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390,00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</w:t>
            </w:r>
            <w:r>
              <w:lastRenderedPageBreak/>
              <w:t xml:space="preserve">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340,25 </w:t>
            </w:r>
            <w:r>
              <w:lastRenderedPageBreak/>
              <w:t>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353,71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353,71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360,64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360,64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373,24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373,24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377,18 </w:t>
            </w:r>
            <w:r>
              <w:lastRenderedPageBreak/>
              <w:t>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377,18 </w:t>
            </w:r>
            <w:r>
              <w:lastRenderedPageBreak/>
              <w:t>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390,00 </w:t>
            </w:r>
            <w:r>
              <w:lastRenderedPageBreak/>
              <w:t>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215,63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224,09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224,09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227,89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227,89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234,48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234,48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235,61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235,61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240,89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215,63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224,09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224,09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227,89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227,89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234,48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234,48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235,61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235,61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240,89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техническая вода </w:t>
            </w:r>
            <w:hyperlink w:anchor="P7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229,38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238,34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238,34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243,02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243,02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251,52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251,52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255,23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255,23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261,09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229,38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238,34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238,34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243,02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243,02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251,52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251,52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255,23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255,23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261,09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техническая вода </w:t>
            </w:r>
            <w:hyperlink w:anchor="P7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130,42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135,55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135,55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138,18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138,18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143,06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143,06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144,49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130,42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135,55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135,55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138,18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138,18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143,06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143,06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144,49 &lt;**&gt;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241,29 &lt;**&gt;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250,92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250,92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255,80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255,80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264,74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264,74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265,01 &lt;**&gt;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265,01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273,40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241,29 &lt;**&gt;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250,92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250,92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255,80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255,80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264,74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264,74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265,01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265,01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273,40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2586" w:rsidRDefault="00712586">
            <w:pPr>
              <w:pStyle w:val="ConsPlusNormal"/>
              <w:jc w:val="both"/>
            </w:pPr>
            <w:r>
              <w:t>N 71-нп)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Публичное акционерное общество "Сургутнефтегаз"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городской округ город Сургут, </w:t>
            </w:r>
            <w:proofErr w:type="spellStart"/>
            <w:r>
              <w:t>Сургутский</w:t>
            </w:r>
            <w:proofErr w:type="spellEnd"/>
            <w:r>
              <w:t xml:space="preserve"> район, Белоярский район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48,95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50,91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50,91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51,92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51,92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53,73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53,73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55,55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55,55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57,43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57,76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60,07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61,09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62,30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62,30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64,48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64,48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66,66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66,66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68,92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5,97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5,97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6,17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6 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2586" w:rsidRDefault="00712586">
            <w:pPr>
              <w:pStyle w:val="ConsPlusNormal"/>
              <w:jc w:val="both"/>
            </w:pPr>
            <w:r>
              <w:t>N 71-нп)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proofErr w:type="spellStart"/>
            <w:r>
              <w:t>Лянторское</w:t>
            </w:r>
            <w:proofErr w:type="spellEnd"/>
            <w:r>
              <w:t xml:space="preserve"> городское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водоотведения"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42,21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44,77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44,77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47,91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49,81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52,68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53,72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53,72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57,49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7 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Публичное акционерное общество "Вторая генерирующая компания оптового рынка электроэнергии" в зоне деятельности </w:t>
            </w:r>
            <w:r>
              <w:lastRenderedPageBreak/>
              <w:t xml:space="preserve">филиала Публичного акционерного общества "Вторая генерирующая компания оптового рынка электроэнергии" - </w:t>
            </w:r>
            <w:proofErr w:type="spellStart"/>
            <w:r>
              <w:t>Сургутская</w:t>
            </w:r>
            <w:proofErr w:type="spellEnd"/>
            <w:r>
              <w:t xml:space="preserve"> ГРЭС-1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>городской округ город Сургут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16,81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16,81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17,74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17,74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18,34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18,34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18,97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22,01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22,01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22,76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712586" w:rsidRDefault="00712586">
            <w:pPr>
              <w:pStyle w:val="ConsPlusNormal"/>
              <w:jc w:val="both"/>
            </w:pPr>
            <w:r>
              <w:t>N 117-нп)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Муниципальное унитарное предприятие "Сельское жилищно-коммунальное хозяйство"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Аган</w:t>
            </w:r>
            <w:proofErr w:type="spellEnd"/>
            <w:r>
              <w:t xml:space="preserve">, 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Ларьяк</w:t>
            </w:r>
            <w:proofErr w:type="spellEnd"/>
            <w:r>
              <w:t xml:space="preserve">, село </w:t>
            </w:r>
            <w:proofErr w:type="spellStart"/>
            <w:r>
              <w:t>Корлики</w:t>
            </w:r>
            <w:proofErr w:type="spellEnd"/>
            <w:r>
              <w:t xml:space="preserve">), сельское поселение Вата,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, сельское поселение </w:t>
            </w:r>
            <w:proofErr w:type="spellStart"/>
            <w:r>
              <w:t>Ваховск</w:t>
            </w:r>
            <w:proofErr w:type="spellEnd"/>
            <w:r>
              <w:t xml:space="preserve"> (поселок </w:t>
            </w:r>
            <w:proofErr w:type="spellStart"/>
            <w:r>
              <w:t>Ваховск</w:t>
            </w:r>
            <w:proofErr w:type="spellEnd"/>
            <w:r>
              <w:t xml:space="preserve">, село </w:t>
            </w:r>
            <w:proofErr w:type="spellStart"/>
            <w:r>
              <w:t>Охтеурье</w:t>
            </w:r>
            <w:proofErr w:type="spellEnd"/>
            <w:r>
              <w:t xml:space="preserve">), сельское поселение Зайцева </w:t>
            </w:r>
            <w:r>
              <w:lastRenderedPageBreak/>
              <w:t xml:space="preserve">Речка (поселок Зайцева Речка, деревня </w:t>
            </w:r>
            <w:proofErr w:type="spellStart"/>
            <w:r>
              <w:t>Вампугол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131,25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135,96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135,96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138,67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132,11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132,11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132,11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136,60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136,60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141,23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154,88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160,43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163,15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166,40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158,53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158,53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158,53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163,92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163,92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169,48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68,32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70,81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70,81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72,18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68,98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68,98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68,98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73,57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80,62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83,56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84,97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86,62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82,78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82,78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82,78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85,43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85,43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88,28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техническая вода </w:t>
            </w:r>
            <w:hyperlink w:anchor="P70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91,11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94,36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94,36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96,23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91,54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91,54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91,54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94,40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94,40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97,61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107,51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111,34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113,23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115,48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109,85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109,85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109,85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113,28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113,28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117,13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техническ</w:t>
            </w:r>
            <w:r>
              <w:lastRenderedPageBreak/>
              <w:t xml:space="preserve">ая вода </w:t>
            </w:r>
            <w:hyperlink w:anchor="P70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28,20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29,19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29,19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29,76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28,41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28,41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28,41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28,99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28,99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29,95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33,28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34,44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35,03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35,71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34,09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34,09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34,09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34,79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34,79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35,94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9 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Аганское</w:t>
            </w:r>
            <w:proofErr w:type="spellEnd"/>
            <w:r>
              <w:t xml:space="preserve"> многопрофильное жилищно-коммунальное управление"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Новоаганск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62,05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64,43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64,43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65,72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65,72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67,94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67,94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70,25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70,25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72,56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73,22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76,03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77,32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78,86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78,86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81,53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81,53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87,07</w:t>
            </w:r>
          </w:p>
        </w:tc>
      </w:tr>
      <w:tr w:rsidR="00712586" w:rsidTr="00712586"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питьевая вода </w:t>
            </w:r>
            <w:hyperlink w:anchor="P7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37,90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39,36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39,36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40,15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40,15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42,91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42,91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44,21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44,72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46,44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48,18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51,49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51,49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53,05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10 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 xml:space="preserve">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Сосьвинское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сельское поселение </w:t>
            </w:r>
            <w:proofErr w:type="spellStart"/>
            <w:r>
              <w:t>Хулимсунт</w:t>
            </w:r>
            <w:proofErr w:type="spellEnd"/>
            <w:r>
              <w:t xml:space="preserve"> </w:t>
            </w:r>
            <w:r>
              <w:lastRenderedPageBreak/>
              <w:t>Березовского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питьевая вода </w:t>
            </w:r>
            <w:hyperlink w:anchor="P7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2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43,15</w:t>
            </w:r>
          </w:p>
        </w:tc>
        <w:tc>
          <w:tcPr>
            <w:tcW w:w="84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44,86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44,86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45,75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45,75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47,35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47,35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48,95</w:t>
            </w:r>
          </w:p>
        </w:tc>
        <w:tc>
          <w:tcPr>
            <w:tcW w:w="85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48,95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50,61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4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7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50,92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52,93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53,83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56,82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56,82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58,74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58,74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60,73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55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</w:tbl>
    <w:p w:rsidR="00712586" w:rsidRDefault="00712586">
      <w:pPr>
        <w:sectPr w:rsidR="007125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ind w:firstLine="540"/>
        <w:jc w:val="both"/>
      </w:pPr>
      <w:r>
        <w:t>--------------------------------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1" w:name="P697"/>
      <w:bookmarkEnd w:id="1"/>
      <w:r>
        <w:t xml:space="preserve">&lt;*&gt; Выделяется в целях реализации </w:t>
      </w:r>
      <w:hyperlink r:id="rId5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2" w:name="P698"/>
      <w:bookmarkEnd w:id="2"/>
      <w:r>
        <w:t xml:space="preserve">&lt;**&gt; НДС не облагается в соответствии с </w:t>
      </w:r>
      <w:hyperlink r:id="rId5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ind w:firstLine="540"/>
        <w:jc w:val="both"/>
      </w:pPr>
      <w:r>
        <w:t>Примечания: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3" w:name="P701"/>
      <w:bookmarkEnd w:id="3"/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4" w:name="P702"/>
      <w:bookmarkEnd w:id="4"/>
      <w:r>
        <w:t>&lt;2&gt; Тариф учитывает следующие стадии технологического процесса: подъем воды, водоподготовка.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5" w:name="P703"/>
      <w:bookmarkEnd w:id="5"/>
      <w:r>
        <w:t>&lt;3&gt; Тариф учитывает следующие стадии технологического процесса: подъем воды, транспортировка воды.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6" w:name="P704"/>
      <w:bookmarkEnd w:id="6"/>
      <w:r>
        <w:t>&lt;4&gt; Тариф учитывает следующие стадии технологического процесса: подъем воды, транспортировка воды (вода, отпускаемая по сетям летнего водопровода).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7" w:name="P705"/>
      <w:bookmarkEnd w:id="7"/>
      <w:r>
        <w:t>&lt;5&gt; Тариф учитывает следующие стадии технологического процесса: подъем воды, водоподготовка, транспортировка воды (вода, отпускаемая по сетям летнего водопровода).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8" w:name="P706"/>
      <w:bookmarkEnd w:id="8"/>
      <w:r>
        <w:t>&lt;6&gt; Тариф учитывает следующие стадии технологического процесса: подъем воды, транспортировка воды.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9" w:name="P707"/>
      <w:bookmarkEnd w:id="9"/>
      <w:r>
        <w:t>&lt;7&gt; Тариф учитывает следующие стадии технологического процесса: подъем воды.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right"/>
        <w:outlineLvl w:val="0"/>
      </w:pPr>
      <w:r>
        <w:t>Приложение 2</w:t>
      </w:r>
    </w:p>
    <w:p w:rsidR="00712586" w:rsidRDefault="00712586">
      <w:pPr>
        <w:pStyle w:val="ConsPlusNormal"/>
        <w:jc w:val="right"/>
      </w:pPr>
      <w:r>
        <w:t>к приказу Региональной службы</w:t>
      </w:r>
    </w:p>
    <w:p w:rsidR="00712586" w:rsidRDefault="00712586">
      <w:pPr>
        <w:pStyle w:val="ConsPlusNormal"/>
        <w:jc w:val="right"/>
      </w:pPr>
      <w:r>
        <w:t>по тарифам Ханты-Мансийского</w:t>
      </w:r>
    </w:p>
    <w:p w:rsidR="00712586" w:rsidRDefault="00712586">
      <w:pPr>
        <w:pStyle w:val="ConsPlusNormal"/>
        <w:jc w:val="right"/>
      </w:pPr>
      <w:r>
        <w:t>автономного округа - Югры</w:t>
      </w:r>
    </w:p>
    <w:p w:rsidR="00712586" w:rsidRDefault="00712586">
      <w:pPr>
        <w:pStyle w:val="ConsPlusNormal"/>
        <w:jc w:val="right"/>
      </w:pPr>
      <w:r>
        <w:t>от 23 ноября 2017 года N 131-нп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Title"/>
        <w:jc w:val="center"/>
      </w:pPr>
      <w:bookmarkStart w:id="10" w:name="P719"/>
      <w:bookmarkEnd w:id="10"/>
      <w:r>
        <w:t>ОДНОСТАВОЧНЫЕ ТАРИФЫ</w:t>
      </w:r>
    </w:p>
    <w:p w:rsidR="00712586" w:rsidRDefault="00712586">
      <w:pPr>
        <w:pStyle w:val="ConsPlusTitle"/>
        <w:jc w:val="center"/>
      </w:pPr>
      <w:r>
        <w:t>В СФЕРЕ ВОДООТВЕДЕНИЯ ДЛЯ ОРГАНИЗАЦИЙ,</w:t>
      </w:r>
    </w:p>
    <w:p w:rsidR="00712586" w:rsidRDefault="00712586">
      <w:pPr>
        <w:pStyle w:val="ConsPlusTitle"/>
        <w:jc w:val="center"/>
      </w:pPr>
      <w:r>
        <w:t>ОСУЩЕСТВЛЯЮЩИХ ВОДООТВЕДЕНИЕ</w:t>
      </w:r>
    </w:p>
    <w:p w:rsidR="00712586" w:rsidRDefault="007125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125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22.11.2018 </w:t>
            </w:r>
            <w:hyperlink r:id="rId53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54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5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56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12.11.2020 </w:t>
            </w:r>
            <w:hyperlink r:id="rId57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19.11.2020 </w:t>
            </w:r>
            <w:hyperlink r:id="rId58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59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60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61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>,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62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63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</w:tr>
    </w:tbl>
    <w:p w:rsidR="00712586" w:rsidRDefault="00712586">
      <w:pPr>
        <w:pStyle w:val="ConsPlusNormal"/>
        <w:jc w:val="both"/>
      </w:pPr>
    </w:p>
    <w:p w:rsidR="00712586" w:rsidRDefault="00712586">
      <w:pPr>
        <w:sectPr w:rsidR="007125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10"/>
        <w:gridCol w:w="2301"/>
        <w:gridCol w:w="1134"/>
        <w:gridCol w:w="1416"/>
        <w:gridCol w:w="743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</w:tblGrid>
      <w:tr w:rsidR="00712586" w:rsidTr="00712586">
        <w:tc>
          <w:tcPr>
            <w:tcW w:w="14493" w:type="dxa"/>
            <w:gridSpan w:val="15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На период с 1 января 2018 года по 31 декабря 2022 года</w:t>
            </w:r>
          </w:p>
        </w:tc>
      </w:tr>
      <w:tr w:rsidR="00712586" w:rsidTr="00712586">
        <w:tc>
          <w:tcPr>
            <w:tcW w:w="426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2301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416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7406" w:type="dxa"/>
            <w:gridSpan w:val="10"/>
            <w:vAlign w:val="center"/>
          </w:tcPr>
          <w:p w:rsidR="00712586" w:rsidRDefault="00712586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</w:t>
            </w:r>
          </w:p>
        </w:tc>
      </w:tr>
      <w:tr w:rsidR="00712586" w:rsidTr="00712586">
        <w:tc>
          <w:tcPr>
            <w:tcW w:w="426" w:type="dxa"/>
            <w:vMerge/>
          </w:tcPr>
          <w:p w:rsidR="00712586" w:rsidRDefault="00712586"/>
        </w:tc>
        <w:tc>
          <w:tcPr>
            <w:tcW w:w="1810" w:type="dxa"/>
            <w:vMerge/>
          </w:tcPr>
          <w:p w:rsidR="00712586" w:rsidRDefault="00712586"/>
        </w:tc>
        <w:tc>
          <w:tcPr>
            <w:tcW w:w="2301" w:type="dxa"/>
            <w:vMerge/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416" w:type="dxa"/>
            <w:vMerge/>
          </w:tcPr>
          <w:p w:rsidR="00712586" w:rsidRDefault="00712586"/>
        </w:tc>
        <w:tc>
          <w:tcPr>
            <w:tcW w:w="1452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8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60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 год</w:t>
            </w:r>
          </w:p>
        </w:tc>
      </w:tr>
      <w:tr w:rsidR="00712586" w:rsidTr="00712586">
        <w:tc>
          <w:tcPr>
            <w:tcW w:w="426" w:type="dxa"/>
            <w:vMerge/>
          </w:tcPr>
          <w:p w:rsidR="00712586" w:rsidRDefault="00712586"/>
        </w:tc>
        <w:tc>
          <w:tcPr>
            <w:tcW w:w="1810" w:type="dxa"/>
            <w:vMerge/>
          </w:tcPr>
          <w:p w:rsidR="00712586" w:rsidRDefault="00712586"/>
        </w:tc>
        <w:tc>
          <w:tcPr>
            <w:tcW w:w="2301" w:type="dxa"/>
            <w:vMerge/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416" w:type="dxa"/>
            <w:vMerge/>
          </w:tcPr>
          <w:p w:rsidR="00712586" w:rsidRDefault="00712586"/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12586" w:rsidTr="00712586">
        <w:tc>
          <w:tcPr>
            <w:tcW w:w="42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0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</w:t>
            </w:r>
          </w:p>
        </w:tc>
      </w:tr>
      <w:tr w:rsidR="00712586" w:rsidTr="00712586"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Публичное акционерное общество "Сургутнефтегаз"</w:t>
            </w:r>
          </w:p>
        </w:tc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городской округ город Сургут, </w:t>
            </w:r>
            <w:proofErr w:type="spellStart"/>
            <w:r>
              <w:t>Сургутский</w:t>
            </w:r>
            <w:proofErr w:type="spellEnd"/>
            <w:r>
              <w:t xml:space="preserve"> район, Белоярский район, Октябрьский район</w:t>
            </w:r>
          </w:p>
        </w:tc>
        <w:tc>
          <w:tcPr>
            <w:tcW w:w="1134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водоотведение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vAlign w:val="center"/>
          </w:tcPr>
          <w:p w:rsidR="00712586" w:rsidRDefault="00712586">
            <w:pPr>
              <w:pStyle w:val="ConsPlusNormal"/>
            </w:pPr>
            <w:r>
              <w:t>Д</w:t>
            </w:r>
            <w:bookmarkStart w:id="11" w:name="_GoBack"/>
            <w:bookmarkEnd w:id="11"/>
            <w:r>
              <w:t>ля прочих потребителей (без учета НДС)</w:t>
            </w:r>
          </w:p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61,36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63,81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63,81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65,08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65,08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67,35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67,35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69,64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69,64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72,01</w:t>
            </w:r>
          </w:p>
        </w:tc>
      </w:tr>
      <w:tr w:rsidR="00712586" w:rsidTr="00712586">
        <w:tc>
          <w:tcPr>
            <w:tcW w:w="426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8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30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</w:tcPr>
          <w:p w:rsidR="00712586" w:rsidRDefault="00712586"/>
        </w:tc>
        <w:tc>
          <w:tcPr>
            <w:tcW w:w="1416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95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72,40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75,30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76,57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78,10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78,10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80,82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80,82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86,41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8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30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5,76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5,76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5,95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44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1 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2586" w:rsidRDefault="00712586">
            <w:pPr>
              <w:pStyle w:val="ConsPlusNormal"/>
              <w:jc w:val="both"/>
            </w:pPr>
            <w:r>
              <w:t>N 71-нп)</w:t>
            </w:r>
          </w:p>
        </w:tc>
      </w:tr>
      <w:tr w:rsidR="00712586" w:rsidTr="00712586"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proofErr w:type="spellStart"/>
            <w:r>
              <w:t>Лянторское</w:t>
            </w:r>
            <w:proofErr w:type="spellEnd"/>
            <w:r>
              <w:t xml:space="preserve"> городское муниципальное </w:t>
            </w:r>
            <w:r>
              <w:lastRenderedPageBreak/>
              <w:t xml:space="preserve">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водоотведения"</w:t>
            </w:r>
          </w:p>
        </w:tc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lastRenderedPageBreak/>
              <w:t xml:space="preserve">городское поселение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водоотведение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vAlign w:val="center"/>
          </w:tcPr>
          <w:p w:rsidR="00712586" w:rsidRDefault="00712586">
            <w:pPr>
              <w:pStyle w:val="ConsPlusNormal"/>
            </w:pPr>
            <w:r>
              <w:t xml:space="preserve">Для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46,57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48,43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48,43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49,39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49,39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56,06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56,06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59,42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59,42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61,43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8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30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95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54,95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57,15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58,12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59,27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59,27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67,27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67,27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71,30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71,30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73,72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44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2 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>"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водоотведение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49,66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51,64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51,64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52,67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52,67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54,51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54,51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56,36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56,36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58,28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4493" w:type="dxa"/>
            <w:gridSpan w:val="15"/>
            <w:tcBorders>
              <w:top w:val="nil"/>
            </w:tcBorders>
            <w:vAlign w:val="center"/>
          </w:tcPr>
          <w:p w:rsidR="00712586" w:rsidRDefault="00712586">
            <w:pPr>
              <w:pStyle w:val="ConsPlusNormal"/>
              <w:jc w:val="both"/>
            </w:pPr>
            <w:r>
              <w:t xml:space="preserve">(п. 3 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Некоммерческая организация "Товарищество собственников жилья "Факел"</w:t>
            </w:r>
          </w:p>
        </w:tc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водоотведение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 xml:space="preserve">70,64 </w:t>
            </w:r>
            <w:hyperlink w:anchor="P9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73,42 &lt;**&gt;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73,42 &lt;**&gt;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74,89 &lt;**&gt;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74,89 &lt;**&gt;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77,51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77,51 &lt;**&gt;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80,15 &lt;**&gt;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80,15 &lt;**&gt;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82,87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8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30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</w:t>
            </w:r>
            <w:r>
              <w:lastRenderedPageBreak/>
              <w:t xml:space="preserve">учетом НДС </w:t>
            </w:r>
            <w:hyperlink w:anchor="P95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70,64 &lt;**&gt;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73,42 &lt;**&gt;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73,42 &lt;**&gt;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74,89 &lt;**&gt;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74,89 &lt;**&gt;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77,51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77,51 &lt;**&gt;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80,15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80,15 &lt;**&gt;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82,87 &lt;**&gt;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4493" w:type="dxa"/>
            <w:gridSpan w:val="15"/>
            <w:tcBorders>
              <w:top w:val="nil"/>
            </w:tcBorders>
            <w:vAlign w:val="center"/>
          </w:tcPr>
          <w:p w:rsidR="00712586" w:rsidRDefault="00712586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Сосьвинское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Хулимсунт</w:t>
            </w:r>
            <w:proofErr w:type="spellEnd"/>
            <w:r>
              <w:t xml:space="preserve"> Березовского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водоотведение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51,13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53,15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53,15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54,21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54,21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56,10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56,10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58,01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58,01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59,98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8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30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95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60,33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62,72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63,78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65,05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65,05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67,32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67,32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69,61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69,61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71,98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4493" w:type="dxa"/>
            <w:gridSpan w:val="15"/>
            <w:tcBorders>
              <w:top w:val="nil"/>
            </w:tcBorders>
            <w:vAlign w:val="center"/>
          </w:tcPr>
          <w:p w:rsidR="00712586" w:rsidRDefault="00712586">
            <w:pPr>
              <w:pStyle w:val="ConsPlusNormal"/>
              <w:jc w:val="both"/>
            </w:pPr>
            <w:r>
              <w:t xml:space="preserve">(п. 5 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t>N 77-нп)</w:t>
            </w:r>
          </w:p>
        </w:tc>
      </w:tr>
      <w:tr w:rsidR="00712586" w:rsidTr="00712586"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Аганское</w:t>
            </w:r>
            <w:proofErr w:type="spellEnd"/>
            <w:r>
              <w:t xml:space="preserve"> многопрофильное жилищно-коммунальное управление"</w:t>
            </w:r>
          </w:p>
        </w:tc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Новоаганск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Новоаганск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водоотведение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43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68,92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71,37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71,37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72,79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72,79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75,01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75,01</w:t>
            </w:r>
          </w:p>
        </w:tc>
        <w:tc>
          <w:tcPr>
            <w:tcW w:w="708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77,56</w:t>
            </w:r>
          </w:p>
        </w:tc>
        <w:tc>
          <w:tcPr>
            <w:tcW w:w="8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77,56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79,48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81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230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13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141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Для населения (с учетом НДС </w:t>
            </w:r>
            <w:hyperlink w:anchor="P95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81,33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84,22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85,64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87,35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87,35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90,01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90,01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93,07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93,07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95,38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4493" w:type="dxa"/>
            <w:gridSpan w:val="15"/>
            <w:tcBorders>
              <w:top w:val="nil"/>
            </w:tcBorders>
            <w:vAlign w:val="center"/>
          </w:tcPr>
          <w:p w:rsidR="00712586" w:rsidRDefault="00712586">
            <w:pPr>
              <w:pStyle w:val="ConsPlusNormal"/>
              <w:jc w:val="both"/>
            </w:pPr>
            <w:r>
              <w:t xml:space="preserve">(п. 6 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2586" w:rsidRDefault="00712586">
            <w:pPr>
              <w:pStyle w:val="ConsPlusNormal"/>
              <w:jc w:val="both"/>
            </w:pPr>
            <w:r>
              <w:lastRenderedPageBreak/>
              <w:t>N 77-нп)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Публичное акционерное общество "Вторая генерирующая компания оптового рынка электроэнергии" в зоне деятельности филиала Публичного акционерного общества "Вторая генерирующая компания оптового рынка электроэнергии" - </w:t>
            </w:r>
            <w:proofErr w:type="spellStart"/>
            <w:r>
              <w:t>Сургутская</w:t>
            </w:r>
            <w:proofErr w:type="spellEnd"/>
            <w:r>
              <w:t xml:space="preserve"> ГРЭС-1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городской округ город Сургут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20,15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20,95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20,95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21,37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21,37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22,09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22,09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22,84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22,84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23,62</w:t>
            </w:r>
          </w:p>
        </w:tc>
      </w:tr>
      <w:tr w:rsidR="00712586" w:rsidTr="00712586">
        <w:tblPrEx>
          <w:tblBorders>
            <w:insideH w:val="nil"/>
          </w:tblBorders>
        </w:tblPrEx>
        <w:tc>
          <w:tcPr>
            <w:tcW w:w="14493" w:type="dxa"/>
            <w:gridSpan w:val="15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(п. 7 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712586" w:rsidRDefault="00712586">
            <w:pPr>
              <w:pStyle w:val="ConsPlusNormal"/>
              <w:jc w:val="both"/>
            </w:pPr>
            <w:r>
              <w:t>N 92-нп)</w:t>
            </w:r>
          </w:p>
        </w:tc>
      </w:tr>
    </w:tbl>
    <w:p w:rsidR="00712586" w:rsidRDefault="00712586">
      <w:pPr>
        <w:sectPr w:rsidR="007125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ind w:firstLine="540"/>
        <w:jc w:val="both"/>
      </w:pPr>
      <w:r>
        <w:t>--------------------------------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12" w:name="P954"/>
      <w:bookmarkEnd w:id="12"/>
      <w:r>
        <w:t xml:space="preserve">&lt;*&gt; Выделяется в целях реализации </w:t>
      </w:r>
      <w:hyperlink r:id="rId7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13" w:name="P955"/>
      <w:bookmarkEnd w:id="13"/>
      <w:r>
        <w:t xml:space="preserve">&lt;**&gt; НДС не облагается в соответствии с </w:t>
      </w:r>
      <w:hyperlink r:id="rId7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ind w:firstLine="540"/>
        <w:jc w:val="both"/>
      </w:pPr>
      <w:r>
        <w:t>Примечания: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14" w:name="P958"/>
      <w:bookmarkEnd w:id="14"/>
      <w:r>
        <w:t>&lt;1&gt;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right"/>
        <w:outlineLvl w:val="0"/>
      </w:pPr>
      <w:r>
        <w:t>Приложение 3</w:t>
      </w:r>
    </w:p>
    <w:p w:rsidR="00712586" w:rsidRDefault="00712586">
      <w:pPr>
        <w:pStyle w:val="ConsPlusNormal"/>
        <w:jc w:val="right"/>
      </w:pPr>
      <w:r>
        <w:t>к приказу Региональной службы</w:t>
      </w:r>
    </w:p>
    <w:p w:rsidR="00712586" w:rsidRDefault="00712586">
      <w:pPr>
        <w:pStyle w:val="ConsPlusNormal"/>
        <w:jc w:val="right"/>
      </w:pPr>
      <w:r>
        <w:t>по тарифам Ханты-Мансийского</w:t>
      </w:r>
    </w:p>
    <w:p w:rsidR="00712586" w:rsidRDefault="00712586">
      <w:pPr>
        <w:pStyle w:val="ConsPlusNormal"/>
        <w:jc w:val="right"/>
      </w:pPr>
      <w:r>
        <w:t>автономного округа - Югры</w:t>
      </w:r>
    </w:p>
    <w:p w:rsidR="00712586" w:rsidRDefault="00712586">
      <w:pPr>
        <w:pStyle w:val="ConsPlusNormal"/>
        <w:jc w:val="right"/>
      </w:pPr>
      <w:r>
        <w:t>от 23 ноября 2017 года N 131-нп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Title"/>
        <w:jc w:val="center"/>
      </w:pPr>
      <w:bookmarkStart w:id="15" w:name="P970"/>
      <w:bookmarkEnd w:id="15"/>
      <w:r>
        <w:t>ДОЛГОСРОЧНЫЕ ПАРАМЕТРЫ</w:t>
      </w:r>
    </w:p>
    <w:p w:rsidR="00712586" w:rsidRDefault="00712586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712586" w:rsidRDefault="00712586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712586" w:rsidRDefault="00712586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712586" w:rsidRDefault="00712586">
      <w:pPr>
        <w:pStyle w:val="ConsPlusTitle"/>
        <w:jc w:val="center"/>
      </w:pPr>
      <w:r>
        <w:t>НА 2018 - 2022 ГОДЫ</w:t>
      </w:r>
    </w:p>
    <w:p w:rsidR="00712586" w:rsidRDefault="007125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125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22.11.2018 </w:t>
            </w:r>
            <w:hyperlink r:id="rId73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74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</w:tr>
    </w:tbl>
    <w:p w:rsidR="00712586" w:rsidRDefault="00712586">
      <w:pPr>
        <w:pStyle w:val="ConsPlusNormal"/>
        <w:jc w:val="both"/>
      </w:pPr>
    </w:p>
    <w:p w:rsidR="00712586" w:rsidRDefault="00712586">
      <w:pPr>
        <w:sectPr w:rsidR="007125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1"/>
        <w:gridCol w:w="709"/>
        <w:gridCol w:w="1559"/>
        <w:gridCol w:w="1247"/>
        <w:gridCol w:w="1431"/>
        <w:gridCol w:w="1151"/>
        <w:gridCol w:w="1896"/>
      </w:tblGrid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09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59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712586" w:rsidRDefault="007125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431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3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7" w:type="dxa"/>
            <w:gridSpan w:val="2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Merge/>
          </w:tcPr>
          <w:p w:rsidR="00712586" w:rsidRDefault="00712586"/>
        </w:tc>
        <w:tc>
          <w:tcPr>
            <w:tcW w:w="1559" w:type="dxa"/>
            <w:vMerge/>
          </w:tcPr>
          <w:p w:rsidR="00712586" w:rsidRDefault="00712586"/>
        </w:tc>
        <w:tc>
          <w:tcPr>
            <w:tcW w:w="1247" w:type="dxa"/>
            <w:vMerge/>
          </w:tcPr>
          <w:p w:rsidR="00712586" w:rsidRDefault="00712586"/>
        </w:tc>
        <w:tc>
          <w:tcPr>
            <w:tcW w:w="1431" w:type="dxa"/>
            <w:vMerge/>
          </w:tcPr>
          <w:p w:rsidR="00712586" w:rsidRDefault="00712586"/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712586">
        <w:tc>
          <w:tcPr>
            <w:tcW w:w="68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 xml:space="preserve">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12460,89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9,37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1,41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9,37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1,41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9,36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1,41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9,34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1,41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1,41</w:t>
            </w:r>
          </w:p>
        </w:tc>
      </w:tr>
      <w:tr w:rsidR="00712586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711,38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</w:tr>
      <w:tr w:rsidR="00712586"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</w:tr>
      <w:tr w:rsidR="00712586"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</w:tr>
      <w:tr w:rsidR="00712586"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9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11734" w:type="dxa"/>
            <w:gridSpan w:val="8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29.11.2018 N 71-нп)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Малоатлымское </w:t>
            </w:r>
            <w:r>
              <w:lastRenderedPageBreak/>
              <w:t xml:space="preserve">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(село Малый Атлым, поселок Заречный, поселок Комсомольский, село Большой Атлым, поселок Большие </w:t>
            </w:r>
            <w:proofErr w:type="spellStart"/>
            <w:r>
              <w:t>Леуши</w:t>
            </w:r>
            <w:proofErr w:type="spellEnd"/>
            <w:r>
              <w:t>) Октябрьского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3863,10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1,35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1,35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1,35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1,35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1,35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>Шеркальское муниципальное 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2990,33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1,25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1,25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3762,58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1,43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1,43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1,43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5,95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1,43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1,43</w:t>
            </w:r>
          </w:p>
        </w:tc>
      </w:tr>
      <w:tr w:rsidR="00712586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Публичное акционерное общество "Сургутнефтегаз" на территории муниципальных образований городской округ город Сургут, </w:t>
            </w:r>
            <w:proofErr w:type="spellStart"/>
            <w:r>
              <w:t>Сургутского</w:t>
            </w:r>
            <w:proofErr w:type="spellEnd"/>
            <w:r>
              <w:t xml:space="preserve"> района, Белоярский район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95906,49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1,20</w:t>
            </w:r>
          </w:p>
        </w:tc>
      </w:tr>
      <w:tr w:rsidR="00712586"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1,20</w:t>
            </w:r>
          </w:p>
        </w:tc>
      </w:tr>
      <w:tr w:rsidR="00712586"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1,20</w:t>
            </w:r>
          </w:p>
        </w:tc>
      </w:tr>
      <w:tr w:rsidR="00712586"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1,20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061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6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1,20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11734" w:type="dxa"/>
            <w:gridSpan w:val="8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22.11.2018 N 62-нп)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proofErr w:type="spellStart"/>
            <w:r>
              <w:t>Лянторское</w:t>
            </w:r>
            <w:proofErr w:type="spellEnd"/>
            <w:r>
              <w:t xml:space="preserve"> городское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водоотведения" на территории муниципального образования городское поселение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67971,86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1,24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1,24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1,24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1,24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1,24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Публичное акционерное общество "Вторая генерирующая компания оптового рынка электроэнергии" в зоне деятельности филиала Публичного акционерного общества "Вторая генерирующая компания оптового рынка электроэнергии" - </w:t>
            </w:r>
            <w:proofErr w:type="spellStart"/>
            <w:r>
              <w:t>Сургутская</w:t>
            </w:r>
            <w:proofErr w:type="spellEnd"/>
            <w:r>
              <w:t xml:space="preserve"> ГРЭС-1 на территории муниципального образования </w:t>
            </w:r>
            <w:r>
              <w:lastRenderedPageBreak/>
              <w:t>городской округ город Сургут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7644,80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0,97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Муниципальное унитарное предприятие "Сельское жилищно-коммунальное хозяйство" на территории муниципальных образований сельское поселение </w:t>
            </w:r>
            <w:proofErr w:type="spellStart"/>
            <w:r>
              <w:t>Аган</w:t>
            </w:r>
            <w:proofErr w:type="spellEnd"/>
            <w:r>
              <w:t xml:space="preserve">, 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Ларьяк</w:t>
            </w:r>
            <w:proofErr w:type="spellEnd"/>
            <w:r>
              <w:t xml:space="preserve">, село </w:t>
            </w:r>
            <w:proofErr w:type="spellStart"/>
            <w:r>
              <w:t>Корлики</w:t>
            </w:r>
            <w:proofErr w:type="spellEnd"/>
            <w:r>
              <w:t xml:space="preserve">), сельское поселение Вата,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, сельское поселение </w:t>
            </w:r>
            <w:proofErr w:type="spellStart"/>
            <w:r>
              <w:t>Ваховск</w:t>
            </w:r>
            <w:proofErr w:type="spellEnd"/>
            <w:r>
              <w:t xml:space="preserve"> (поселок </w:t>
            </w:r>
            <w:proofErr w:type="spellStart"/>
            <w:r>
              <w:t>Ваховск</w:t>
            </w:r>
            <w:proofErr w:type="spellEnd"/>
            <w:r>
              <w:t xml:space="preserve">, село </w:t>
            </w:r>
            <w:proofErr w:type="spellStart"/>
            <w:r>
              <w:t>Охтеурье</w:t>
            </w:r>
            <w:proofErr w:type="spellEnd"/>
            <w:r>
              <w:t xml:space="preserve">), сельское поселение Зайцева Речка (поселок Зайцева Речка, деревня </w:t>
            </w:r>
            <w:proofErr w:type="spellStart"/>
            <w:r>
              <w:t>Вампугол</w:t>
            </w:r>
            <w:proofErr w:type="spellEnd"/>
            <w:r>
              <w:t xml:space="preserve">), городское поселение </w:t>
            </w:r>
            <w:proofErr w:type="spellStart"/>
            <w:r>
              <w:t>Излучинск</w:t>
            </w:r>
            <w:proofErr w:type="spellEnd"/>
            <w:r>
              <w:t xml:space="preserve"> (село </w:t>
            </w:r>
            <w:proofErr w:type="spellStart"/>
            <w:r>
              <w:t>Большетархово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33286,76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1,47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Аганское</w:t>
            </w:r>
            <w:proofErr w:type="spellEnd"/>
            <w:r>
              <w:t xml:space="preserve"> многопрофильное жилищно-коммунальное управление" на территории муниципального образования городское поселение </w:t>
            </w:r>
            <w:proofErr w:type="spellStart"/>
            <w:r>
              <w:t>Новоаганск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26418,98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1,09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1,09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1,09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1,09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1,09</w:t>
            </w:r>
          </w:p>
        </w:tc>
      </w:tr>
      <w:tr w:rsidR="00712586">
        <w:tc>
          <w:tcPr>
            <w:tcW w:w="68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lastRenderedPageBreak/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Сосьвинское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Хулимсунт</w:t>
            </w:r>
            <w:proofErr w:type="spellEnd"/>
            <w:r>
              <w:t xml:space="preserve"> Березовского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7888,26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1,17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1,17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1,17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1,17</w:t>
            </w:r>
          </w:p>
        </w:tc>
      </w:tr>
      <w:tr w:rsidR="00712586">
        <w:tc>
          <w:tcPr>
            <w:tcW w:w="680" w:type="dxa"/>
            <w:vMerge/>
          </w:tcPr>
          <w:p w:rsidR="00712586" w:rsidRDefault="00712586"/>
        </w:tc>
        <w:tc>
          <w:tcPr>
            <w:tcW w:w="3061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3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896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1,17</w:t>
            </w:r>
          </w:p>
        </w:tc>
      </w:tr>
    </w:tbl>
    <w:p w:rsidR="00712586" w:rsidRDefault="00712586">
      <w:pPr>
        <w:sectPr w:rsidR="007125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ind w:firstLine="540"/>
        <w:jc w:val="both"/>
      </w:pPr>
      <w:r>
        <w:t>--------------------------------</w:t>
      </w:r>
    </w:p>
    <w:p w:rsidR="00712586" w:rsidRDefault="00712586">
      <w:pPr>
        <w:pStyle w:val="ConsPlusNormal"/>
        <w:spacing w:before="220"/>
        <w:ind w:firstLine="540"/>
        <w:jc w:val="both"/>
      </w:pPr>
      <w:r>
        <w:t>Примечание: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16" w:name="P1354"/>
      <w:bookmarkEnd w:id="16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right"/>
        <w:outlineLvl w:val="0"/>
      </w:pPr>
      <w:r>
        <w:t>Приложение 4</w:t>
      </w:r>
    </w:p>
    <w:p w:rsidR="00712586" w:rsidRDefault="00712586">
      <w:pPr>
        <w:pStyle w:val="ConsPlusNormal"/>
        <w:jc w:val="right"/>
      </w:pPr>
      <w:r>
        <w:t>к приказу Региональной службы</w:t>
      </w:r>
    </w:p>
    <w:p w:rsidR="00712586" w:rsidRDefault="00712586">
      <w:pPr>
        <w:pStyle w:val="ConsPlusNormal"/>
        <w:jc w:val="right"/>
      </w:pPr>
      <w:r>
        <w:t>по тарифам Ханты-Мансийского</w:t>
      </w:r>
    </w:p>
    <w:p w:rsidR="00712586" w:rsidRDefault="00712586">
      <w:pPr>
        <w:pStyle w:val="ConsPlusNormal"/>
        <w:jc w:val="right"/>
      </w:pPr>
      <w:r>
        <w:t>автономного округа - Югры</w:t>
      </w:r>
    </w:p>
    <w:p w:rsidR="00712586" w:rsidRDefault="00712586">
      <w:pPr>
        <w:pStyle w:val="ConsPlusNormal"/>
        <w:jc w:val="right"/>
      </w:pPr>
      <w:r>
        <w:t>от 23 ноября 2017 года N 131-нп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Title"/>
        <w:jc w:val="center"/>
      </w:pPr>
      <w:bookmarkStart w:id="17" w:name="P1366"/>
      <w:bookmarkEnd w:id="17"/>
      <w:r>
        <w:t>ДОЛГОСРОЧНЫЕ ПАРАМЕТРЫ</w:t>
      </w:r>
    </w:p>
    <w:p w:rsidR="00712586" w:rsidRDefault="00712586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712586" w:rsidRDefault="00712586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712586" w:rsidRDefault="00712586">
      <w:pPr>
        <w:pStyle w:val="ConsPlusTitle"/>
        <w:jc w:val="center"/>
      </w:pPr>
      <w:r>
        <w:t>ВОДООТВЕДЕНИЯ С ИСПОЛЬЗОВАНИЕМ МЕТОДА ИНДЕКСАЦИИ,</w:t>
      </w:r>
    </w:p>
    <w:p w:rsidR="00712586" w:rsidRDefault="00712586">
      <w:pPr>
        <w:pStyle w:val="ConsPlusTitle"/>
        <w:jc w:val="center"/>
      </w:pPr>
      <w:r>
        <w:t>НА 2018 - 2022 ГОДЫ</w:t>
      </w:r>
    </w:p>
    <w:p w:rsidR="00712586" w:rsidRDefault="007125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7125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2586" w:rsidRDefault="00712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22.11.2018 </w:t>
            </w:r>
            <w:hyperlink r:id="rId77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12.11.2020 </w:t>
            </w:r>
            <w:hyperlink r:id="rId78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79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86" w:rsidRDefault="00712586"/>
        </w:tc>
      </w:tr>
    </w:tbl>
    <w:p w:rsidR="00712586" w:rsidRDefault="007125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709"/>
        <w:gridCol w:w="1417"/>
        <w:gridCol w:w="1400"/>
        <w:gridCol w:w="1294"/>
        <w:gridCol w:w="1814"/>
      </w:tblGrid>
      <w:tr w:rsidR="00712586">
        <w:tc>
          <w:tcPr>
            <w:tcW w:w="62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709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417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Базовый уровень операционн</w:t>
            </w:r>
            <w:r>
              <w:lastRenderedPageBreak/>
              <w:t>ых расходов,</w:t>
            </w:r>
          </w:p>
          <w:p w:rsidR="00712586" w:rsidRDefault="007125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0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Индекс эффективности </w:t>
            </w:r>
            <w:r>
              <w:lastRenderedPageBreak/>
              <w:t>операционных расходов, %</w:t>
            </w:r>
          </w:p>
        </w:tc>
        <w:tc>
          <w:tcPr>
            <w:tcW w:w="129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Нормативный уровень прибыли, % </w:t>
            </w:r>
            <w:hyperlink w:anchor="P15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 xml:space="preserve">Показатели энергосбережения и </w:t>
            </w:r>
            <w:r>
              <w:lastRenderedPageBreak/>
              <w:t>энергетической эффективности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Merge/>
          </w:tcPr>
          <w:p w:rsidR="00712586" w:rsidRDefault="00712586"/>
        </w:tc>
        <w:tc>
          <w:tcPr>
            <w:tcW w:w="1417" w:type="dxa"/>
            <w:vMerge/>
          </w:tcPr>
          <w:p w:rsidR="00712586" w:rsidRDefault="00712586"/>
        </w:tc>
        <w:tc>
          <w:tcPr>
            <w:tcW w:w="1400" w:type="dxa"/>
            <w:vMerge/>
          </w:tcPr>
          <w:p w:rsidR="00712586" w:rsidRDefault="00712586"/>
        </w:tc>
        <w:tc>
          <w:tcPr>
            <w:tcW w:w="1294" w:type="dxa"/>
            <w:vMerge/>
          </w:tcPr>
          <w:p w:rsidR="00712586" w:rsidRDefault="00712586"/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712586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 xml:space="preserve">Публичное акционерное общество "Сургутнефтегаз" на территории муниципальных образований городской округ город Сургут, </w:t>
            </w:r>
            <w:proofErr w:type="spellStart"/>
            <w:r>
              <w:t>Сургутский</w:t>
            </w:r>
            <w:proofErr w:type="spellEnd"/>
            <w:r>
              <w:t xml:space="preserve"> район, Белоярский район, Октябрьский район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92591,58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0,69</w:t>
            </w:r>
          </w:p>
        </w:tc>
      </w:tr>
      <w:tr w:rsidR="00712586"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0,69</w:t>
            </w:r>
          </w:p>
        </w:tc>
      </w:tr>
      <w:tr w:rsidR="00712586"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0,69</w:t>
            </w:r>
          </w:p>
        </w:tc>
      </w:tr>
      <w:tr w:rsidR="00712586"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0,69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0,69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10716" w:type="dxa"/>
            <w:gridSpan w:val="7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>(в ред. приказов Региональной службы по тарифам ХМАО - Югры от 22.11.2018</w:t>
            </w:r>
          </w:p>
          <w:p w:rsidR="00712586" w:rsidRDefault="00712586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N 62-нп</w:t>
              </w:r>
            </w:hyperlink>
            <w:r>
              <w:t xml:space="preserve">, от 12.11.2020 </w:t>
            </w:r>
            <w:hyperlink r:id="rId81" w:history="1">
              <w:r>
                <w:rPr>
                  <w:color w:val="0000FF"/>
                </w:rPr>
                <w:t>N 55-нп</w:t>
              </w:r>
            </w:hyperlink>
            <w:r>
              <w:t>)</w:t>
            </w:r>
          </w:p>
        </w:tc>
      </w:tr>
      <w:tr w:rsidR="00712586">
        <w:tc>
          <w:tcPr>
            <w:tcW w:w="62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proofErr w:type="spellStart"/>
            <w:r>
              <w:t>Лянторское</w:t>
            </w:r>
            <w:proofErr w:type="spellEnd"/>
            <w:r>
              <w:t xml:space="preserve"> городское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водоотведения" на территории муниципального образования городское поселение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70422,99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0,95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0,95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0,95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0,95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0,95</w:t>
            </w:r>
          </w:p>
        </w:tc>
      </w:tr>
      <w:tr w:rsidR="00712586">
        <w:tc>
          <w:tcPr>
            <w:tcW w:w="62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Акционерного общества </w:t>
            </w:r>
            <w:r>
              <w:lastRenderedPageBreak/>
              <w:t>"</w:t>
            </w:r>
            <w:proofErr w:type="spellStart"/>
            <w:r>
              <w:t>СибурТюменьГаз</w:t>
            </w:r>
            <w:proofErr w:type="spellEnd"/>
            <w:r>
              <w:t xml:space="preserve">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23651,56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1,04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1,04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1,04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1,04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1,04</w:t>
            </w:r>
          </w:p>
        </w:tc>
      </w:tr>
      <w:tr w:rsidR="00712586">
        <w:tc>
          <w:tcPr>
            <w:tcW w:w="62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779,76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0,30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0,30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0,30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0,30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0,30</w:t>
            </w:r>
          </w:p>
        </w:tc>
      </w:tr>
      <w:tr w:rsidR="00712586">
        <w:tc>
          <w:tcPr>
            <w:tcW w:w="62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Сосьвинское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Хулимсунт</w:t>
            </w:r>
            <w:proofErr w:type="spellEnd"/>
            <w:r>
              <w:t xml:space="preserve"> Березовского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9828,63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1,02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1,02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1,02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1,02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1,02</w:t>
            </w:r>
          </w:p>
        </w:tc>
      </w:tr>
      <w:tr w:rsidR="00712586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Аганское</w:t>
            </w:r>
            <w:proofErr w:type="spellEnd"/>
            <w:r>
              <w:t xml:space="preserve"> многопрофильное жилищно-коммунальное управление" на территории муниципального образования городское поселение </w:t>
            </w:r>
            <w:proofErr w:type="spellStart"/>
            <w:r>
              <w:t>Новоаганск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Новоаганск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15982,40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0,87</w:t>
            </w:r>
          </w:p>
        </w:tc>
      </w:tr>
      <w:tr w:rsidR="00712586"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0,87</w:t>
            </w:r>
          </w:p>
        </w:tc>
      </w:tr>
      <w:tr w:rsidR="00712586"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0,87</w:t>
            </w:r>
          </w:p>
        </w:tc>
      </w:tr>
      <w:tr w:rsidR="00712586"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0,87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3458" w:type="dxa"/>
            <w:vMerge/>
            <w:tcBorders>
              <w:bottom w:val="nil"/>
            </w:tcBorders>
          </w:tcPr>
          <w:p w:rsidR="00712586" w:rsidRDefault="00712586"/>
        </w:tc>
        <w:tc>
          <w:tcPr>
            <w:tcW w:w="709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0,87</w:t>
            </w:r>
          </w:p>
        </w:tc>
      </w:tr>
      <w:tr w:rsidR="00712586">
        <w:tblPrEx>
          <w:tblBorders>
            <w:insideH w:val="nil"/>
          </w:tblBorders>
        </w:tblPrEx>
        <w:tc>
          <w:tcPr>
            <w:tcW w:w="10716" w:type="dxa"/>
            <w:gridSpan w:val="7"/>
            <w:tcBorders>
              <w:top w:val="nil"/>
            </w:tcBorders>
          </w:tcPr>
          <w:p w:rsidR="00712586" w:rsidRDefault="00712586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 N 77-нп)</w:t>
            </w:r>
          </w:p>
        </w:tc>
      </w:tr>
      <w:tr w:rsidR="00712586">
        <w:tc>
          <w:tcPr>
            <w:tcW w:w="624" w:type="dxa"/>
            <w:vMerge w:val="restart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vMerge w:val="restart"/>
            <w:vAlign w:val="center"/>
          </w:tcPr>
          <w:p w:rsidR="00712586" w:rsidRDefault="00712586">
            <w:pPr>
              <w:pStyle w:val="ConsPlusNormal"/>
            </w:pPr>
            <w:r>
              <w:t xml:space="preserve">Публичное акционерное общество "Вторая генерирующая компания оптового рынка электроэнергии" в зоне деятельности филиала Публичного акционерного общества "Вторая генерирующая компания оптового рынка электроэнергии" - </w:t>
            </w:r>
            <w:proofErr w:type="spellStart"/>
            <w:r>
              <w:t>Сургутская</w:t>
            </w:r>
            <w:proofErr w:type="spellEnd"/>
            <w:r>
              <w:t xml:space="preserve"> ГРЭС-1 на территории муниципального образования городской округ город Сургут</w:t>
            </w:r>
          </w:p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4098,29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0,26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0,26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0,26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0,26</w:t>
            </w:r>
          </w:p>
        </w:tc>
      </w:tr>
      <w:tr w:rsidR="00712586">
        <w:tc>
          <w:tcPr>
            <w:tcW w:w="624" w:type="dxa"/>
            <w:vMerge/>
          </w:tcPr>
          <w:p w:rsidR="00712586" w:rsidRDefault="00712586"/>
        </w:tc>
        <w:tc>
          <w:tcPr>
            <w:tcW w:w="3458" w:type="dxa"/>
            <w:vMerge/>
          </w:tcPr>
          <w:p w:rsidR="00712586" w:rsidRDefault="00712586"/>
        </w:tc>
        <w:tc>
          <w:tcPr>
            <w:tcW w:w="709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12586" w:rsidRDefault="00712586">
            <w:pPr>
              <w:pStyle w:val="ConsPlusNormal"/>
              <w:jc w:val="center"/>
            </w:pPr>
            <w:r>
              <w:t>0,26</w:t>
            </w:r>
          </w:p>
        </w:tc>
      </w:tr>
    </w:tbl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ind w:firstLine="540"/>
        <w:jc w:val="both"/>
      </w:pPr>
      <w:r>
        <w:t>--------------------------------</w:t>
      </w:r>
    </w:p>
    <w:p w:rsidR="00712586" w:rsidRDefault="00712586">
      <w:pPr>
        <w:pStyle w:val="ConsPlusNormal"/>
        <w:spacing w:before="220"/>
        <w:ind w:firstLine="540"/>
        <w:jc w:val="both"/>
      </w:pPr>
      <w:r>
        <w:t>Примечание:</w:t>
      </w:r>
    </w:p>
    <w:p w:rsidR="00712586" w:rsidRDefault="00712586">
      <w:pPr>
        <w:pStyle w:val="ConsPlusNormal"/>
        <w:spacing w:before="220"/>
        <w:ind w:firstLine="540"/>
        <w:jc w:val="both"/>
      </w:pPr>
      <w:bookmarkStart w:id="18" w:name="P1579"/>
      <w:bookmarkEnd w:id="18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jc w:val="both"/>
      </w:pPr>
    </w:p>
    <w:p w:rsidR="00712586" w:rsidRDefault="00712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F80D4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6"/>
    <w:rsid w:val="00712586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E773-EEE5-44F1-894B-ABAC1E1A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2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2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2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25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E3A29246F5B86E7229133B76FDABC73A27CD0E9301ECD08F5AD453330F951730CACF8DFD51158E5A33987B269242506BB178EF7D8DEC70BD82308802j5G" TargetMode="External"/><Relationship Id="rId18" Type="http://schemas.openxmlformats.org/officeDocument/2006/relationships/hyperlink" Target="consultantplus://offline/ref=75E3A29246F5B86E7229133B76FDABC73A27CD0E9307E9DF8D5ED453330F951730CACF8DFD51158E5A339B7D259242506BB178EF7D8DEC70BD82308802j5G" TargetMode="External"/><Relationship Id="rId26" Type="http://schemas.openxmlformats.org/officeDocument/2006/relationships/hyperlink" Target="consultantplus://offline/ref=75E3A29246F5B86E7229133B76FDABC73A27CD0E9303ECDD8F5FD453330F951730CACF8DFD51158E5A339875249242506BB178EF7D8DEC70BD82308802j5G" TargetMode="External"/><Relationship Id="rId39" Type="http://schemas.openxmlformats.org/officeDocument/2006/relationships/hyperlink" Target="consultantplus://offline/ref=75E3A29246F5B86E7229133B76FDABC73A27CD0E9307E8D08E5FD453330F951730CACF8DFD51158E5A339B7D259242506BB178EF7D8DEC70BD82308802j5G" TargetMode="External"/><Relationship Id="rId21" Type="http://schemas.openxmlformats.org/officeDocument/2006/relationships/hyperlink" Target="consultantplus://offline/ref=75E3A29246F5B86E72290D366091FCC83F249A0B9707E68FD20DD2046C5F9342628A91D4BD14068F5B2D997D2209jBG" TargetMode="External"/><Relationship Id="rId34" Type="http://schemas.openxmlformats.org/officeDocument/2006/relationships/hyperlink" Target="consultantplus://offline/ref=75E3A29246F5B86E7229133B76FDABC73A27CD0E9301EFD98F59D453330F951730CACF8DFD51158E5A339B7D269242506BB178EF7D8DEC70BD82308802j5G" TargetMode="External"/><Relationship Id="rId42" Type="http://schemas.openxmlformats.org/officeDocument/2006/relationships/hyperlink" Target="consultantplus://offline/ref=75E3A29246F5B86E7229133B76FDABC73A27CD0E9307E9DB8F5BD453330F951730CACF8DFD51158E5A339879239242506BB178EF7D8DEC70BD82308802j5G" TargetMode="External"/><Relationship Id="rId47" Type="http://schemas.openxmlformats.org/officeDocument/2006/relationships/hyperlink" Target="consultantplus://offline/ref=75E3A29246F5B86E7229133B76FDABC73A27CD0E9307E8D08E5FD453330F951730CACF8DFD51158E5A339B7D259242506BB178EF7D8DEC70BD82308802j5G" TargetMode="External"/><Relationship Id="rId50" Type="http://schemas.openxmlformats.org/officeDocument/2006/relationships/hyperlink" Target="consultantplus://offline/ref=75E3A29246F5B86E7229133B76FDABC73A27CD0E9307E9DF8D5ED453330F951730CACF8DFD51158E5A33997F269242506BB178EF7D8DEC70BD82308802j5G" TargetMode="External"/><Relationship Id="rId55" Type="http://schemas.openxmlformats.org/officeDocument/2006/relationships/hyperlink" Target="consultantplus://offline/ref=75E3A29246F5B86E7229133B76FDABC73A27CD0E9303ECDF895FD453330F951730CACF8DFD51158E5A339F78249242506BB178EF7D8DEC70BD82308802j5G" TargetMode="External"/><Relationship Id="rId63" Type="http://schemas.openxmlformats.org/officeDocument/2006/relationships/hyperlink" Target="consultantplus://offline/ref=75E3A29246F5B86E7229133B76FDABC73A27CD0E9307E8DF8F5DD453330F951730CACF8DFD51158E5A339B79229242506BB178EF7D8DEC70BD82308802j5G" TargetMode="External"/><Relationship Id="rId68" Type="http://schemas.openxmlformats.org/officeDocument/2006/relationships/hyperlink" Target="consultantplus://offline/ref=75E3A29246F5B86E7229133B76FDABC73A27CD0E9307E9DF8D5ED453330F951730CACF8DFD51158E5A33987F229242506BB178EF7D8DEC70BD82308802j5G" TargetMode="External"/><Relationship Id="rId76" Type="http://schemas.openxmlformats.org/officeDocument/2006/relationships/hyperlink" Target="consultantplus://offline/ref=75E3A29246F5B86E7229133B76FDABC73A27CD0E9303ECDD8F5FD453330F951730CACF8DFD51158E5A33937D239242506BB178EF7D8DEC70BD82308802j5G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75E3A29246F5B86E7229133B76FDABC73A27CD0E900AE4DE8E50D453330F951730CACF8DFD51158E5A339B7F239242506BB178EF7D8DEC70BD82308802j5G" TargetMode="External"/><Relationship Id="rId71" Type="http://schemas.openxmlformats.org/officeDocument/2006/relationships/hyperlink" Target="consultantplus://offline/ref=75E3A29246F5B86E72290D366091FCC83F2B94069000E68FD20DD2046C5F9342708AC9D8BE151C895D38CF2C64CC1B022EFA75ED6291EC730Aj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E3A29246F5B86E7229133B76FDABC73A27CD0E9301EFD08651D453330F951730CACF8DFD51158E5A339B7D259242506BB178EF7D8DEC70BD82308802j5G" TargetMode="External"/><Relationship Id="rId29" Type="http://schemas.openxmlformats.org/officeDocument/2006/relationships/hyperlink" Target="consultantplus://offline/ref=75E3A29246F5B86E7229133B76FDABC73A27CD0E9303EFDB8B5CD453330F951730CACF8DFD51158E5A339B7D289242506BB178EF7D8DEC70BD82308802j5G" TargetMode="External"/><Relationship Id="rId11" Type="http://schemas.openxmlformats.org/officeDocument/2006/relationships/hyperlink" Target="consultantplus://offline/ref=75E3A29246F5B86E7229133B76FDABC73A27CD0E9303EFDC8D59D453330F951730CACF8DFD51158E5A339A7B249242506BB178EF7D8DEC70BD82308802j5G" TargetMode="External"/><Relationship Id="rId24" Type="http://schemas.openxmlformats.org/officeDocument/2006/relationships/hyperlink" Target="consultantplus://offline/ref=75E3A29246F5B86E7229133B76FDABC73A27CD0E9307EED1875DD453330F951730CACF8DEF514D825932857D218714012D0Ej6G" TargetMode="External"/><Relationship Id="rId32" Type="http://schemas.openxmlformats.org/officeDocument/2006/relationships/hyperlink" Target="consultantplus://offline/ref=75E3A29246F5B86E7229133B76FDABC73A27CD0E9303EFD18A5ED453330F951730CACF8DFD51158E5A339B7D259242506BB178EF7D8DEC70BD82308802j5G" TargetMode="External"/><Relationship Id="rId37" Type="http://schemas.openxmlformats.org/officeDocument/2006/relationships/hyperlink" Target="consultantplus://offline/ref=75E3A29246F5B86E7229133B76FDABC73A27CD0E9307E9DB8F5BD453330F951730CACF8DFD51158E5A339879239242506BB178EF7D8DEC70BD82308802j5G" TargetMode="External"/><Relationship Id="rId40" Type="http://schemas.openxmlformats.org/officeDocument/2006/relationships/hyperlink" Target="consultantplus://offline/ref=75E3A29246F5B86E7229133B76FDABC73A27CD0E9307E9DF8D5ED453330F951730CACF8DFD51158E5A339B7D279242506BB178EF7D8DEC70BD82308802j5G" TargetMode="External"/><Relationship Id="rId45" Type="http://schemas.openxmlformats.org/officeDocument/2006/relationships/hyperlink" Target="consultantplus://offline/ref=75E3A29246F5B86E7229133B76FDABC73A27CD0E9307E9DB8F5BD453330F951730CACF8DFD51158E5A339D7E209242506BB178EF7D8DEC70BD82308802j5G" TargetMode="External"/><Relationship Id="rId53" Type="http://schemas.openxmlformats.org/officeDocument/2006/relationships/hyperlink" Target="consultantplus://offline/ref=75E3A29246F5B86E7229133B76FDABC73A27CD0E9303ECDD8F5FD453330F951730CACF8DFD51158E5A339C7E269242506BB178EF7D8DEC70BD82308802j5G" TargetMode="External"/><Relationship Id="rId58" Type="http://schemas.openxmlformats.org/officeDocument/2006/relationships/hyperlink" Target="consultantplus://offline/ref=75E3A29246F5B86E7229133B76FDABC73A27CD0E9301EFD98F59D453330F951730CACF8DFD51158E5A339A7D299242506BB178EF7D8DEC70BD82308802j5G" TargetMode="External"/><Relationship Id="rId66" Type="http://schemas.openxmlformats.org/officeDocument/2006/relationships/hyperlink" Target="consultantplus://offline/ref=75E3A29246F5B86E7229133B76FDABC73A27CD0E9307E9DF8D5ED453330F951730CACF8DFD51158E5A339975219242506BB178EF7D8DEC70BD82308802j5G" TargetMode="External"/><Relationship Id="rId74" Type="http://schemas.openxmlformats.org/officeDocument/2006/relationships/hyperlink" Target="consultantplus://offline/ref=75E3A29246F5B86E7229133B76FDABC73A27CD0E900AE4DE8E50D453330F951730CACF8DFD51158E5A33987B289242506BB178EF7D8DEC70BD82308802j5G" TargetMode="External"/><Relationship Id="rId79" Type="http://schemas.openxmlformats.org/officeDocument/2006/relationships/hyperlink" Target="consultantplus://offline/ref=75E3A29246F5B86E7229133B76FDABC73A27CD0E9307E9DF8D5ED453330F951730CACF8DFD51158E5A33987A259242506BB178EF7D8DEC70BD82308802j5G" TargetMode="External"/><Relationship Id="rId5" Type="http://schemas.openxmlformats.org/officeDocument/2006/relationships/hyperlink" Target="consultantplus://offline/ref=75E3A29246F5B86E7229133B76FDABC73A27CD0E9005E5DF8950D453330F951730CACF8DFD51158E5A339B7C219242506BB178EF7D8DEC70BD82308802j5G" TargetMode="External"/><Relationship Id="rId61" Type="http://schemas.openxmlformats.org/officeDocument/2006/relationships/hyperlink" Target="consultantplus://offline/ref=75E3A29246F5B86E7229133B76FDABC73A27CD0E9307E9DB8F5BD453330F951730CACF8DFD51158E5A339D7B299242506BB178EF7D8DEC70BD82308802j5G" TargetMode="External"/><Relationship Id="rId82" Type="http://schemas.openxmlformats.org/officeDocument/2006/relationships/hyperlink" Target="consultantplus://offline/ref=75E3A29246F5B86E7229133B76FDABC73A27CD0E9307E9DF8D5ED453330F951730CACF8DFD51158E5A33987A259242506BB178EF7D8DEC70BD82308802j5G" TargetMode="External"/><Relationship Id="rId10" Type="http://schemas.openxmlformats.org/officeDocument/2006/relationships/hyperlink" Target="consultantplus://offline/ref=75E3A29246F5B86E7229133B76FDABC73A27CD0E9303EFDA8D5CD453330F951730CACF8DFD51158E5A339B7D259242506BB178EF7D8DEC70BD82308802j5G" TargetMode="External"/><Relationship Id="rId19" Type="http://schemas.openxmlformats.org/officeDocument/2006/relationships/hyperlink" Target="consultantplus://offline/ref=75E3A29246F5B86E7229133B76FDABC73A27CD0E9307E8DF8F5DD453330F951730CACF8DFD51158E5A339B79229242506BB178EF7D8DEC70BD82308802j5G" TargetMode="External"/><Relationship Id="rId31" Type="http://schemas.openxmlformats.org/officeDocument/2006/relationships/hyperlink" Target="consultantplus://offline/ref=75E3A29246F5B86E7229133B76FDABC73A27CD0E9303EFDC8D59D453330F951730CACF8DFD51158E5A339A7B249242506BB178EF7D8DEC70BD82308802j5G" TargetMode="External"/><Relationship Id="rId44" Type="http://schemas.openxmlformats.org/officeDocument/2006/relationships/hyperlink" Target="consultantplus://offline/ref=75E3A29246F5B86E7229133B76FDABC73A27CD0E9307E9DB8F5BD453330F951730CACF8DFD51158E5A339E7C229242506BB178EF7D8DEC70BD82308802j5G" TargetMode="External"/><Relationship Id="rId52" Type="http://schemas.openxmlformats.org/officeDocument/2006/relationships/hyperlink" Target="consultantplus://offline/ref=75E3A29246F5B86E72290D366091FCC83F2B94069000E68FD20DD2046C5F9342708AC9D8BE161D885838CF2C64CC1B022EFA75ED6291EC730Aj1G" TargetMode="External"/><Relationship Id="rId60" Type="http://schemas.openxmlformats.org/officeDocument/2006/relationships/hyperlink" Target="consultantplus://offline/ref=75E3A29246F5B86E7229133B76FDABC73A27CD0E9301EFD08651D453330F951730CACF8DFD51158E5A339A78249242506BB178EF7D8DEC70BD82308802j5G" TargetMode="External"/><Relationship Id="rId65" Type="http://schemas.openxmlformats.org/officeDocument/2006/relationships/hyperlink" Target="consultantplus://offline/ref=75E3A29246F5B86E7229133B76FDABC73A27CD0E9307E9DF8D5ED453330F951730CACF8DFD51158E5A339978239242506BB178EF7D8DEC70BD82308802j5G" TargetMode="External"/><Relationship Id="rId73" Type="http://schemas.openxmlformats.org/officeDocument/2006/relationships/hyperlink" Target="consultantplus://offline/ref=75E3A29246F5B86E7229133B76FDABC73A27CD0E9303ECDD8F5FD453330F951730CACF8DFD51158E5A33937D239242506BB178EF7D8DEC70BD82308802j5G" TargetMode="External"/><Relationship Id="rId78" Type="http://schemas.openxmlformats.org/officeDocument/2006/relationships/hyperlink" Target="consultantplus://offline/ref=75E3A29246F5B86E7229133B76FDABC73A27CD0E9301ECD08F5AD453330F951730CACF8DFD51158E5A339C7E249242506BB178EF7D8DEC70BD82308802j5G" TargetMode="External"/><Relationship Id="rId81" Type="http://schemas.openxmlformats.org/officeDocument/2006/relationships/hyperlink" Target="consultantplus://offline/ref=75E3A29246F5B86E7229133B76FDABC73A27CD0E9301ECD08F5AD453330F951730CACF8DFD51158E5A339C7E249242506BB178EF7D8DEC70BD82308802j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E3A29246F5B86E7229133B76FDABC73A27CD0E9303EFDB8B5CD453330F951730CACF8DFD51158E5A339B7D289242506BB178EF7D8DEC70BD82308802j5G" TargetMode="External"/><Relationship Id="rId14" Type="http://schemas.openxmlformats.org/officeDocument/2006/relationships/hyperlink" Target="consultantplus://offline/ref=75E3A29246F5B86E7229133B76FDABC73A27CD0E9301EFD98F59D453330F951730CACF8DFD51158E5A339B7D259242506BB178EF7D8DEC70BD82308802j5G" TargetMode="External"/><Relationship Id="rId22" Type="http://schemas.openxmlformats.org/officeDocument/2006/relationships/hyperlink" Target="consultantplus://offline/ref=75E3A29246F5B86E72290D366091FCC8382C92079806E68FD20DD2046C5F9342628A91D4BD14068F5B2D997D2209jBG" TargetMode="External"/><Relationship Id="rId27" Type="http://schemas.openxmlformats.org/officeDocument/2006/relationships/hyperlink" Target="consultantplus://offline/ref=75E3A29246F5B86E7229133B76FDABC73A27CD0E900AE4DE8E50D453330F951730CACF8DFD51158E5A339B7F249242506BB178EF7D8DEC70BD82308802j5G" TargetMode="External"/><Relationship Id="rId30" Type="http://schemas.openxmlformats.org/officeDocument/2006/relationships/hyperlink" Target="consultantplus://offline/ref=75E3A29246F5B86E7229133B76FDABC73A27CD0E9303EFDA8D5CD453330F951730CACF8DFD51158E5A339B7D269242506BB178EF7D8DEC70BD82308802j5G" TargetMode="External"/><Relationship Id="rId35" Type="http://schemas.openxmlformats.org/officeDocument/2006/relationships/hyperlink" Target="consultantplus://offline/ref=75E3A29246F5B86E7229133B76FDABC73A27CD0E9301EEDB865AD453330F951730CACF8DFD51158E5A339B79239242506BB178EF7D8DEC70BD82308802j5G" TargetMode="External"/><Relationship Id="rId43" Type="http://schemas.openxmlformats.org/officeDocument/2006/relationships/hyperlink" Target="consultantplus://offline/ref=75E3A29246F5B86E7229133B76FDABC73A27CD0E9307E9DB8F5BD453330F951730CACF8DFD51158E5A339F7C279242506BB178EF7D8DEC70BD82308802j5G" TargetMode="External"/><Relationship Id="rId48" Type="http://schemas.openxmlformats.org/officeDocument/2006/relationships/hyperlink" Target="consultantplus://offline/ref=75E3A29246F5B86E7229133B76FDABC73A27CD0E9307E9DF8D5ED453330F951730CACF8DFD51158E5A339B75209242506BB178EF7D8DEC70BD82308802j5G" TargetMode="External"/><Relationship Id="rId56" Type="http://schemas.openxmlformats.org/officeDocument/2006/relationships/hyperlink" Target="consultantplus://offline/ref=75E3A29246F5B86E7229133B76FDABC73A27CD0E9303EFDA8D5CD453330F951730CACF8DFD51158E5A339A79279242506BB178EF7D8DEC70BD82308802j5G" TargetMode="External"/><Relationship Id="rId64" Type="http://schemas.openxmlformats.org/officeDocument/2006/relationships/hyperlink" Target="consultantplus://offline/ref=75E3A29246F5B86E7229133B76FDABC73A27CD0E9307E9DB8F5BD453330F951730CACF8DFD51158E5A339D7B299242506BB178EF7D8DEC70BD82308802j5G" TargetMode="External"/><Relationship Id="rId69" Type="http://schemas.openxmlformats.org/officeDocument/2006/relationships/hyperlink" Target="consultantplus://offline/ref=75E3A29246F5B86E7229133B76FDABC73A27CD0E9307E9DF8D5ED453330F951730CACF8DFD51158E5A339879289242506BB178EF7D8DEC70BD82308802j5G" TargetMode="External"/><Relationship Id="rId77" Type="http://schemas.openxmlformats.org/officeDocument/2006/relationships/hyperlink" Target="consultantplus://offline/ref=75E3A29246F5B86E7229133B76FDABC73A27CD0E9303ECDD8F5FD453330F951730CACF8DFD51158E5A33937D239242506BB178EF7D8DEC70BD82308802j5G" TargetMode="External"/><Relationship Id="rId8" Type="http://schemas.openxmlformats.org/officeDocument/2006/relationships/hyperlink" Target="consultantplus://offline/ref=75E3A29246F5B86E7229133B76FDABC73A27CD0E9303ECDF895FD453330F951730CACF8DFD51158E5A339875269242506BB178EF7D8DEC70BD82308802j5G" TargetMode="External"/><Relationship Id="rId51" Type="http://schemas.openxmlformats.org/officeDocument/2006/relationships/hyperlink" Target="consultantplus://offline/ref=75E3A29246F5B86E72290D366091FCC83F2B94069000E68FD20DD2046C5F9342708AC9D8BE151C895D38CF2C64CC1B022EFA75ED6291EC730Aj1G" TargetMode="External"/><Relationship Id="rId72" Type="http://schemas.openxmlformats.org/officeDocument/2006/relationships/hyperlink" Target="consultantplus://offline/ref=75E3A29246F5B86E72290D366091FCC83F2B94069000E68FD20DD2046C5F9342708AC9D8BE161D885838CF2C64CC1B022EFA75ED6291EC730Aj1G" TargetMode="External"/><Relationship Id="rId80" Type="http://schemas.openxmlformats.org/officeDocument/2006/relationships/hyperlink" Target="consultantplus://offline/ref=75E3A29246F5B86E7229133B76FDABC73A27CD0E9303ECDD8F5FD453330F951730CACF8DFD51158E5A33937D239242506BB178EF7D8DEC70BD82308802j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5E3A29246F5B86E7229133B76FDABC73A27CD0E9303EFD18A5ED453330F951730CACF8DFD51158E5A339B7D259242506BB178EF7D8DEC70BD82308802j5G" TargetMode="External"/><Relationship Id="rId17" Type="http://schemas.openxmlformats.org/officeDocument/2006/relationships/hyperlink" Target="consultantplus://offline/ref=75E3A29246F5B86E7229133B76FDABC73A27CD0E9307E9DB8F5BD453330F951730CACF8DFD51158E5A339879229242506BB178EF7D8DEC70BD82308802j5G" TargetMode="External"/><Relationship Id="rId25" Type="http://schemas.openxmlformats.org/officeDocument/2006/relationships/hyperlink" Target="consultantplus://offline/ref=75E3A29246F5B86E7229133B76FDABC73A27CD0E9005E5DF8950D453330F951730CACF8DFD51158E5A339B7C219242506BB178EF7D8DEC70BD82308802j5G" TargetMode="External"/><Relationship Id="rId33" Type="http://schemas.openxmlformats.org/officeDocument/2006/relationships/hyperlink" Target="consultantplus://offline/ref=75E3A29246F5B86E7229133B76FDABC73A27CD0E9301ECD08F5AD453330F951730CACF8DFD51158E5A33987B279242506BB178EF7D8DEC70BD82308802j5G" TargetMode="External"/><Relationship Id="rId38" Type="http://schemas.openxmlformats.org/officeDocument/2006/relationships/hyperlink" Target="consultantplus://offline/ref=75E3A29246F5B86E7229133B76FDABC73A27CD0E9307E9DF8D5ED453330F951730CACF8DFD51158E5A339B7D269242506BB178EF7D8DEC70BD82308802j5G" TargetMode="External"/><Relationship Id="rId46" Type="http://schemas.openxmlformats.org/officeDocument/2006/relationships/hyperlink" Target="consultantplus://offline/ref=75E3A29246F5B86E7229133B76FDABC73A27CD0E9307E9DF8D5ED453330F951730CACF8DFD51158E5A339B78219242506BB178EF7D8DEC70BD82308802j5G" TargetMode="External"/><Relationship Id="rId59" Type="http://schemas.openxmlformats.org/officeDocument/2006/relationships/hyperlink" Target="consultantplus://offline/ref=75E3A29246F5B86E7229133B76FDABC73A27CD0E9301EEDB865AD453330F951730CACF8DFD51158E5A339B7A229242506BB178EF7D8DEC70BD82308802j5G" TargetMode="External"/><Relationship Id="rId67" Type="http://schemas.openxmlformats.org/officeDocument/2006/relationships/hyperlink" Target="consultantplus://offline/ref=75E3A29246F5B86E7229133B76FDABC73A27CD0E9307E9DF8D5ED453330F951730CACF8DFD51158E5A339974269242506BB178EF7D8DEC70BD82308802j5G" TargetMode="External"/><Relationship Id="rId20" Type="http://schemas.openxmlformats.org/officeDocument/2006/relationships/hyperlink" Target="consultantplus://offline/ref=75E3A29246F5B86E7229133B76FDABC73A27CD0E9307E8D08E5FD453330F951730CACF8DFD51158E5A339B7D259242506BB178EF7D8DEC70BD82308802j5G" TargetMode="External"/><Relationship Id="rId41" Type="http://schemas.openxmlformats.org/officeDocument/2006/relationships/hyperlink" Target="consultantplus://offline/ref=75E3A29246F5B86E7229133B76FDABC73A27CD0E9307E9DF8D5ED453330F951730CACF8DFD51158E5A339B7F249242506BB178EF7D8DEC70BD82308802j5G" TargetMode="External"/><Relationship Id="rId54" Type="http://schemas.openxmlformats.org/officeDocument/2006/relationships/hyperlink" Target="consultantplus://offline/ref=75E3A29246F5B86E7229133B76FDABC73A27CD0E900AE4DE8E50D453330F951730CACF8DFD51158E5A339978279242506BB178EF7D8DEC70BD82308802j5G" TargetMode="External"/><Relationship Id="rId62" Type="http://schemas.openxmlformats.org/officeDocument/2006/relationships/hyperlink" Target="consultantplus://offline/ref=75E3A29246F5B86E7229133B76FDABC73A27CD0E9307E9DF8D5ED453330F951730CACF8DFD51158E5A339978239242506BB178EF7D8DEC70BD82308802j5G" TargetMode="External"/><Relationship Id="rId70" Type="http://schemas.openxmlformats.org/officeDocument/2006/relationships/hyperlink" Target="consultantplus://offline/ref=75E3A29246F5B86E7229133B76FDABC73A27CD0E9307E8DF8F5DD453330F951730CACF8DFD51158E5A339B79229242506BB178EF7D8DEC70BD82308802j5G" TargetMode="External"/><Relationship Id="rId75" Type="http://schemas.openxmlformats.org/officeDocument/2006/relationships/hyperlink" Target="consultantplus://offline/ref=75E3A29246F5B86E7229133B76FDABC73A27CD0E900AE4DE8E50D453330F951730CACF8DFD51158E5A33987B289242506BB178EF7D8DEC70BD82308802j5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3A29246F5B86E7229133B76FDABC73A27CD0E9303ECDD8F5FD453330F951730CACF8DFD51158E5A339875239242506BB178EF7D8DEC70BD82308802j5G" TargetMode="External"/><Relationship Id="rId15" Type="http://schemas.openxmlformats.org/officeDocument/2006/relationships/hyperlink" Target="consultantplus://offline/ref=75E3A29246F5B86E7229133B76FDABC73A27CD0E9301EEDB865AD453330F951730CACF8DFD51158E5A339B79229242506BB178EF7D8DEC70BD82308802j5G" TargetMode="External"/><Relationship Id="rId23" Type="http://schemas.openxmlformats.org/officeDocument/2006/relationships/hyperlink" Target="consultantplus://offline/ref=75E3A29246F5B86E72290D366091FCC83F2A9A069403E68FD20DD2046C5F9342628A91D4BD14068F5B2D997D2209jBG" TargetMode="External"/><Relationship Id="rId28" Type="http://schemas.openxmlformats.org/officeDocument/2006/relationships/hyperlink" Target="consultantplus://offline/ref=75E3A29246F5B86E7229133B76FDABC73A27CD0E9303ECDF895FD453330F951730CACF8DFD51158E5A339875279242506BB178EF7D8DEC70BD82308802j5G" TargetMode="External"/><Relationship Id="rId36" Type="http://schemas.openxmlformats.org/officeDocument/2006/relationships/hyperlink" Target="consultantplus://offline/ref=75E3A29246F5B86E7229133B76FDABC73A27CD0E9301EFD08651D453330F951730CACF8DFD51158E5A339B7D269242506BB178EF7D8DEC70BD82308802j5G" TargetMode="External"/><Relationship Id="rId49" Type="http://schemas.openxmlformats.org/officeDocument/2006/relationships/hyperlink" Target="consultantplus://offline/ref=75E3A29246F5B86E7229133B76FDABC73A27CD0E9307E9DF8D5ED453330F951730CACF8DFD51158E5A339A7A279242506BB178EF7D8DEC70BD82308802j5G" TargetMode="External"/><Relationship Id="rId57" Type="http://schemas.openxmlformats.org/officeDocument/2006/relationships/hyperlink" Target="consultantplus://offline/ref=75E3A29246F5B86E7229133B76FDABC73A27CD0E9301ECD08F5AD453330F951730CACF8DFD51158E5A339D74239242506BB178EF7D8DEC70BD82308802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6594</Words>
  <Characters>37588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2022-01-31T06:35:00Z</dcterms:created>
  <dcterms:modified xsi:type="dcterms:W3CDTF">2022-01-31T06:45:00Z</dcterms:modified>
</cp:coreProperties>
</file>