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0E" w:rsidRDefault="0088390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390E" w:rsidRDefault="0088390E">
      <w:pPr>
        <w:pStyle w:val="ConsPlusNormal"/>
        <w:jc w:val="both"/>
        <w:outlineLvl w:val="0"/>
      </w:pPr>
    </w:p>
    <w:p w:rsidR="0088390E" w:rsidRDefault="0088390E">
      <w:pPr>
        <w:pStyle w:val="ConsPlusTitle"/>
        <w:jc w:val="center"/>
        <w:outlineLvl w:val="0"/>
      </w:pPr>
      <w:r>
        <w:t>РЕГИОНАЛЬНАЯ ЭНЕРГЕТИЧЕСКАЯ КОМИССИЯ ТЮМЕНСКОЙ ОБЛАСТИ,</w:t>
      </w:r>
    </w:p>
    <w:p w:rsidR="0088390E" w:rsidRDefault="0088390E">
      <w:pPr>
        <w:pStyle w:val="ConsPlusTitle"/>
        <w:jc w:val="center"/>
      </w:pPr>
      <w:r>
        <w:t>ХАНТЫ-МАНСИЙСКОГО АВТОНОМНОГО ОКРУГА - ЮГРЫ,</w:t>
      </w:r>
    </w:p>
    <w:p w:rsidR="0088390E" w:rsidRDefault="0088390E">
      <w:pPr>
        <w:pStyle w:val="ConsPlusTitle"/>
        <w:jc w:val="center"/>
      </w:pPr>
      <w:r>
        <w:t>ЯМАЛО-НЕНЕЦКОГО АВТОНОМНОГО ОКРУГА</w:t>
      </w:r>
    </w:p>
    <w:p w:rsidR="0088390E" w:rsidRDefault="0088390E">
      <w:pPr>
        <w:pStyle w:val="ConsPlusTitle"/>
        <w:jc w:val="center"/>
      </w:pPr>
    </w:p>
    <w:p w:rsidR="0088390E" w:rsidRDefault="0088390E">
      <w:pPr>
        <w:pStyle w:val="ConsPlusTitle"/>
        <w:jc w:val="center"/>
      </w:pPr>
      <w:r>
        <w:t>РАСПОРЯЖЕНИЕ</w:t>
      </w:r>
    </w:p>
    <w:p w:rsidR="0088390E" w:rsidRDefault="0088390E">
      <w:pPr>
        <w:pStyle w:val="ConsPlusTitle"/>
        <w:jc w:val="center"/>
      </w:pPr>
      <w:r>
        <w:t>от 22 ноября 2019 г. N 15</w:t>
      </w:r>
    </w:p>
    <w:p w:rsidR="0088390E" w:rsidRDefault="0088390E">
      <w:pPr>
        <w:pStyle w:val="ConsPlusTitle"/>
        <w:jc w:val="center"/>
      </w:pPr>
    </w:p>
    <w:p w:rsidR="0088390E" w:rsidRDefault="0088390E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88390E" w:rsidRDefault="0088390E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88390E" w:rsidRDefault="0088390E">
      <w:pPr>
        <w:pStyle w:val="ConsPlusTitle"/>
        <w:jc w:val="center"/>
      </w:pPr>
      <w:r>
        <w:t>ПО ТЮМЕНСКОЙ ОБЛАСТИ, ХАНТЫ-МАНСИЙСКОМУ АВТОНОМНОМУ ОКРУГУ -</w:t>
      </w:r>
    </w:p>
    <w:p w:rsidR="0088390E" w:rsidRDefault="0088390E">
      <w:pPr>
        <w:pStyle w:val="ConsPlusTitle"/>
        <w:jc w:val="center"/>
      </w:pPr>
      <w:r>
        <w:t>ЮГРЕ И ЯМАЛО-НЕНЕЦКОМУ АВТОНОМНОМУ ОКРУГУ НА 2020 ГОД</w:t>
      </w: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 w:history="1">
        <w:r>
          <w:rPr>
            <w:color w:val="0000FF"/>
          </w:rPr>
          <w:t>Индексами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на 2020 год, утвержденными распоряжением Правительства Российской Федерации от 29.10.2019 N 2556-р,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ФАС России от 11.10.2019 N 1338/19 "О предельных минимальных и максимальных уровнях тарифов на электрическую энергию (мощность) на 2020 год":</w:t>
      </w:r>
    </w:p>
    <w:p w:rsidR="0088390E" w:rsidRDefault="0088390E">
      <w:pPr>
        <w:pStyle w:val="ConsPlusNormal"/>
        <w:spacing w:before="220"/>
        <w:ind w:firstLine="540"/>
        <w:jc w:val="both"/>
      </w:pPr>
      <w:r>
        <w:t xml:space="preserve">Установить с 1 января 2020 года по 31 декабря 2020 года </w:t>
      </w:r>
      <w:hyperlink w:anchor="P27" w:history="1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по Тюменской области, Ханты-Мансийскому автономному округу - Югре и Ямало-Ненецкому автономному округу, согласно приложению.</w:t>
      </w: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right"/>
      </w:pPr>
      <w:r>
        <w:t>Заместитель председателя</w:t>
      </w:r>
    </w:p>
    <w:p w:rsidR="0088390E" w:rsidRDefault="0088390E">
      <w:pPr>
        <w:pStyle w:val="ConsPlusNormal"/>
        <w:jc w:val="right"/>
      </w:pPr>
      <w:r>
        <w:t>А.В.ЛИТВЯКОВ</w:t>
      </w: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right"/>
        <w:outlineLvl w:val="0"/>
      </w:pPr>
      <w:r>
        <w:lastRenderedPageBreak/>
        <w:t>Приложение</w:t>
      </w:r>
    </w:p>
    <w:p w:rsidR="0088390E" w:rsidRDefault="0088390E">
      <w:pPr>
        <w:pStyle w:val="ConsPlusNormal"/>
        <w:jc w:val="right"/>
      </w:pPr>
      <w:r>
        <w:t>к распоряжению</w:t>
      </w:r>
    </w:p>
    <w:p w:rsidR="0088390E" w:rsidRDefault="0088390E">
      <w:pPr>
        <w:pStyle w:val="ConsPlusNormal"/>
        <w:jc w:val="right"/>
      </w:pPr>
      <w:r>
        <w:t>от 22.11.2019 N 15</w:t>
      </w: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Title"/>
        <w:jc w:val="center"/>
      </w:pPr>
      <w:bookmarkStart w:id="0" w:name="P27"/>
      <w:bookmarkEnd w:id="0"/>
      <w:r>
        <w:t>ЦЕНЫ (ТАРИФЫ)</w:t>
      </w:r>
    </w:p>
    <w:p w:rsidR="0088390E" w:rsidRDefault="0088390E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88390E" w:rsidRDefault="0088390E">
      <w:pPr>
        <w:pStyle w:val="ConsPlusTitle"/>
        <w:jc w:val="center"/>
      </w:pPr>
      <w:r>
        <w:t>КАТЕГОРИЙ ПОТРЕБИТЕЛЕЙ ПО ТЮМЕНСКОЙ ОБЛАСТИ,</w:t>
      </w:r>
    </w:p>
    <w:p w:rsidR="0088390E" w:rsidRDefault="0088390E">
      <w:pPr>
        <w:pStyle w:val="ConsPlusTitle"/>
        <w:jc w:val="center"/>
      </w:pPr>
      <w:r>
        <w:t>ХАНТЫ-МАНСИЙСКОМУ АВТОНОМНОМУ ОКРУГУ - ЮГРЕ</w:t>
      </w:r>
    </w:p>
    <w:p w:rsidR="0088390E" w:rsidRDefault="0088390E">
      <w:pPr>
        <w:pStyle w:val="ConsPlusTitle"/>
        <w:jc w:val="center"/>
      </w:pPr>
      <w:r>
        <w:t>И ЯМАЛО-НЕНЕЦКОМУ АВТОНОМНОМУ ОКРУГУ НА 2020 ГОД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39"/>
        <w:gridCol w:w="1247"/>
        <w:gridCol w:w="2065"/>
        <w:gridCol w:w="1515"/>
      </w:tblGrid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N</w:t>
            </w:r>
          </w:p>
          <w:p w:rsidR="0088390E" w:rsidRDefault="008839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139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Показатель (группы потребителей</w:t>
            </w:r>
          </w:p>
          <w:p w:rsidR="0088390E" w:rsidRDefault="0088390E">
            <w:pPr>
              <w:pStyle w:val="ConsPlusNormal"/>
              <w:jc w:val="center"/>
            </w:pPr>
            <w:r>
              <w:t>с разбивкой по ставкам и</w:t>
            </w:r>
          </w:p>
          <w:p w:rsidR="0088390E" w:rsidRDefault="0088390E">
            <w:pPr>
              <w:pStyle w:val="ConsPlusNormal"/>
              <w:jc w:val="center"/>
            </w:pPr>
            <w:r>
              <w:t>дифференциацией по зонам суток)</w:t>
            </w:r>
          </w:p>
        </w:tc>
        <w:tc>
          <w:tcPr>
            <w:tcW w:w="1247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  <w:vMerge/>
          </w:tcPr>
          <w:p w:rsidR="0088390E" w:rsidRDefault="0088390E"/>
        </w:tc>
        <w:tc>
          <w:tcPr>
            <w:tcW w:w="1247" w:type="dxa"/>
            <w:vMerge/>
          </w:tcPr>
          <w:p w:rsidR="0088390E" w:rsidRDefault="0088390E"/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Цена</w:t>
            </w:r>
          </w:p>
          <w:p w:rsidR="0088390E" w:rsidRDefault="0088390E">
            <w:pPr>
              <w:pStyle w:val="ConsPlusNormal"/>
              <w:jc w:val="center"/>
            </w:pPr>
            <w:r>
              <w:t>(тариф)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Цена</w:t>
            </w:r>
          </w:p>
          <w:p w:rsidR="0088390E" w:rsidRDefault="0088390E">
            <w:pPr>
              <w:pStyle w:val="ConsPlusNormal"/>
              <w:jc w:val="center"/>
            </w:pPr>
            <w:r>
              <w:t>(тариф)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88390E" w:rsidRDefault="008839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5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r>
              <w:t xml:space="preserve">Население и приравненные к ним, за исключением населения и потребителей, указанных в </w:t>
            </w:r>
            <w:hyperlink w:anchor="P84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118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НДС):</w:t>
            </w:r>
          </w:p>
          <w:p w:rsidR="0088390E" w:rsidRDefault="0088390E">
            <w:pPr>
              <w:pStyle w:val="ConsPlusNormal"/>
            </w:pPr>
            <w:r>
      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8390E" w:rsidRDefault="0088390E">
            <w:pPr>
              <w:pStyle w:val="ConsPlusNormal"/>
            </w:pPr>
            <w:r>
              <w:t>-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3,02</w:t>
            </w:r>
          </w:p>
        </w:tc>
      </w:tr>
      <w:tr w:rsidR="0088390E" w:rsidTr="0088390E">
        <w:trPr>
          <w:trHeight w:val="136"/>
        </w:trPr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rPr>
          <w:trHeight w:val="21"/>
        </w:trPr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3,04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  <w:outlineLvl w:val="1"/>
            </w:pPr>
            <w:bookmarkStart w:id="1" w:name="P84"/>
            <w:bookmarkEnd w:id="1"/>
            <w:r>
              <w:t>2.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(или) электроотопительными установками </w:t>
            </w:r>
            <w:hyperlink w:anchor="P287" w:history="1">
              <w:r>
                <w:rPr>
                  <w:color w:val="0000FF"/>
                </w:rPr>
                <w:t>&lt;2&gt;</w:t>
              </w:r>
            </w:hyperlink>
            <w:r>
              <w:t>, и приравненные к ним (тарифы указываются с учетом НДС):</w:t>
            </w:r>
          </w:p>
          <w:p w:rsidR="0088390E" w:rsidRDefault="0088390E">
            <w:pPr>
              <w:pStyle w:val="ConsPlusNormal"/>
            </w:pPr>
            <w:r>
      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8390E" w:rsidRDefault="0088390E">
            <w:pPr>
              <w:pStyle w:val="ConsPlusNormal"/>
            </w:pPr>
            <w:r>
              <w:t>-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2,09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2,11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1,04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2,14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2,09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1,04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  <w:outlineLvl w:val="1"/>
            </w:pPr>
            <w:bookmarkStart w:id="2" w:name="P118"/>
            <w:bookmarkEnd w:id="2"/>
            <w:r>
              <w:t>3.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r>
              <w:t xml:space="preserve">Население, проживающее в сельских населенных пунктах </w:t>
            </w:r>
            <w:hyperlink w:anchor="P288" w:history="1">
              <w:r>
                <w:rPr>
                  <w:color w:val="0000FF"/>
                </w:rPr>
                <w:t>&lt;3&gt;</w:t>
              </w:r>
            </w:hyperlink>
            <w:r>
              <w:t>, и приравненные к ним (тарифы указываются с учетом НДС):</w:t>
            </w:r>
          </w:p>
          <w:p w:rsidR="0088390E" w:rsidRDefault="0088390E">
            <w:pPr>
              <w:pStyle w:val="ConsPlusNormal"/>
            </w:pPr>
            <w:r>
      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>
              <w:lastRenderedPageBreak/>
              <w:t>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8390E" w:rsidRDefault="0088390E">
            <w:pPr>
              <w:pStyle w:val="ConsPlusNormal"/>
            </w:pPr>
            <w:r>
              <w:t>-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2,09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2,11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1,04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rPr>
          <w:trHeight w:val="165"/>
        </w:trPr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2,14</w:t>
            </w:r>
          </w:p>
        </w:tc>
      </w:tr>
      <w:tr w:rsidR="0088390E" w:rsidTr="0088390E">
        <w:trPr>
          <w:trHeight w:val="115"/>
        </w:trPr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2,09</w:t>
            </w:r>
          </w:p>
        </w:tc>
      </w:tr>
      <w:tr w:rsidR="0088390E" w:rsidTr="0088390E">
        <w:trPr>
          <w:trHeight w:val="52"/>
        </w:trPr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1,04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r>
              <w:t>Потребители, приравненные к населению (тарифы указываются с учетом НДС):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9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3,02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3,04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r>
              <w:t xml:space="preserve">Юридические лица, приобретающие электрическую энергию (мощность) в целях </w:t>
            </w:r>
            <w:r>
              <w:lastRenderedPageBreak/>
              <w:t>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9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lastRenderedPageBreak/>
              <w:t>4.2.1</w:t>
            </w:r>
          </w:p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3,02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3,04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9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3,02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3,04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8390E" w:rsidRDefault="0088390E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9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88390E" w:rsidTr="0088390E">
        <w:tc>
          <w:tcPr>
            <w:tcW w:w="624" w:type="dxa"/>
          </w:tcPr>
          <w:p w:rsidR="0088390E" w:rsidRDefault="0088390E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3,02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  <w:tr w:rsidR="0088390E" w:rsidTr="0088390E">
        <w:tc>
          <w:tcPr>
            <w:tcW w:w="624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8966" w:type="dxa"/>
            <w:gridSpan w:val="4"/>
          </w:tcPr>
          <w:p w:rsidR="0088390E" w:rsidRDefault="008839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3,04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2,97</w:t>
            </w:r>
          </w:p>
        </w:tc>
      </w:tr>
      <w:tr w:rsidR="0088390E" w:rsidTr="0088390E">
        <w:tc>
          <w:tcPr>
            <w:tcW w:w="624" w:type="dxa"/>
            <w:vMerge/>
          </w:tcPr>
          <w:p w:rsidR="0088390E" w:rsidRDefault="0088390E"/>
        </w:tc>
        <w:tc>
          <w:tcPr>
            <w:tcW w:w="4139" w:type="dxa"/>
          </w:tcPr>
          <w:p w:rsidR="0088390E" w:rsidRDefault="0088390E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88390E" w:rsidRDefault="0088390E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065" w:type="dxa"/>
          </w:tcPr>
          <w:p w:rsidR="0088390E" w:rsidRDefault="0088390E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515" w:type="dxa"/>
          </w:tcPr>
          <w:p w:rsidR="0088390E" w:rsidRDefault="0088390E">
            <w:pPr>
              <w:pStyle w:val="ConsPlusNormal"/>
              <w:jc w:val="center"/>
            </w:pPr>
            <w:r>
              <w:t>1,49</w:t>
            </w:r>
          </w:p>
        </w:tc>
      </w:tr>
    </w:tbl>
    <w:p w:rsidR="0088390E" w:rsidRDefault="0088390E">
      <w:pPr>
        <w:pStyle w:val="ConsPlusNormal"/>
        <w:spacing w:before="220"/>
        <w:ind w:firstLine="540"/>
        <w:jc w:val="both"/>
      </w:pPr>
      <w:r>
        <w:t>Примечание:</w:t>
      </w:r>
    </w:p>
    <w:p w:rsidR="0088390E" w:rsidRDefault="0088390E">
      <w:pPr>
        <w:pStyle w:val="ConsPlusNormal"/>
        <w:spacing w:before="220"/>
        <w:ind w:firstLine="540"/>
        <w:jc w:val="both"/>
      </w:pPr>
      <w:bookmarkStart w:id="3" w:name="P286"/>
      <w:bookmarkEnd w:id="3"/>
      <w:r>
        <w:t>&lt;1&gt; Интервалы тарифных зон суток (по месяцам календарного года) утверждаются Федеральной антимонопольной службой России.</w:t>
      </w:r>
    </w:p>
    <w:p w:rsidR="0088390E" w:rsidRDefault="0088390E">
      <w:pPr>
        <w:pStyle w:val="ConsPlusNormal"/>
        <w:spacing w:before="220"/>
        <w:ind w:firstLine="540"/>
        <w:jc w:val="both"/>
      </w:pPr>
      <w:bookmarkStart w:id="4" w:name="P287"/>
      <w:bookmarkEnd w:id="4"/>
      <w:r>
        <w:t xml:space="preserve">&lt;2&gt; Тариф указан с применением понижающего коэффициента 0,7 в соответствии с </w:t>
      </w:r>
      <w:hyperlink r:id="rId9" w:history="1">
        <w:r>
          <w:rPr>
            <w:color w:val="0000FF"/>
          </w:rPr>
          <w:t>решением</w:t>
        </w:r>
      </w:hyperlink>
      <w:r>
        <w:t xml:space="preserve"> РЭК N 189 от 29.06.2012.</w:t>
      </w:r>
    </w:p>
    <w:p w:rsidR="0088390E" w:rsidRDefault="0088390E">
      <w:pPr>
        <w:pStyle w:val="ConsPlusNormal"/>
        <w:spacing w:before="220"/>
        <w:ind w:firstLine="540"/>
        <w:jc w:val="both"/>
      </w:pPr>
      <w:bookmarkStart w:id="5" w:name="P288"/>
      <w:bookmarkEnd w:id="5"/>
      <w:r>
        <w:t xml:space="preserve">&lt;3&gt; Тариф указан с применением понижающего коэффициента 0,7 в соответствии с </w:t>
      </w:r>
      <w:hyperlink r:id="rId10" w:history="1">
        <w:r>
          <w:rPr>
            <w:color w:val="0000FF"/>
          </w:rPr>
          <w:t>решением</w:t>
        </w:r>
      </w:hyperlink>
      <w:r>
        <w:t xml:space="preserve"> РЭК N 129 от 12.11.2013.</w:t>
      </w:r>
    </w:p>
    <w:p w:rsidR="0088390E" w:rsidRDefault="0088390E">
      <w:pPr>
        <w:pStyle w:val="ConsPlusNormal"/>
        <w:spacing w:before="220"/>
        <w:ind w:firstLine="540"/>
        <w:jc w:val="both"/>
      </w:pPr>
      <w:bookmarkStart w:id="6" w:name="P289"/>
      <w:bookmarkEnd w:id="6"/>
      <w:r>
        <w:t xml:space="preserve">&lt;4&gt;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right"/>
        <w:outlineLvl w:val="1"/>
      </w:pPr>
      <w:r>
        <w:t>Таблица 1</w:t>
      </w:r>
    </w:p>
    <w:p w:rsidR="0088390E" w:rsidRDefault="0088390E">
      <w:pPr>
        <w:pStyle w:val="ConsPlusNormal"/>
        <w:jc w:val="both"/>
      </w:pPr>
    </w:p>
    <w:p w:rsidR="0088390E" w:rsidRDefault="0088390E">
      <w:pPr>
        <w:pStyle w:val="ConsPlusTitle"/>
        <w:jc w:val="center"/>
      </w:pPr>
      <w:r>
        <w:t>Балансовые показатели планового объема полезного отпуска</w:t>
      </w:r>
    </w:p>
    <w:p w:rsidR="0088390E" w:rsidRDefault="0088390E">
      <w:pPr>
        <w:pStyle w:val="ConsPlusTitle"/>
        <w:jc w:val="center"/>
      </w:pPr>
      <w:r>
        <w:t>электрической энергии, используемые при расчете цен</w:t>
      </w:r>
    </w:p>
    <w:p w:rsidR="0088390E" w:rsidRDefault="0088390E">
      <w:pPr>
        <w:pStyle w:val="ConsPlusTitle"/>
        <w:jc w:val="center"/>
      </w:pPr>
      <w:r>
        <w:t>(тарифов) на электрическую энергию для населения</w:t>
      </w:r>
    </w:p>
    <w:p w:rsidR="0088390E" w:rsidRDefault="0088390E">
      <w:pPr>
        <w:pStyle w:val="ConsPlusTitle"/>
        <w:jc w:val="center"/>
      </w:pPr>
      <w:r>
        <w:t>и приравненным к нему категорий потребителей по Тюменской</w:t>
      </w:r>
    </w:p>
    <w:p w:rsidR="0088390E" w:rsidRDefault="0088390E">
      <w:pPr>
        <w:pStyle w:val="ConsPlusTitle"/>
        <w:jc w:val="center"/>
      </w:pPr>
      <w:r>
        <w:t>области, Ханты-Мансийскому автономному округу - Югре</w:t>
      </w:r>
    </w:p>
    <w:p w:rsidR="0088390E" w:rsidRDefault="0088390E">
      <w:pPr>
        <w:pStyle w:val="ConsPlusTitle"/>
        <w:jc w:val="center"/>
      </w:pPr>
      <w:r>
        <w:t>и Ямало-Ненецкому автономному округу</w:t>
      </w:r>
    </w:p>
    <w:p w:rsidR="0088390E" w:rsidRDefault="0088390E">
      <w:pPr>
        <w:pStyle w:val="ConsPlusNormal"/>
        <w:jc w:val="both"/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1444"/>
        <w:gridCol w:w="1445"/>
      </w:tblGrid>
      <w:tr w:rsidR="0088390E" w:rsidTr="0088390E">
        <w:tc>
          <w:tcPr>
            <w:tcW w:w="567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N</w:t>
            </w:r>
          </w:p>
          <w:p w:rsidR="0088390E" w:rsidRDefault="008839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91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2889" w:type="dxa"/>
            <w:gridSpan w:val="2"/>
          </w:tcPr>
          <w:p w:rsidR="0088390E" w:rsidRDefault="0088390E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энергии, млн. </w:t>
            </w:r>
            <w:proofErr w:type="spellStart"/>
            <w:r>
              <w:t>кВт.ч</w:t>
            </w:r>
            <w:proofErr w:type="spellEnd"/>
          </w:p>
        </w:tc>
      </w:tr>
      <w:tr w:rsidR="0088390E" w:rsidTr="0088390E">
        <w:tc>
          <w:tcPr>
            <w:tcW w:w="567" w:type="dxa"/>
            <w:vMerge/>
          </w:tcPr>
          <w:p w:rsidR="0088390E" w:rsidRDefault="0088390E"/>
        </w:tc>
        <w:tc>
          <w:tcPr>
            <w:tcW w:w="6091" w:type="dxa"/>
            <w:vMerge/>
          </w:tcPr>
          <w:p w:rsidR="0088390E" w:rsidRDefault="0088390E"/>
        </w:tc>
        <w:tc>
          <w:tcPr>
            <w:tcW w:w="1444" w:type="dxa"/>
          </w:tcPr>
          <w:p w:rsidR="0088390E" w:rsidRDefault="0088390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445" w:type="dxa"/>
          </w:tcPr>
          <w:p w:rsidR="0088390E" w:rsidRDefault="0088390E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88390E" w:rsidRDefault="008839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5" w:type="dxa"/>
          </w:tcPr>
          <w:p w:rsidR="0088390E" w:rsidRDefault="0088390E">
            <w:pPr>
              <w:pStyle w:val="ConsPlusNormal"/>
              <w:jc w:val="center"/>
            </w:pPr>
            <w:r>
              <w:t>4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1" w:type="dxa"/>
            <w:vAlign w:val="center"/>
          </w:tcPr>
          <w:p w:rsidR="0088390E" w:rsidRDefault="0088390E">
            <w:pPr>
              <w:pStyle w:val="ConsPlusNormal"/>
            </w:pPr>
            <w:r>
              <w:t xml:space="preserve">Население и приравненные к ним, за исключением населения и потребителей, указанных в </w:t>
            </w:r>
            <w:hyperlink w:anchor="P31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324" w:history="1">
              <w:r>
                <w:rPr>
                  <w:color w:val="0000FF"/>
                </w:rPr>
                <w:t>3</w:t>
              </w:r>
            </w:hyperlink>
            <w:r>
              <w:t>:</w:t>
            </w:r>
          </w:p>
          <w:p w:rsidR="0088390E" w:rsidRDefault="0088390E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</w:t>
            </w:r>
            <w:r>
              <w:lastRenderedPageBreak/>
              <w:t xml:space="preserve">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88390E" w:rsidRDefault="0088390E">
            <w:pPr>
              <w:pStyle w:val="ConsPlusNormal"/>
            </w:pPr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8390E" w:rsidRDefault="0088390E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44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lastRenderedPageBreak/>
              <w:t>522,08</w:t>
            </w:r>
          </w:p>
        </w:tc>
        <w:tc>
          <w:tcPr>
            <w:tcW w:w="1445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470,01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bookmarkStart w:id="7" w:name="P317"/>
            <w:bookmarkEnd w:id="7"/>
            <w:r>
              <w:lastRenderedPageBreak/>
              <w:t>2.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</w:t>
            </w:r>
          </w:p>
          <w:p w:rsidR="0088390E" w:rsidRDefault="0088390E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88390E" w:rsidRDefault="0088390E">
            <w:pPr>
              <w:pStyle w:val="ConsPlusNormal"/>
            </w:pPr>
            <w:r>
              <w:t xml:space="preserve"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</w:t>
            </w:r>
            <w:r>
              <w:lastRenderedPageBreak/>
              <w:t>имеются жилые помещения специализированного жилого фонда;</w:t>
            </w:r>
          </w:p>
          <w:p w:rsidR="0088390E" w:rsidRDefault="0088390E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44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lastRenderedPageBreak/>
              <w:t>1598,51</w:t>
            </w:r>
          </w:p>
        </w:tc>
        <w:tc>
          <w:tcPr>
            <w:tcW w:w="1445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1436,63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bookmarkStart w:id="8" w:name="P324"/>
            <w:bookmarkEnd w:id="8"/>
            <w:r>
              <w:lastRenderedPageBreak/>
              <w:t>3.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Население, проживающее в сельских населенных пунктах, и приравненные к ним:</w:t>
            </w:r>
          </w:p>
          <w:p w:rsidR="0088390E" w:rsidRDefault="0088390E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</w:t>
            </w:r>
          </w:p>
          <w:p w:rsidR="0088390E" w:rsidRDefault="0088390E">
            <w:pPr>
              <w:pStyle w:val="ConsPlusNormal"/>
            </w:pPr>
            <w:r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88390E" w:rsidRDefault="0088390E">
            <w:pPr>
              <w:pStyle w:val="ConsPlusNormal"/>
            </w:pPr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8390E" w:rsidRDefault="0088390E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44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623,83</w:t>
            </w:r>
          </w:p>
        </w:tc>
        <w:tc>
          <w:tcPr>
            <w:tcW w:w="1445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473,68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444" w:type="dxa"/>
            <w:vMerge w:val="restart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246,32</w:t>
            </w:r>
          </w:p>
        </w:tc>
        <w:tc>
          <w:tcPr>
            <w:tcW w:w="1445" w:type="dxa"/>
            <w:vMerge w:val="restart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310,12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444" w:type="dxa"/>
            <w:vMerge/>
          </w:tcPr>
          <w:p w:rsidR="0088390E" w:rsidRDefault="0088390E"/>
        </w:tc>
        <w:tc>
          <w:tcPr>
            <w:tcW w:w="1445" w:type="dxa"/>
            <w:vMerge/>
          </w:tcPr>
          <w:p w:rsidR="0088390E" w:rsidRDefault="0088390E"/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444" w:type="dxa"/>
            <w:vMerge/>
          </w:tcPr>
          <w:p w:rsidR="0088390E" w:rsidRDefault="0088390E"/>
        </w:tc>
        <w:tc>
          <w:tcPr>
            <w:tcW w:w="1445" w:type="dxa"/>
            <w:vMerge/>
          </w:tcPr>
          <w:p w:rsidR="0088390E" w:rsidRDefault="0088390E"/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444" w:type="dxa"/>
            <w:vMerge/>
          </w:tcPr>
          <w:p w:rsidR="0088390E" w:rsidRDefault="0088390E"/>
        </w:tc>
        <w:tc>
          <w:tcPr>
            <w:tcW w:w="1445" w:type="dxa"/>
            <w:vMerge/>
          </w:tcPr>
          <w:p w:rsidR="0088390E" w:rsidRDefault="0088390E"/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444" w:type="dxa"/>
            <w:vMerge/>
          </w:tcPr>
          <w:p w:rsidR="0088390E" w:rsidRDefault="0088390E"/>
        </w:tc>
        <w:tc>
          <w:tcPr>
            <w:tcW w:w="1445" w:type="dxa"/>
            <w:vMerge/>
          </w:tcPr>
          <w:p w:rsidR="0088390E" w:rsidRDefault="0088390E"/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8390E" w:rsidRDefault="0088390E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444" w:type="dxa"/>
            <w:vMerge/>
          </w:tcPr>
          <w:p w:rsidR="0088390E" w:rsidRDefault="0088390E"/>
        </w:tc>
        <w:tc>
          <w:tcPr>
            <w:tcW w:w="1445" w:type="dxa"/>
            <w:vMerge/>
          </w:tcPr>
          <w:p w:rsidR="0088390E" w:rsidRDefault="0088390E"/>
        </w:tc>
      </w:tr>
    </w:tbl>
    <w:p w:rsidR="0088390E" w:rsidRDefault="0088390E">
      <w:pPr>
        <w:pStyle w:val="ConsPlusNormal"/>
        <w:jc w:val="both"/>
      </w:pPr>
    </w:p>
    <w:p w:rsidR="0088390E" w:rsidRDefault="0088390E">
      <w:pPr>
        <w:pStyle w:val="ConsPlusNormal"/>
        <w:jc w:val="right"/>
        <w:outlineLvl w:val="1"/>
      </w:pPr>
      <w:r>
        <w:t>Таблица 2</w:t>
      </w:r>
    </w:p>
    <w:p w:rsidR="0088390E" w:rsidRDefault="0088390E">
      <w:pPr>
        <w:pStyle w:val="ConsPlusNormal"/>
        <w:jc w:val="both"/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1444"/>
        <w:gridCol w:w="1445"/>
      </w:tblGrid>
      <w:tr w:rsidR="0088390E" w:rsidTr="0088390E">
        <w:tc>
          <w:tcPr>
            <w:tcW w:w="567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N</w:t>
            </w:r>
          </w:p>
          <w:p w:rsidR="0088390E" w:rsidRDefault="008839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91" w:type="dxa"/>
            <w:vMerge w:val="restart"/>
          </w:tcPr>
          <w:p w:rsidR="0088390E" w:rsidRDefault="0088390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889" w:type="dxa"/>
            <w:gridSpan w:val="2"/>
          </w:tcPr>
          <w:p w:rsidR="0088390E" w:rsidRDefault="0088390E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88390E" w:rsidTr="0088390E">
        <w:tc>
          <w:tcPr>
            <w:tcW w:w="567" w:type="dxa"/>
            <w:vMerge/>
          </w:tcPr>
          <w:p w:rsidR="0088390E" w:rsidRDefault="0088390E"/>
        </w:tc>
        <w:tc>
          <w:tcPr>
            <w:tcW w:w="6091" w:type="dxa"/>
            <w:vMerge/>
          </w:tcPr>
          <w:p w:rsidR="0088390E" w:rsidRDefault="0088390E"/>
        </w:tc>
        <w:tc>
          <w:tcPr>
            <w:tcW w:w="1444" w:type="dxa"/>
          </w:tcPr>
          <w:p w:rsidR="0088390E" w:rsidRDefault="0088390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445" w:type="dxa"/>
          </w:tcPr>
          <w:p w:rsidR="0088390E" w:rsidRDefault="0088390E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88390E" w:rsidRDefault="008839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5" w:type="dxa"/>
          </w:tcPr>
          <w:p w:rsidR="0088390E" w:rsidRDefault="0088390E">
            <w:pPr>
              <w:pStyle w:val="ConsPlusNormal"/>
              <w:jc w:val="center"/>
            </w:pPr>
            <w:r>
              <w:t>4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</w:t>
            </w:r>
          </w:p>
          <w:p w:rsidR="0088390E" w:rsidRDefault="0088390E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</w:t>
            </w:r>
            <w: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8390E" w:rsidRDefault="0088390E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444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445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0,7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Население, проживающее в сельских населенных пунктах, и приравненные к ним:</w:t>
            </w:r>
          </w:p>
          <w:p w:rsidR="0088390E" w:rsidRDefault="0088390E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8390E" w:rsidRDefault="0088390E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</w:t>
            </w:r>
            <w:r>
              <w:lastRenderedPageBreak/>
              <w:t xml:space="preserve">продажи населению и приравненным к нему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444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445" w:type="dxa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0,7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444" w:type="dxa"/>
            <w:vMerge w:val="restart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vMerge w:val="restart"/>
            <w:vAlign w:val="center"/>
          </w:tcPr>
          <w:p w:rsidR="0088390E" w:rsidRDefault="0088390E">
            <w:pPr>
              <w:pStyle w:val="ConsPlusNormal"/>
              <w:jc w:val="center"/>
            </w:pPr>
            <w:r>
              <w:t>1</w:t>
            </w:r>
          </w:p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444" w:type="dxa"/>
            <w:vMerge/>
          </w:tcPr>
          <w:p w:rsidR="0088390E" w:rsidRDefault="0088390E"/>
        </w:tc>
        <w:tc>
          <w:tcPr>
            <w:tcW w:w="1445" w:type="dxa"/>
            <w:vMerge/>
          </w:tcPr>
          <w:p w:rsidR="0088390E" w:rsidRDefault="0088390E"/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444" w:type="dxa"/>
            <w:vMerge/>
          </w:tcPr>
          <w:p w:rsidR="0088390E" w:rsidRDefault="0088390E"/>
        </w:tc>
        <w:tc>
          <w:tcPr>
            <w:tcW w:w="1445" w:type="dxa"/>
            <w:vMerge/>
          </w:tcPr>
          <w:p w:rsidR="0088390E" w:rsidRDefault="0088390E"/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444" w:type="dxa"/>
            <w:vMerge/>
          </w:tcPr>
          <w:p w:rsidR="0088390E" w:rsidRDefault="0088390E"/>
        </w:tc>
        <w:tc>
          <w:tcPr>
            <w:tcW w:w="1445" w:type="dxa"/>
            <w:vMerge/>
          </w:tcPr>
          <w:p w:rsidR="0088390E" w:rsidRDefault="0088390E"/>
        </w:tc>
      </w:tr>
      <w:tr w:rsidR="0088390E" w:rsidTr="0088390E">
        <w:tc>
          <w:tcPr>
            <w:tcW w:w="567" w:type="dxa"/>
          </w:tcPr>
          <w:p w:rsidR="0088390E" w:rsidRDefault="0088390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91" w:type="dxa"/>
          </w:tcPr>
          <w:p w:rsidR="0088390E" w:rsidRDefault="0088390E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88390E" w:rsidRDefault="0088390E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88390E" w:rsidRDefault="0088390E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444" w:type="dxa"/>
            <w:vMerge/>
          </w:tcPr>
          <w:p w:rsidR="0088390E" w:rsidRDefault="0088390E"/>
        </w:tc>
        <w:tc>
          <w:tcPr>
            <w:tcW w:w="1445" w:type="dxa"/>
            <w:vMerge/>
          </w:tcPr>
          <w:p w:rsidR="0088390E" w:rsidRDefault="0088390E"/>
        </w:tc>
      </w:tr>
    </w:tbl>
    <w:p w:rsidR="0088390E" w:rsidRDefault="0088390E">
      <w:pPr>
        <w:pStyle w:val="ConsPlusNormal"/>
        <w:spacing w:before="220"/>
        <w:ind w:firstLine="540"/>
        <w:jc w:val="both"/>
      </w:pPr>
      <w:bookmarkStart w:id="9" w:name="P393"/>
      <w:bookmarkEnd w:id="9"/>
      <w:r>
        <w:t xml:space="preserve">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474409" w:rsidRDefault="00474409">
      <w:bookmarkStart w:id="10" w:name="_GoBack"/>
      <w:bookmarkEnd w:id="10"/>
    </w:p>
    <w:sectPr w:rsidR="00474409" w:rsidSect="0022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0E"/>
    <w:rsid w:val="00474409"/>
    <w:rsid w:val="008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43F29-0232-4410-B6DB-5CBE141A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A8A23057399F927757EC951627A243EEE95F6FDA7B23360638EAF10BF091262F7AC29D41A8FE45F6CB7CC74K5E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4A8A23057399F927757EC951627A243EEE9BF2FCA7B23360638EAF10BF091270F7F425D61E91E45879E19D320304222655926A603F0FFEK3ED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A8A23057399F927757EC951627A243EE99FF1FDA9B23360638EAF10BF091270F7F427D2179AB00F36E0C1745217202355906B7CK3E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F4A8A23057399F927757EC951627A243EE99FF7FDA3B23360638EAF10BF091270F7F425D61F90E45B79E19D320304222655926A603F0FFEK3EDH" TargetMode="External"/><Relationship Id="rId10" Type="http://schemas.openxmlformats.org/officeDocument/2006/relationships/hyperlink" Target="consultantplus://offline/ref=DF4A8A23057399F9277560C4470E2D2B3BE6C3FAF0A4BA6C3B3CD5F247B6034537B8AD75924B9CE65A6CB5CD68540922K2E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F4A8A23057399F9277560C4470E2D2B3BE6C3FAF1A1BB60343CD5F247B6034537B8AD75924B9CE65A6CB5CD68540922K2E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2020-01-24T07:04:00Z</dcterms:created>
  <dcterms:modified xsi:type="dcterms:W3CDTF">2020-01-24T07:07:00Z</dcterms:modified>
</cp:coreProperties>
</file>