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18 ноября 2014 г. N 134-нп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 (МОЩНОСТЬ),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ПОСТАВЛЯЕМУЮ ТЕПЛОСНАБЖАЮЩИМИ ОРГАНИЗАЦИЯМИ ПОТРЕБИТЕЛЯМ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rFonts w:ascii="Calibri" w:hAnsi="Calibri" w:cs="Calibri"/>
            <w:color w:val="0000FF"/>
          </w:rPr>
          <w:t>N 163</w:t>
        </w:r>
      </w:hyperlink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rFonts w:ascii="Calibri" w:hAnsi="Calibri" w:cs="Calibri"/>
            <w:color w:val="0000FF"/>
          </w:rPr>
          <w:t>N 760-э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rFonts w:ascii="Calibri" w:hAnsi="Calibri" w:cs="Calibri"/>
            <w:color w:val="0000FF"/>
          </w:rPr>
          <w:t>N 227-э/3</w:t>
        </w:r>
      </w:hyperlink>
      <w:r>
        <w:rPr>
          <w:rFonts w:ascii="Calibri" w:hAnsi="Calibri" w:cs="Calibri"/>
        </w:rP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18 ноября 2014 года N 69 приказываю: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3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 (мощность), поставляемую теплоснабжающими организациями потребителям, согласно приложению 1 к настоящему приказу.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2. Тарифы, установленные в </w:t>
      </w:r>
      <w:hyperlink w:anchor="Par43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- </w:t>
      </w:r>
      <w:hyperlink w:anchor="Par53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w:anchor="Par608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w:anchor="Par959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 xml:space="preserve"> приложения 1 к настоящему приказу, действуют с 1 января 2015 года по 31 декабря 2015 года.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"/>
      <w:bookmarkEnd w:id="2"/>
      <w:r>
        <w:rPr>
          <w:rFonts w:ascii="Calibri" w:hAnsi="Calibri" w:cs="Calibri"/>
        </w:rPr>
        <w:t xml:space="preserve">3. Тарифы, установленные в </w:t>
      </w:r>
      <w:hyperlink w:anchor="Par72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, </w:t>
      </w:r>
      <w:hyperlink w:anchor="Par568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приложения 1 к настоящему приказу, действуют с 1 января 2015 года по 31 декабря 2017 года.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2015 - 2017 годы долгосрочные </w:t>
      </w:r>
      <w:hyperlink w:anchor="Par1012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</w:t>
      </w:r>
      <w:hyperlink w:anchor="Par33" w:history="1">
        <w:r>
          <w:rPr>
            <w:rFonts w:ascii="Calibri" w:hAnsi="Calibri" w:cs="Calibri"/>
            <w:color w:val="0000FF"/>
          </w:rPr>
          <w:t>тарифов</w:t>
        </w:r>
      </w:hyperlink>
      <w:r>
        <w:rPr>
          <w:rFonts w:ascii="Calibri" w:hAnsi="Calibri" w:cs="Calibri"/>
        </w:rPr>
        <w:t>, согласно приложению 2 к настоящему приказу.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приказ опубликовать в газете "Новости Югры".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>Приложение 1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18 ноября 2014 года N 134-нп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Тарифы </w:t>
      </w:r>
      <w:hyperlink w:anchor="Par12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с 1 января 2015 года по 31 декабря 2015 года, за исключением тарифов, указанных в </w:t>
      </w:r>
      <w:hyperlink w:anchor="Par72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, </w:t>
      </w:r>
      <w:hyperlink w:anchor="Par568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w:anchor="Par13" w:history="1">
        <w:r>
          <w:rPr>
            <w:rFonts w:ascii="Calibri" w:hAnsi="Calibri" w:cs="Calibri"/>
            <w:color w:val="0000FF"/>
          </w:rPr>
          <w:t>действующих</w:t>
        </w:r>
      </w:hyperlink>
      <w:r>
        <w:rPr>
          <w:rFonts w:ascii="Calibri" w:hAnsi="Calibri" w:cs="Calibri"/>
        </w:rPr>
        <w:t xml:space="preserve"> по 31 декабря 2017 года.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C50FA" w:rsidSect="005C50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0FA" w:rsidRDefault="005C50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3"/>
      <w:bookmarkEnd w:id="4"/>
      <w:r>
        <w:rPr>
          <w:rFonts w:ascii="Calibri" w:hAnsi="Calibri" w:cs="Calibri"/>
          <w:b/>
          <w:bCs/>
        </w:rPr>
        <w:t>ТАРИФЫ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 (МОЩНОСТЬ), ПОСТАВЛЯЕМУЮ ПОТРЕБИТЕЛЯМ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850"/>
        <w:gridCol w:w="1644"/>
        <w:gridCol w:w="1531"/>
      </w:tblGrid>
      <w:tr w:rsidR="005C50F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5C50F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по 30 июня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по 31 декабря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43"/>
            <w:bookmarkEnd w:id="5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Саранпаульское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жилищно-коммунального хозяйства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Саранпауль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село </w:t>
            </w:r>
            <w:proofErr w:type="spellStart"/>
            <w:r>
              <w:rPr>
                <w:rFonts w:ascii="Calibri" w:hAnsi="Calibri" w:cs="Calibri"/>
              </w:rPr>
              <w:t>Саранпауль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2668,91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2890,53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3149,31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3410,83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Саранпауль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поселок Сосьва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4759,51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5154,15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72"/>
            <w:bookmarkEnd w:id="6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поселок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1365,65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1440,63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1500,98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указываются с учетом НДС) &lt;*&gt;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1488,22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1611,47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1699,94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1699,94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1771,16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поселок </w:t>
            </w:r>
            <w:proofErr w:type="spellStart"/>
            <w:r>
              <w:rPr>
                <w:rFonts w:ascii="Calibri" w:hAnsi="Calibri" w:cs="Calibri"/>
              </w:rPr>
              <w:t>Ванзетур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3199,50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3463,64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3463,64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3654,08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3654,08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3804,72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3775,41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4087,10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4311,81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4311,81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4489,57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150"/>
            <w:bookmarkEnd w:id="7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жилищно-коммунального хозяйства городского поселения Березово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Березово Березовского района поселок городского типа Березово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1499,46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1634,26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1769,36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Березово Березовского района село Теги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4634,32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4936,41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5468,50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5824,96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188"/>
            <w:bookmarkEnd w:id="8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Светловское</w:t>
            </w:r>
            <w:proofErr w:type="spellEnd"/>
            <w:r>
              <w:rPr>
                <w:rFonts w:ascii="Calibri" w:hAnsi="Calibri" w:cs="Calibri"/>
              </w:rPr>
              <w:t xml:space="preserve"> коммунально-эксплуатационное управление"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Светлый Березовского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930,00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1097,40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08"/>
            <w:bookmarkEnd w:id="9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филиалов: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210"/>
            <w:bookmarkEnd w:id="10"/>
            <w:r>
              <w:rPr>
                <w:rFonts w:ascii="Calibri" w:hAnsi="Calibri" w:cs="Calibri"/>
              </w:rPr>
              <w:lastRenderedPageBreak/>
              <w:t>5.1.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Сосьвинское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деревня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257,09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303,37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230"/>
            <w:bookmarkEnd w:id="11"/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Уральское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Приполярный Березовского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405,97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479,04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250"/>
            <w:bookmarkEnd w:id="12"/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Пунгинское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Светлый Березовского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836,37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3" w:name="Par261"/>
            <w:bookmarkEnd w:id="13"/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Сорумское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Сорум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668,87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789,27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4" w:name="Par281"/>
            <w:bookmarkEnd w:id="14"/>
            <w:r>
              <w:rPr>
                <w:rFonts w:ascii="Calibri" w:hAnsi="Calibri" w:cs="Calibri"/>
              </w:rPr>
              <w:t>5.5.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Верхнеказымское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285,12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336,44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301"/>
            <w:bookmarkEnd w:id="15"/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Бобровское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Лыхма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284,94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336,23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321"/>
            <w:bookmarkEnd w:id="16"/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Сосновское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Сосновка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226,67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267,47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7" w:name="Par341"/>
            <w:bookmarkEnd w:id="17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Березовонефтепродукт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Березовский район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Хулимсунт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село </w:t>
            </w:r>
            <w:proofErr w:type="spellStart"/>
            <w:r>
              <w:rPr>
                <w:rFonts w:ascii="Calibri" w:hAnsi="Calibri" w:cs="Calibri"/>
              </w:rPr>
              <w:t>Няксимволь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4327,59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4686,78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352"/>
            <w:bookmarkEnd w:id="18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Жилкомсервис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городского типа </w:t>
            </w:r>
            <w:proofErr w:type="spellStart"/>
            <w:r>
              <w:rPr>
                <w:rFonts w:ascii="Calibri" w:hAnsi="Calibri" w:cs="Calibri"/>
              </w:rPr>
              <w:t>Мортка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4293,29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4293,29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372"/>
            <w:bookmarkEnd w:id="19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Сибнефтепровод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Урайское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нефтеперекачивающих станций "Кума", "Катыш", "</w:t>
            </w:r>
            <w:proofErr w:type="spellStart"/>
            <w:r>
              <w:rPr>
                <w:rFonts w:ascii="Calibri" w:hAnsi="Calibri" w:cs="Calibri"/>
              </w:rPr>
              <w:t>Ильичевка</w:t>
            </w:r>
            <w:proofErr w:type="spellEnd"/>
            <w:r>
              <w:rPr>
                <w:rFonts w:ascii="Calibri" w:hAnsi="Calibri" w:cs="Calibri"/>
              </w:rPr>
              <w:t xml:space="preserve">", "Ягодное"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 и от нефтеперекачивающей станции "</w:t>
            </w:r>
            <w:proofErr w:type="spellStart"/>
            <w:r>
              <w:rPr>
                <w:rFonts w:ascii="Calibri" w:hAnsi="Calibri" w:cs="Calibri"/>
              </w:rPr>
              <w:t>Красноленинская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Октябрьский район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3535,58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3828,80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участка погрузо-разгрузочных работ линейной производственно-диспетчерской станции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городского поселения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2768,61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нефтеперекачивающей станции "</w:t>
            </w:r>
            <w:proofErr w:type="spellStart"/>
            <w:r>
              <w:rPr>
                <w:rFonts w:ascii="Calibri" w:hAnsi="Calibri" w:cs="Calibri"/>
              </w:rPr>
              <w:t>Конда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городского поселения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1654,36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1791,51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401"/>
            <w:bookmarkEnd w:id="20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"Комплекс коммунальных платежей"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Кондинское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3184,46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3448,72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3184,46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3448,72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421"/>
            <w:bookmarkEnd w:id="21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"Спектр-Л"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Куминский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2647,49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3124,04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2" w:name="Par441"/>
            <w:bookmarkEnd w:id="22"/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Теплотехсервис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Болчары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Болчары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3341,69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3619,05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3341,69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3619,05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Болчары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Алтай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4392,87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4757,48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3" w:name="Par470"/>
            <w:bookmarkEnd w:id="23"/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Теплоэнергия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Луговой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3862,35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4182,93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3862,35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4182,93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Шугур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6820,53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7386,63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4" w:name="Par499"/>
            <w:bookmarkEnd w:id="24"/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Кондаавиа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Кондинское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городского типа </w:t>
            </w:r>
            <w:proofErr w:type="spellStart"/>
            <w:r>
              <w:rPr>
                <w:rFonts w:ascii="Calibri" w:hAnsi="Calibri" w:cs="Calibri"/>
              </w:rPr>
              <w:t>Кондинское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3627,32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3928,39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5" w:name="Par510"/>
            <w:bookmarkEnd w:id="25"/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"ТНК ВИТА ПЛЮС"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Половинка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4241,48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4241,48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6" w:name="Par530"/>
            <w:bookmarkEnd w:id="26"/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"Независимая инновационная компания"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Мулымья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Мулымья</w:t>
            </w:r>
            <w:proofErr w:type="spellEnd"/>
            <w:r>
              <w:rPr>
                <w:rFonts w:ascii="Calibri" w:hAnsi="Calibri" w:cs="Calibri"/>
              </w:rPr>
              <w:t xml:space="preserve">, деревня </w:t>
            </w:r>
            <w:proofErr w:type="spellStart"/>
            <w:r>
              <w:rPr>
                <w:rFonts w:ascii="Calibri" w:hAnsi="Calibri" w:cs="Calibri"/>
              </w:rPr>
              <w:t>Ушья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2135,82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2135,82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Мулымья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Чантырья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3832,90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3832,90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7" w:name="Par568"/>
            <w:bookmarkEnd w:id="27"/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"Южно-</w:t>
            </w:r>
            <w:proofErr w:type="spellStart"/>
            <w:r>
              <w:rPr>
                <w:rFonts w:ascii="Calibri" w:hAnsi="Calibri" w:cs="Calibri"/>
              </w:rPr>
              <w:t>Балыкского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газоперерабатывающего завода" - филиала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740,94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777,95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797,58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874,31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874,31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917,98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941,14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8" w:name="Par608"/>
            <w:bookmarkEnd w:id="28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"Товарищество собственников жилья "Факел"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1033,25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1033,25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9" w:name="Par628"/>
            <w:bookmarkEnd w:id="29"/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Унитарное предприятие "</w:t>
            </w:r>
            <w:proofErr w:type="spellStart"/>
            <w:r>
              <w:rPr>
                <w:rFonts w:ascii="Calibri" w:hAnsi="Calibri" w:cs="Calibri"/>
              </w:rPr>
              <w:t>Радужныйтеплосеть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Ханты-Мансийского автономного округа - Югры городской округ город Радужный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1035,96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1222,43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0" w:name="Par648"/>
            <w:bookmarkEnd w:id="30"/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"Производственно-бытовое управление"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949,23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1001,21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1" w:name="Par659"/>
            <w:bookmarkEnd w:id="31"/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Негуснефть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Радужный и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1207,56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2" w:name="Par670"/>
            <w:bookmarkEnd w:id="32"/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"Росна"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1137,37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3" w:name="Par681"/>
            <w:bookmarkEnd w:id="33"/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Урайтеплоэнергия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1431,33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1688,97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4" w:name="Par701"/>
            <w:bookmarkEnd w:id="34"/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Белоярский"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Белоярский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1258,69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1485,25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901,99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1064,35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Казым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 село </w:t>
            </w:r>
            <w:proofErr w:type="spellStart"/>
            <w:r>
              <w:rPr>
                <w:rFonts w:ascii="Calibri" w:hAnsi="Calibri" w:cs="Calibri"/>
              </w:rPr>
              <w:t>Казым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1913,93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2072,69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2445,77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</w:t>
            </w:r>
            <w:r>
              <w:rPr>
                <w:rFonts w:ascii="Calibri" w:hAnsi="Calibri" w:cs="Calibri"/>
              </w:rPr>
              <w:lastRenderedPageBreak/>
              <w:t>поселения Полноват Белоярского района село Полноват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2184,53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2577,75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Полноват Белоярского района село </w:t>
            </w:r>
            <w:proofErr w:type="spellStart"/>
            <w:r>
              <w:rPr>
                <w:rFonts w:ascii="Calibri" w:hAnsi="Calibri" w:cs="Calibri"/>
              </w:rPr>
              <w:t>Ванзеват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3993,57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4324,71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23.5.3.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4712,41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5103,16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5" w:name="Par793"/>
            <w:bookmarkEnd w:id="35"/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"Аэропорт Белоярский"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Белоярский Белоярского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1911,41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6" w:name="Par804"/>
            <w:bookmarkEnd w:id="36"/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Когалымское городское муниципальное унитарное предприятие "Управление производственно-технологической комплектации"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1195,66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7" w:name="Par815"/>
            <w:bookmarkEnd w:id="37"/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Ортьягунское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297,21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350,71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8" w:name="Par835"/>
            <w:bookmarkEnd w:id="38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города Нижневартовска "Теплоснабжение"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1216,29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1325,23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1435,22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9" w:name="Par855"/>
            <w:bookmarkEnd w:id="39"/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"НИЖНЕВАРТОВСКСТРОЙДЕТАЛЬ"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1069,75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1165,65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1262,31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0" w:name="Par875"/>
            <w:bookmarkEnd w:id="40"/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комплекс"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739,88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1" w:name="Par886"/>
            <w:bookmarkEnd w:id="41"/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"Белозерный газоперерабатывающий комплекс"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 и города Радужный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976,69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2" w:name="Par897"/>
            <w:bookmarkEnd w:id="42"/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"КОММУНАЛЬНИК"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1120,00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3" w:name="Par908"/>
            <w:bookmarkEnd w:id="43"/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Закрытое акционерное общество "НОБИЛИ" </w:t>
            </w:r>
            <w:hyperlink w:anchor="Par100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1505,60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4" w:name="Par919"/>
            <w:bookmarkEnd w:id="44"/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КарьерАвтоСтрой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2115,37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2304,86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2496,14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5" w:name="Par939"/>
            <w:bookmarkEnd w:id="45"/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"Сельское жилищно-коммунальное хозяйство"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сельских поселений </w:t>
            </w:r>
            <w:proofErr w:type="spellStart"/>
            <w:r>
              <w:rPr>
                <w:rFonts w:ascii="Calibri" w:hAnsi="Calibri" w:cs="Calibri"/>
              </w:rPr>
              <w:t>Аган</w:t>
            </w:r>
            <w:proofErr w:type="spellEnd"/>
            <w:r>
              <w:rPr>
                <w:rFonts w:ascii="Calibri" w:hAnsi="Calibri" w:cs="Calibri"/>
              </w:rPr>
              <w:t xml:space="preserve">, Вата, Зайцева Речка, </w:t>
            </w:r>
            <w:proofErr w:type="spellStart"/>
            <w:r>
              <w:rPr>
                <w:rFonts w:ascii="Calibri" w:hAnsi="Calibri" w:cs="Calibri"/>
              </w:rPr>
              <w:t>Покур</w:t>
            </w:r>
            <w:proofErr w:type="spellEnd"/>
            <w:r>
              <w:rPr>
                <w:rFonts w:ascii="Calibri" w:hAnsi="Calibri" w:cs="Calibri"/>
              </w:rPr>
              <w:t xml:space="preserve">, городского поселения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Большетархово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Охтеурье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 село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Корлики</w:t>
            </w:r>
            <w:proofErr w:type="spellEnd"/>
            <w:r>
              <w:rPr>
                <w:rFonts w:ascii="Calibri" w:hAnsi="Calibri" w:cs="Calibri"/>
              </w:rPr>
              <w:t xml:space="preserve">, деревня </w:t>
            </w:r>
            <w:proofErr w:type="spellStart"/>
            <w:r>
              <w:rPr>
                <w:rFonts w:ascii="Calibri" w:hAnsi="Calibri" w:cs="Calibri"/>
              </w:rPr>
              <w:t>Вампугол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2202,92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2385,75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2599,45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2815,19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6" w:name="Par959"/>
            <w:bookmarkEnd w:id="46"/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Аганское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жилищно-коммунальное управление"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городского типа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1308,40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1543,91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Варьеган</w:t>
            </w:r>
            <w:proofErr w:type="spellEnd"/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2409,04</w:t>
            </w:r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9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C50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2624,87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2842,67</w:t>
            </w:r>
          </w:p>
        </w:tc>
      </w:tr>
    </w:tbl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999"/>
      <w:bookmarkEnd w:id="47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1000"/>
      <w:bookmarkEnd w:id="48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9" w:name="Par1006"/>
      <w:bookmarkEnd w:id="49"/>
      <w:r>
        <w:rPr>
          <w:rFonts w:ascii="Calibri" w:hAnsi="Calibri" w:cs="Calibri"/>
        </w:rPr>
        <w:t>Приложение 2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18 ноября 2014 года N 134-нп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0" w:name="Par1012"/>
      <w:bookmarkEnd w:id="50"/>
      <w:r>
        <w:rPr>
          <w:rFonts w:ascii="Calibri" w:hAnsi="Calibri" w:cs="Calibri"/>
          <w:b/>
          <w:bCs/>
        </w:rPr>
        <w:t>ДОЛГОСРОЧНЫЕ ПАРАМЕТРЫ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РЕГУЛИРОВАНИЯ, УСТАНАВЛИВАЕМЫЕ НА ДОЛГОСРОЧНЫЙ ПЕРИОД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ДЛЯ ФОРМИРОВАНИЯ ТАРИФОВ НА ТЕПЛОВУЮ ЭНЕРГИЮ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(МОЩНОСТЬ), ПОСТАВЛЯЕМУЮ ТЕПЛОСНАБЖАЮЩИМИ ОРГАНИЗАЦИЯМИ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ПОТРЕБИТЕЛЯМ, С ИСПОЛЬЗОВАНИЕМ МЕТОДА ИНДЕКСАЦИИ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УСТАНОВЛЕННЫХ ТАРИФОВ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191"/>
        <w:gridCol w:w="850"/>
        <w:gridCol w:w="1304"/>
        <w:gridCol w:w="843"/>
        <w:gridCol w:w="992"/>
        <w:gridCol w:w="851"/>
        <w:gridCol w:w="1134"/>
        <w:gridCol w:w="1134"/>
        <w:gridCol w:w="850"/>
      </w:tblGrid>
      <w:tr w:rsidR="005C50FA" w:rsidRPr="005C50FA" w:rsidTr="005C50FA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Базовый уровень операционных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Индекс эффективности операционных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Нормативный уровень прибыли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 xml:space="preserve">Уровень надежности теплоснабжения </w:t>
            </w:r>
            <w:hyperlink w:anchor="Par1130" w:history="1">
              <w:r w:rsidRPr="005C50FA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 xml:space="preserve">Показатели энергосбережения и энергетической </w:t>
            </w:r>
            <w:proofErr w:type="spellStart"/>
            <w:r w:rsidRPr="005C50FA">
              <w:rPr>
                <w:rFonts w:ascii="Calibri" w:hAnsi="Calibri" w:cs="Calibri"/>
                <w:sz w:val="16"/>
                <w:szCs w:val="16"/>
              </w:rPr>
              <w:t>эффектив</w:t>
            </w:r>
            <w:proofErr w:type="spellEnd"/>
          </w:p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5C50FA">
              <w:rPr>
                <w:rFonts w:ascii="Calibri" w:hAnsi="Calibri" w:cs="Calibri"/>
                <w:sz w:val="16"/>
                <w:szCs w:val="16"/>
              </w:rPr>
              <w:t>ности</w:t>
            </w:r>
            <w:proofErr w:type="spellEnd"/>
            <w:proofErr w:type="gramEnd"/>
            <w:r w:rsidRPr="005C50F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w:anchor="Par1134" w:history="1">
              <w:r w:rsidRPr="005C50FA">
                <w:rPr>
                  <w:rFonts w:ascii="Calibri" w:hAnsi="Calibri" w:cs="Calibri"/>
                  <w:color w:val="0000FF"/>
                  <w:sz w:val="16"/>
                  <w:szCs w:val="16"/>
                </w:rPr>
                <w:t>&lt;1&gt;</w:t>
              </w:r>
            </w:hyperlink>
            <w:r w:rsidRPr="005C50F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w:anchor="Par1131" w:history="1">
              <w:r w:rsidRPr="005C50FA">
                <w:rPr>
                  <w:rFonts w:ascii="Calibri" w:hAnsi="Calibri" w:cs="Calibri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>Реализация программ в области энергосбережения и повышен</w:t>
            </w:r>
            <w:bookmarkStart w:id="51" w:name="_GoBack"/>
            <w:bookmarkEnd w:id="51"/>
            <w:r w:rsidRPr="005C50FA">
              <w:rPr>
                <w:rFonts w:ascii="Calibri" w:hAnsi="Calibri" w:cs="Calibri"/>
                <w:sz w:val="16"/>
                <w:szCs w:val="16"/>
              </w:rPr>
              <w:t xml:space="preserve">ия энергетической эффективности </w:t>
            </w:r>
            <w:hyperlink w:anchor="Par1131" w:history="1">
              <w:r w:rsidRPr="005C50FA">
                <w:rPr>
                  <w:rFonts w:ascii="Calibri" w:hAnsi="Calibri" w:cs="Calibri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P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50FA">
              <w:rPr>
                <w:rFonts w:ascii="Calibri" w:hAnsi="Calibri" w:cs="Calibri"/>
                <w:sz w:val="16"/>
                <w:szCs w:val="16"/>
              </w:rPr>
              <w:t xml:space="preserve">Динамика изменения расходов на топливо </w:t>
            </w:r>
            <w:hyperlink w:anchor="Par1132" w:history="1">
              <w:r w:rsidRPr="005C50FA">
                <w:rPr>
                  <w:rFonts w:ascii="Calibri" w:hAnsi="Calibri" w:cs="Calibri"/>
                  <w:color w:val="0000FF"/>
                  <w:sz w:val="16"/>
                  <w:szCs w:val="16"/>
                </w:rPr>
                <w:t>&lt;***&gt;</w:t>
              </w:r>
            </w:hyperlink>
          </w:p>
        </w:tc>
      </w:tr>
      <w:tr w:rsidR="005C50FA" w:rsidTr="005C50FA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поселок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48410,84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 поселок </w:t>
            </w:r>
            <w:proofErr w:type="spellStart"/>
            <w:r>
              <w:rPr>
                <w:rFonts w:ascii="Calibri" w:hAnsi="Calibri" w:cs="Calibri"/>
              </w:rPr>
              <w:t>Ванзетур</w:t>
            </w:r>
            <w:proofErr w:type="spellEnd"/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"Южно-</w:t>
            </w:r>
            <w:proofErr w:type="spellStart"/>
            <w:r>
              <w:rPr>
                <w:rFonts w:ascii="Calibri" w:hAnsi="Calibri" w:cs="Calibri"/>
              </w:rPr>
              <w:t>Балыкского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газоперерабатывающего завода" - филиала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28768,67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C50FA" w:rsidTr="005C50F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130"/>
      <w:bookmarkEnd w:id="52"/>
      <w:r>
        <w:rPr>
          <w:rFonts w:ascii="Calibri" w:hAnsi="Calibri" w:cs="Calibri"/>
        </w:rP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131"/>
      <w:bookmarkEnd w:id="53"/>
      <w:r>
        <w:rPr>
          <w:rFonts w:ascii="Calibri" w:hAnsi="Calibri" w:cs="Calibri"/>
        </w:rP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1132"/>
      <w:bookmarkEnd w:id="54"/>
      <w:r>
        <w:rPr>
          <w:rFonts w:ascii="Calibri" w:hAnsi="Calibri" w:cs="Calibri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распределения расхода топлива.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75</w:t>
        </w:r>
      </w:hyperlink>
      <w:r>
        <w:rPr>
          <w:rFonts w:ascii="Calibri" w:hAnsi="Calibri" w:cs="Calibri"/>
        </w:rP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1134"/>
      <w:bookmarkEnd w:id="55"/>
      <w:r>
        <w:rPr>
          <w:rFonts w:ascii="Calibri" w:hAnsi="Calibri" w:cs="Calibri"/>
        </w:rPr>
        <w:t xml:space="preserve">&lt;1&gt; - Показатели энергосбережения и энергетической эффективности </w:t>
      </w:r>
      <w:proofErr w:type="spellStart"/>
      <w:r>
        <w:rPr>
          <w:rFonts w:ascii="Calibri" w:hAnsi="Calibri" w:cs="Calibri"/>
        </w:rPr>
        <w:t>Игримского</w:t>
      </w:r>
      <w:proofErr w:type="spellEnd"/>
      <w:r>
        <w:rPr>
          <w:rFonts w:ascii="Calibri" w:hAnsi="Calibri" w:cs="Calibri"/>
        </w:rPr>
        <w:t xml:space="preserve"> муниципального унитарного предприятия "</w:t>
      </w:r>
      <w:proofErr w:type="spellStart"/>
      <w:r>
        <w:rPr>
          <w:rFonts w:ascii="Calibri" w:hAnsi="Calibri" w:cs="Calibri"/>
        </w:rPr>
        <w:t>Тепловодоканал</w:t>
      </w:r>
      <w:proofErr w:type="spellEnd"/>
      <w:r>
        <w:rPr>
          <w:rFonts w:ascii="Calibri" w:hAnsi="Calibri" w:cs="Calibri"/>
        </w:rPr>
        <w:t xml:space="preserve">" на территории городского поселения </w:t>
      </w:r>
      <w:proofErr w:type="spellStart"/>
      <w:r>
        <w:rPr>
          <w:rFonts w:ascii="Calibri" w:hAnsi="Calibri" w:cs="Calibri"/>
        </w:rPr>
        <w:t>Игрим</w:t>
      </w:r>
      <w:proofErr w:type="spellEnd"/>
      <w:r>
        <w:rPr>
          <w:rFonts w:ascii="Calibri" w:hAnsi="Calibri" w:cs="Calibri"/>
        </w:rPr>
        <w:t xml:space="preserve"> Березовского района поселок городского типа </w:t>
      </w:r>
      <w:proofErr w:type="spellStart"/>
      <w:r>
        <w:rPr>
          <w:rFonts w:ascii="Calibri" w:hAnsi="Calibri" w:cs="Calibri"/>
        </w:rPr>
        <w:t>Игрим</w:t>
      </w:r>
      <w:proofErr w:type="spellEnd"/>
      <w:r>
        <w:rPr>
          <w:rFonts w:ascii="Calibri" w:hAnsi="Calibri" w:cs="Calibri"/>
        </w:rPr>
        <w:t>: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275"/>
        <w:gridCol w:w="1020"/>
        <w:gridCol w:w="1020"/>
        <w:gridCol w:w="1020"/>
      </w:tblGrid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87,75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</w:t>
            </w:r>
          </w:p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165,26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расход электрической энергии на </w:t>
            </w:r>
            <w:r>
              <w:rPr>
                <w:rFonts w:ascii="Calibri" w:hAnsi="Calibri" w:cs="Calibri"/>
              </w:rPr>
              <w:lastRenderedPageBreak/>
              <w:t>выработку и передачу тепловой энергии 1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lastRenderedPageBreak/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</w:tbl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энергосбережения и энергетической эффективности </w:t>
      </w:r>
      <w:proofErr w:type="spellStart"/>
      <w:r>
        <w:rPr>
          <w:rFonts w:ascii="Calibri" w:hAnsi="Calibri" w:cs="Calibri"/>
        </w:rPr>
        <w:t>Игримского</w:t>
      </w:r>
      <w:proofErr w:type="spellEnd"/>
      <w:r>
        <w:rPr>
          <w:rFonts w:ascii="Calibri" w:hAnsi="Calibri" w:cs="Calibri"/>
        </w:rPr>
        <w:t xml:space="preserve"> муниципального унитарного предприятия "</w:t>
      </w:r>
      <w:proofErr w:type="spellStart"/>
      <w:r>
        <w:rPr>
          <w:rFonts w:ascii="Calibri" w:hAnsi="Calibri" w:cs="Calibri"/>
        </w:rPr>
        <w:t>Тепловодоканал</w:t>
      </w:r>
      <w:proofErr w:type="spellEnd"/>
      <w:r>
        <w:rPr>
          <w:rFonts w:ascii="Calibri" w:hAnsi="Calibri" w:cs="Calibri"/>
        </w:rPr>
        <w:t xml:space="preserve">" на территории городского поселения </w:t>
      </w:r>
      <w:proofErr w:type="spellStart"/>
      <w:r>
        <w:rPr>
          <w:rFonts w:ascii="Calibri" w:hAnsi="Calibri" w:cs="Calibri"/>
        </w:rPr>
        <w:t>Игрим</w:t>
      </w:r>
      <w:proofErr w:type="spellEnd"/>
      <w:r>
        <w:rPr>
          <w:rFonts w:ascii="Calibri" w:hAnsi="Calibri" w:cs="Calibri"/>
        </w:rPr>
        <w:t xml:space="preserve"> Березовского района поселок </w:t>
      </w:r>
      <w:proofErr w:type="spellStart"/>
      <w:r>
        <w:rPr>
          <w:rFonts w:ascii="Calibri" w:hAnsi="Calibri" w:cs="Calibri"/>
        </w:rPr>
        <w:t>Ванзетур</w:t>
      </w:r>
      <w:proofErr w:type="spellEnd"/>
      <w:r>
        <w:rPr>
          <w:rFonts w:ascii="Calibri" w:hAnsi="Calibri" w:cs="Calibri"/>
        </w:rPr>
        <w:t>: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275"/>
        <w:gridCol w:w="1020"/>
        <w:gridCol w:w="1020"/>
        <w:gridCol w:w="1020"/>
      </w:tblGrid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82,25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</w:t>
            </w:r>
          </w:p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177,90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28,00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</w:tr>
    </w:tbl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энергосбережения и энергетической эффективности Открытого акционерного общества "</w:t>
      </w:r>
      <w:proofErr w:type="spellStart"/>
      <w:r>
        <w:rPr>
          <w:rFonts w:ascii="Calibri" w:hAnsi="Calibri" w:cs="Calibri"/>
        </w:rPr>
        <w:t>СибурТюменьГаз</w:t>
      </w:r>
      <w:proofErr w:type="spellEnd"/>
      <w:r>
        <w:rPr>
          <w:rFonts w:ascii="Calibri" w:hAnsi="Calibri" w:cs="Calibri"/>
        </w:rPr>
        <w:t>" в зоне деятельности "Южно-</w:t>
      </w:r>
      <w:proofErr w:type="spellStart"/>
      <w:r>
        <w:rPr>
          <w:rFonts w:ascii="Calibri" w:hAnsi="Calibri" w:cs="Calibri"/>
        </w:rPr>
        <w:t>Балыкского</w:t>
      </w:r>
      <w:proofErr w:type="spellEnd"/>
      <w:r>
        <w:rPr>
          <w:rFonts w:ascii="Calibri" w:hAnsi="Calibri" w:cs="Calibri"/>
        </w:rPr>
        <w:t xml:space="preserve"> газоперерабатывающего завода" - филиала Открытого акционерного общества "</w:t>
      </w:r>
      <w:proofErr w:type="spellStart"/>
      <w:r>
        <w:rPr>
          <w:rFonts w:ascii="Calibri" w:hAnsi="Calibri" w:cs="Calibri"/>
        </w:rPr>
        <w:t>СибурТюменьГаз</w:t>
      </w:r>
      <w:proofErr w:type="spellEnd"/>
      <w:r>
        <w:rPr>
          <w:rFonts w:ascii="Calibri" w:hAnsi="Calibri" w:cs="Calibri"/>
        </w:rPr>
        <w:t xml:space="preserve">" на территории города </w:t>
      </w:r>
      <w:proofErr w:type="spellStart"/>
      <w:r>
        <w:rPr>
          <w:rFonts w:ascii="Calibri" w:hAnsi="Calibri" w:cs="Calibri"/>
        </w:rPr>
        <w:t>Пыть-Ях</w:t>
      </w:r>
      <w:proofErr w:type="spellEnd"/>
      <w:r>
        <w:rPr>
          <w:rFonts w:ascii="Calibri" w:hAnsi="Calibri" w:cs="Calibri"/>
        </w:rPr>
        <w:t>:</w:t>
      </w: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275"/>
        <w:gridCol w:w="1020"/>
        <w:gridCol w:w="1020"/>
        <w:gridCol w:w="1020"/>
      </w:tblGrid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</w:t>
            </w:r>
          </w:p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157,0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2,557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5C50F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FA" w:rsidRDefault="005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</w:tr>
    </w:tbl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0FA" w:rsidRDefault="005C50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 w:rsidSect="005C50F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FA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0FA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A70C-9122-49B8-87D1-36BF1F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0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C5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50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C50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59942711FC0AD364B506327C13ED7E7118D955ZD57G" TargetMode="External"/><Relationship Id="rId13" Type="http://schemas.openxmlformats.org/officeDocument/2006/relationships/hyperlink" Target="consultantplus://offline/ref=D7CC85F99DE21E7FBE7859942711FC0AD366B707357A13ED7E7118D955D7F245994DBDE9D64DE0F8ZF5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CC85F99DE21E7FBE7859942711FC0AD365BC05377413ED7E7118D955ZD57G" TargetMode="External"/><Relationship Id="rId12" Type="http://schemas.openxmlformats.org/officeDocument/2006/relationships/hyperlink" Target="consultantplus://offline/ref=D7CC85F99DE21E7FBE7859942711FC0AD366B505327C13ED7E7118D955D7F245994DBDE9D64EE3F7ZF5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CC85F99DE21E7FBE7859942711FC0AD366B707357A13ED7E7118D955ZD57G" TargetMode="External"/><Relationship Id="rId11" Type="http://schemas.openxmlformats.org/officeDocument/2006/relationships/hyperlink" Target="consultantplus://offline/ref=D7CC85F99DE21E7FBE7859942711FC0AD366B505327C13ED7E7118D955D7F245994DBDE9D64DE2F6ZF5EG" TargetMode="External"/><Relationship Id="rId5" Type="http://schemas.openxmlformats.org/officeDocument/2006/relationships/hyperlink" Target="consultantplus://offline/ref=D7CC85F99DE21E7FBE7859942711FC0AD366B603357813ED7E7118D955ZD5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CC85F99DE21E7FBE784799317DAB05D46AEB0A317C1DB220261E8E0A87F410D9Z05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CC85F99DE21E7FBE7859942711FC0AD366B50F337C13ED7E7118D955ZD57G" TargetMode="External"/><Relationship Id="rId14" Type="http://schemas.openxmlformats.org/officeDocument/2006/relationships/hyperlink" Target="consultantplus://offline/ref=D7CC85F99DE21E7FBE7859942711FC0AD366B707357A13ED7E7118D955D7F245994DBDE9D64DE4F8ZF5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2015-01-27T06:57:00Z</dcterms:created>
  <dcterms:modified xsi:type="dcterms:W3CDTF">2015-01-27T06:59:00Z</dcterms:modified>
</cp:coreProperties>
</file>