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3D0685">
        <w:rPr>
          <w:rFonts w:ascii="Arial" w:hAnsi="Arial" w:cs="Arial"/>
          <w:sz w:val="24"/>
          <w:szCs w:val="24"/>
          <w:u w:val="single"/>
        </w:rPr>
        <w:t>Нефтегазопровод</w:t>
      </w:r>
      <w:r w:rsidR="009400E3">
        <w:rPr>
          <w:rFonts w:ascii="Arial" w:hAnsi="Arial" w:cs="Arial"/>
          <w:sz w:val="24"/>
          <w:szCs w:val="24"/>
          <w:u w:val="single"/>
        </w:rPr>
        <w:t>ы</w:t>
      </w:r>
      <w:proofErr w:type="spellEnd"/>
      <w:r w:rsidR="009400E3">
        <w:rPr>
          <w:rFonts w:ascii="Arial" w:hAnsi="Arial" w:cs="Arial"/>
          <w:sz w:val="24"/>
          <w:szCs w:val="24"/>
          <w:u w:val="single"/>
        </w:rPr>
        <w:t xml:space="preserve"> кусто</w:t>
      </w:r>
      <w:r w:rsidR="0048511A">
        <w:rPr>
          <w:rFonts w:ascii="Arial" w:hAnsi="Arial" w:cs="Arial"/>
          <w:sz w:val="24"/>
          <w:szCs w:val="24"/>
          <w:u w:val="single"/>
        </w:rPr>
        <w:t>в</w:t>
      </w:r>
      <w:bookmarkStart w:id="0" w:name="_GoBack"/>
      <w:bookmarkEnd w:id="0"/>
      <w:r w:rsidR="009400E3">
        <w:rPr>
          <w:rFonts w:ascii="Arial" w:hAnsi="Arial" w:cs="Arial"/>
          <w:sz w:val="24"/>
          <w:szCs w:val="24"/>
          <w:u w:val="single"/>
        </w:rPr>
        <w:t xml:space="preserve"> скважин 101БИС, 110БИС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9400E3">
        <w:rPr>
          <w:rFonts w:ascii="Arial" w:hAnsi="Arial" w:cs="Arial"/>
          <w:sz w:val="24"/>
          <w:szCs w:val="24"/>
          <w:u w:val="single"/>
        </w:rPr>
        <w:t>3679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8511A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9400E3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20</cp:revision>
  <cp:lastPrinted>2022-10-03T03:46:00Z</cp:lastPrinted>
  <dcterms:created xsi:type="dcterms:W3CDTF">2022-08-31T12:23:00Z</dcterms:created>
  <dcterms:modified xsi:type="dcterms:W3CDTF">2024-12-10T07:29:00Z</dcterms:modified>
</cp:coreProperties>
</file>