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18"/>
        <w:tblW w:w="0" w:type="auto"/>
        <w:tblLayout w:type="fixed"/>
        <w:tblLook w:val="04A0" w:firstRow="1" w:lastRow="0" w:firstColumn="1" w:lastColumn="0" w:noHBand="0" w:noVBand="1"/>
      </w:tblPr>
      <w:tblGrid>
        <w:gridCol w:w="7620"/>
      </w:tblGrid>
      <w:tr>
        <w:trPr>
          <w:trHeight w:val="1158"/>
        </w:trPr>
        <w:tc>
          <w:tcPr>
            <w:tcW w:w="7620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i/>
                <w:color w:val="0070c0"/>
                <w:sz w:val="22"/>
                <w:szCs w:val="22"/>
                <w:highlight w:val="none"/>
              </w:rPr>
            </w:pPr>
            <w:r>
              <w:rPr>
                <w:b/>
                <w:color w:val="538135" w:themeColor="accent6" w:themeShade="BF"/>
                <w:sz w:val="22"/>
                <w:szCs w:val="22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3397590</wp:posOffset>
                      </wp:positionH>
                      <wp:positionV relativeFrom="paragraph">
                        <wp:posOffset>61595</wp:posOffset>
                      </wp:positionV>
                      <wp:extent cx="1379940" cy="920129"/>
                      <wp:effectExtent l="44450" t="44450" r="44450" b="44450"/>
                      <wp:wrapTight wrapText="bothSides">
                        <wp:wrapPolygon edited="1">
                          <wp:start x="-1666" y="-2856"/>
                          <wp:lineTo x="-2143" y="3570"/>
                          <wp:lineTo x="-2143" y="18565"/>
                          <wp:lineTo x="-952" y="20707"/>
                          <wp:lineTo x="1190" y="23564"/>
                          <wp:lineTo x="1428" y="24278"/>
                          <wp:lineTo x="22378" y="24278"/>
                          <wp:lineTo x="22616" y="23564"/>
                          <wp:lineTo x="23330" y="20707"/>
                          <wp:lineTo x="23330" y="3570"/>
                          <wp:lineTo x="20473" y="-1785"/>
                          <wp:lineTo x="20235" y="-2856"/>
                          <wp:lineTo x="-1666" y="-2856"/>
                        </wp:wrapPolygon>
                      </wp:wrapTight>
                      <wp:docPr id="3" name="Рисунок 1" descr="https://volyn.com.ua/content/thumbs/1500x1000/h/xw/wlid3h-oqw3pgjbbsq2g32fniaym7yctna47xw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6654697" name="Picture 1" descr="https://volyn.com.ua/content/thumbs/1500x1000/h/xw/wlid3h-oqw3pgjbbsq2g32fniaym7yctna47xwh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379939" cy="920128"/>
                              </a:xfrm>
                              <a:prstGeom prst="snip2DiagRect">
                                <a:avLst>
                                  <a:gd name="adj1" fmla="val 0"/>
                                  <a:gd name="adj2" fmla="val 16667"/>
                                </a:avLst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blurRad="88900" algn="tl" rotWithShape="0">
                                  <a:srgbClr val="000000">
                                    <a:alpha val="4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-251662336;o:allowoverlap:true;o:allowincell:true;mso-position-horizontal-relative:page;margin-left:267.5pt;mso-position-horizontal:absolute;mso-position-vertical-relative:text;margin-top:4.8pt;mso-position-vertical:absolute;width:108.7pt;height:72.5pt;mso-wrap-distance-left:9.0pt;mso-wrap-distance-top:0.0pt;mso-wrap-distance-right:9.0pt;mso-wrap-distance-bottom:0.0pt;rotation:0;" wrapcoords="-7712 -13221 -9920 16528 -9920 85949 -4406 95866 5509 109093 6611 112398 103602 112398 104704 109093 108009 95866 108009 16528 94782 -8263 93681 -13221 -7712 -13221" strokecolor="#FFFFFF" strokeweight="7.00pt">
                      <v:path textboxrect="5555,8331,94442,91663"/>
                      <w10:wrap type="tight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Cambria" w:hAnsi="Cambria" w:cs="Cambria"/>
                <w:b/>
                <w:i/>
                <w:color w:val="000000" w:themeColor="text1"/>
                <w:sz w:val="36"/>
                <w:szCs w:val="36"/>
              </w:rPr>
              <w:t xml:space="preserve">Памятка</w:t>
            </w:r>
            <w:r>
              <w:rPr>
                <w:rFonts w:ascii="Algerian" w:hAnsi="Algerian" w:cs="Times New Roman"/>
                <w:b/>
                <w:i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ascii="Cambria" w:hAnsi="Cambria" w:cs="Cambria"/>
                <w:b/>
                <w:i/>
                <w:color w:val="000000" w:themeColor="text1"/>
                <w:sz w:val="36"/>
                <w:szCs w:val="36"/>
              </w:rPr>
              <w:t xml:space="preserve">охотпользователям</w:t>
            </w:r>
            <w:r>
              <w:rPr>
                <w:rFonts w:ascii="Algerian" w:hAnsi="Algerian" w:cs="Times New Roman"/>
                <w:b/>
                <w:i/>
                <w:color w:val="0070c0"/>
                <w:sz w:val="36"/>
                <w:szCs w:val="36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Calibri" w:hAnsi="Calibri" w:cs="Calibri"/>
                <w:b/>
                <w:i/>
                <w:iCs/>
                <w:color w:val="0070c0"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4"/>
                <w:szCs w:val="24"/>
              </w:rPr>
              <w:t xml:space="preserve">В целях недопущения заноса вируса африканской чумы свиней</w:t>
            </w:r>
            <w:r>
              <w:rPr>
                <w:b/>
                <w:i/>
                <w:iCs/>
                <w:sz w:val="24"/>
                <w:szCs w:val="24"/>
              </w:rPr>
              <w:t xml:space="preserve"> и распространения инфекции</w:t>
            </w:r>
            <w:r>
              <w:rPr>
                <w:rFonts w:ascii="Calibri" w:hAnsi="Calibri" w:cs="Calibri"/>
                <w:b/>
                <w:i/>
                <w:iCs/>
                <w:color w:val="0070c0"/>
                <w:sz w:val="24"/>
                <w:szCs w:val="24"/>
                <w:highlight w:val="none"/>
              </w:rPr>
              <w:t xml:space="preserve">, </w:t>
            </w:r>
            <w:r>
              <w:rPr>
                <w:b/>
                <w:i/>
                <w:iCs/>
                <w:sz w:val="24"/>
                <w:szCs w:val="24"/>
              </w:rPr>
              <w:t xml:space="preserve">необходимо придерживаться следующих правил:</w:t>
            </w:r>
            <w:r>
              <w:rPr>
                <w:rFonts w:ascii="Calibri" w:hAnsi="Calibri" w:cs="Calibri"/>
                <w:b/>
                <w:i/>
                <w:iCs/>
                <w:color w:val="0070c0"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b/>
                <w:bCs/>
                <w:i/>
                <w:sz w:val="22"/>
                <w:szCs w:val="22"/>
                <w:highlight w:val="none"/>
              </w:rPr>
            </w:pPr>
            <w:r>
              <w:rPr>
                <w:b/>
                <w:i/>
                <w:iCs/>
                <w:sz w:val="22"/>
                <w:szCs w:val="22"/>
                <w:highlight w:val="none"/>
              </w:rPr>
            </w:r>
            <w:r>
              <w:rPr>
                <w:b/>
                <w:i/>
                <w:iCs/>
                <w:sz w:val="22"/>
                <w:szCs w:val="22"/>
                <w:highlight w:val="none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Не сбрасывайте отходы разделки добытых животных в лесу, на обочины дорог, свалки,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а утилизируйте в строго отведённых местах;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 Не скармливайте домашним свиньям остатки продуктов убоя диких свиней и остатки изготовленных из них продуктов;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Не допускайте контакта диких и домашних свиней;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Максимально исключите контакт домашних свиней с охотничьей одеждой;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Предоставлять </w:t>
            </w:r>
            <w:r>
              <w:rPr>
                <w:i/>
                <w:iCs/>
                <w:color w:val="000000"/>
                <w:sz w:val="22"/>
                <w:szCs w:val="22"/>
                <w:highlight w:val="none"/>
              </w:rPr>
              <w:t xml:space="preserve">пробы от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добытых кабанов</w:t>
            </w:r>
            <w:r>
              <w:rPr>
                <w:i/>
                <w:iCs/>
                <w:sz w:val="22"/>
                <w:szCs w:val="22"/>
              </w:rPr>
              <w:t xml:space="preserve"> специалистам БУ «Ветеринарный центр» для проведение ветеринарно-санитарной экспертизы;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ри транспортировке туш добытых кабанов до мест централизованной разделки использовать приспособления, в целях недопущения попадания крови или естественных выделений животных на землю </w:t>
            </w:r>
            <w:r>
              <w:rPr>
                <w:i/>
                <w:iCs/>
                <w:sz w:val="22"/>
                <w:szCs w:val="22"/>
              </w:rPr>
              <w:t xml:space="preserve">или различные поверхности транспортных средств.</w:t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numPr>
                <w:ilvl w:val="0"/>
                <w:numId w:val="2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В случае выявления трупов диких кабанов или животных, поведение которых не соответствует их естественным поведенческим рефлексам, </w:t>
            </w:r>
            <w:r>
              <w:rPr>
                <w:i/>
                <w:iCs/>
                <w:sz w:val="22"/>
                <w:szCs w:val="22"/>
              </w:rPr>
              <w:t xml:space="preserve">а также в случае отстрела животных с такими признаками необходимо </w:t>
            </w:r>
            <w:r>
              <w:rPr>
                <w:b/>
                <w:i/>
                <w:iCs/>
                <w:sz w:val="22"/>
                <w:szCs w:val="22"/>
              </w:rPr>
              <w:t xml:space="preserve">немедленно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обращаться к ветеринарным специалистам территориальных филиалов бюджетного учреждения «Ветеринарный центр»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для отбора проб</w:t>
            </w:r>
            <w:r>
              <w:rPr>
                <w:i/>
                <w:i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15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/>
          </w:p>
          <w:p>
            <w:pPr>
              <w:pStyle w:val="915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Номера телефонов круглосуточной «горячей линии»:</w:t>
            </w:r>
            <w:r>
              <w:rPr>
                <w:b/>
                <w:bCs/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В Ханты-Мансийском районе: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65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-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Нефтеюганске: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 (3463) 29-38-77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Нягани и Октябрьском районе: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8-908-887-83-80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Кондинском районе: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8-904-465-20-90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Советский:       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8-922-792-91-93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Сургуте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Сургутском районе: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(3462)31-89-02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 г. Нижневартовске и Нижневартовском районе:    </w:t>
            </w:r>
            <w:r>
              <w:rPr>
                <w:rFonts w:ascii="Times New Roman" w:hAnsi="Times New Roman" w:cs="Times New Roman"/>
              </w:rPr>
              <w:t xml:space="preserve">8-922-255-14-02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Белоярский:     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8-950-532-14-88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Берёзовском районе: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8-908-884-89-28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highlight w:val="none"/>
                <w:lang w:eastAsia="ru-RU"/>
              </w:rPr>
            </w:r>
            <w:r/>
          </w:p>
        </w:tc>
      </w:tr>
    </w:tbl>
    <w:p>
      <w:pPr>
        <w:jc w:val="left"/>
        <w:rPr>
          <w:rFonts w:ascii="Algerian" w:hAnsi="Algerian" w:cs="Times New Roman"/>
          <w:b/>
          <w:bCs/>
          <w:i/>
          <w:color w:val="395623" w:themeColor="accent6" w:themeShade="80"/>
          <w:sz w:val="28"/>
          <w:szCs w:val="28"/>
          <w:highlight w:val="none"/>
        </w:rPr>
      </w:pPr>
      <w:r>
        <w:rPr>
          <w:rFonts w:ascii="Algerian" w:hAnsi="Algerian" w:cs="Times New Roman"/>
          <w:b/>
          <w:bCs/>
          <w:i/>
          <w:color w:val="395623" w:themeColor="accent6" w:themeShade="80"/>
          <w:sz w:val="28"/>
          <w:szCs w:val="28"/>
          <w:highlight w:val="none"/>
        </w:rPr>
      </w:r>
      <w:r>
        <w:rPr>
          <w:rFonts w:ascii="Algerian" w:hAnsi="Algerian" w:cs="Times New Roman"/>
          <w:b/>
          <w:bCs/>
          <w:i/>
          <w:color w:val="395623" w:themeColor="accent6" w:themeShade="80"/>
          <w:sz w:val="28"/>
          <w:szCs w:val="28"/>
          <w:highlight w:val="none"/>
        </w:rPr>
      </w:r>
    </w:p>
    <w:tbl>
      <w:tblPr>
        <w:tblStyle w:val="918"/>
        <w:tblW w:w="0" w:type="auto"/>
        <w:tblLayout w:type="fixed"/>
        <w:tblLook w:val="04A0" w:firstRow="1" w:lastRow="0" w:firstColumn="1" w:lastColumn="0" w:noHBand="0" w:noVBand="1"/>
      </w:tblPr>
      <w:tblGrid>
        <w:gridCol w:w="7620"/>
      </w:tblGrid>
      <w:tr>
        <w:trPr>
          <w:trHeight w:val="1158"/>
        </w:trPr>
        <w:tc>
          <w:tcPr>
            <w:tcW w:w="7620" w:type="dxa"/>
            <w:textDirection w:val="lrTb"/>
            <w:noWrap w:val="false"/>
          </w:tcPr>
          <w:p>
            <w:pPr>
              <w:jc w:val="left"/>
              <w:rPr>
                <w:rFonts w:ascii="Cambria" w:hAnsi="Cambria" w:cs="Cambria"/>
                <w:b/>
                <w:bCs/>
                <w:i/>
                <w:color w:val="000000" w:themeColor="text1"/>
                <w:sz w:val="36"/>
                <w:szCs w:val="36"/>
              </w:rPr>
            </w:pPr>
            <w:r>
              <w:rPr>
                <w:b/>
                <w:color w:val="538135" w:themeColor="accent6" w:themeShade="BF"/>
                <w:sz w:val="22"/>
                <w:szCs w:val="22"/>
                <w:lang w:eastAsia="ru-RU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5408" behindDoc="0" locked="0" layoutInCell="1" allowOverlap="1">
                      <wp:simplePos x="0" y="0"/>
                      <wp:positionH relativeFrom="column">
                        <wp:posOffset>2874533</wp:posOffset>
                      </wp:positionH>
                      <wp:positionV relativeFrom="paragraph">
                        <wp:posOffset>61631</wp:posOffset>
                      </wp:positionV>
                      <wp:extent cx="1716306" cy="966533"/>
                      <wp:effectExtent l="0" t="0" r="0" b="0"/>
                      <wp:wrapNone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670853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716306" cy="9665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251665408;o:allowoverlap:true;o:allowincell:true;mso-position-horizontal-relative:text;margin-left:226.3pt;mso-position-horizontal:absolute;mso-position-vertical-relative:text;margin-top:4.9pt;mso-position-vertical:absolute;width:135.1pt;height:76.1pt;mso-wrap-distance-left:9.1pt;mso-wrap-distance-top:0.0pt;mso-wrap-distance-right:9.1pt;mso-wrap-distance-bottom:0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Cambria" w:hAnsi="Cambria" w:cs="Cambria"/>
                <w:b/>
                <w:i/>
                <w:color w:val="000000" w:themeColor="text1"/>
                <w:sz w:val="36"/>
                <w:szCs w:val="36"/>
              </w:rPr>
              <w:t xml:space="preserve">Трихинеллез</w:t>
            </w:r>
            <w:r>
              <w:rPr>
                <w:rFonts w:ascii="Cambria" w:hAnsi="Cambria" w:cs="Cambria"/>
                <w:b/>
                <w:bCs/>
                <w:i/>
                <w:color w:val="000000" w:themeColor="text1"/>
                <w:sz w:val="36"/>
                <w:szCs w:val="36"/>
              </w:rPr>
            </w:r>
          </w:p>
          <w:p>
            <w:pPr>
              <w:jc w:val="center"/>
            </w:pPr>
            <w:r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left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b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Calibri" w:hAnsi="Calibri" w:cs="Calibri"/>
                <w:b/>
                <w:i/>
                <w:iCs/>
                <w:color w:val="0070c0"/>
                <w:sz w:val="20"/>
                <w:szCs w:val="20"/>
                <w:highlight w:val="none"/>
              </w:rPr>
            </w:r>
            <w:r>
              <w:rPr>
                <w:b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</w:pPr>
            <w:r>
              <w:rPr>
                <w:b/>
                <w:i/>
                <w:iCs/>
                <w:sz w:val="22"/>
                <w:szCs w:val="22"/>
                <w:highlight w:val="none"/>
              </w:rPr>
            </w:r>
            <w:r>
              <w:rPr>
                <w:b/>
                <w:bCs/>
                <w:i/>
                <w:sz w:val="22"/>
                <w:szCs w:val="22"/>
                <w:highlight w:val="none"/>
              </w:rPr>
            </w:r>
            <w:r/>
          </w:p>
          <w:p>
            <w:pPr>
              <w:pStyle w:val="915"/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iCs/>
                <w:sz w:val="22"/>
                <w:szCs w:val="22"/>
                <w:highlight w:val="none"/>
              </w:rPr>
              <w:t xml:space="preserve">        </w:t>
            </w:r>
            <w:r>
              <w:rPr>
                <w:b/>
                <w:bCs/>
                <w:i/>
                <w:iCs/>
                <w:sz w:val="22"/>
                <w:szCs w:val="22"/>
                <w:highlight w:val="none"/>
              </w:rPr>
              <w:t xml:space="preserve">Трихинеллез</w:t>
            </w:r>
            <w:r>
              <w:rPr>
                <w:i/>
                <w:iCs/>
                <w:sz w:val="22"/>
                <w:szCs w:val="22"/>
                <w:highlight w:val="none"/>
              </w:rPr>
              <w:t xml:space="preserve"> – паразитарное заболевание, опасное для здоровья человека. В естественных условиях трихинеллез возможен у многих диких животных: медведей, диких кабанов, барсуков, нутрий, лисиц, волков, а также крыс.</w:t>
            </w:r>
            <w:r>
              <w:rPr>
                <w:i/>
                <w:iCs/>
                <w:sz w:val="22"/>
                <w:szCs w:val="22"/>
                <w:highlight w:val="none"/>
              </w:rPr>
            </w:r>
          </w:p>
          <w:p>
            <w:pPr>
              <w:pStyle w:val="915"/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iCs/>
                <w:sz w:val="22"/>
                <w:szCs w:val="22"/>
                <w:highlight w:val="none"/>
              </w:rPr>
            </w:r>
            <w:r>
              <w:rPr>
                <w:i/>
                <w:iCs/>
                <w:sz w:val="22"/>
                <w:szCs w:val="22"/>
                <w:highlight w:val="none"/>
              </w:rPr>
            </w:r>
          </w:p>
          <w:p>
            <w:pPr>
              <w:pStyle w:val="915"/>
              <w:ind w:right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iCs/>
                <w:sz w:val="22"/>
                <w:szCs w:val="22"/>
                <w:highlight w:val="none"/>
              </w:rPr>
              <w:t xml:space="preserve">         Заражение людей происходит при употреблении в пищу сырого и недостаточно термически обработанного мяса и мясных продуктов зараженного личинками трихинелл.</w:t>
            </w:r>
            <w:r>
              <w:rPr>
                <w:i/>
                <w:iCs/>
                <w:sz w:val="22"/>
                <w:szCs w:val="22"/>
                <w:highlight w:val="none"/>
              </w:rPr>
            </w:r>
          </w:p>
          <w:p>
            <w:pPr>
              <w:pStyle w:val="915"/>
              <w:ind w:right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iCs/>
                <w:sz w:val="22"/>
                <w:szCs w:val="22"/>
                <w:highlight w:val="none"/>
              </w:rPr>
            </w:r>
            <w:r>
              <w:rPr>
                <w:i/>
                <w:iCs/>
                <w:sz w:val="22"/>
                <w:szCs w:val="22"/>
                <w:highlight w:val="none"/>
              </w:rPr>
            </w:r>
          </w:p>
          <w:p>
            <w:pPr>
              <w:pStyle w:val="915"/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iCs/>
                <w:sz w:val="22"/>
                <w:szCs w:val="22"/>
                <w:highlight w:val="none"/>
              </w:rPr>
              <w:t xml:space="preserve">         Симптомы у человека в начальной стадии могут быть следующими: расстройство пищеварения; болевые ощущения в животе, усталость. Через некоторое время симптоматика проявляется гораздо ярче: появляются боли в мышцах; поднимается температура тела; начинает отекать лицо.</w:t>
            </w:r>
            <w:r>
              <w:rPr>
                <w:i/>
                <w:iCs/>
                <w:sz w:val="22"/>
                <w:szCs w:val="22"/>
                <w:highlight w:val="none"/>
              </w:rPr>
            </w:r>
          </w:p>
          <w:p>
            <w:pPr>
              <w:pStyle w:val="915"/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iCs/>
                <w:sz w:val="22"/>
                <w:szCs w:val="22"/>
                <w:highlight w:val="none"/>
              </w:rPr>
              <w:t xml:space="preserve">         При отсутствии лечения у человека могут возникнуть тяжелые последствия заражения трихинеллезом: поражение сердечно-сосудистой системы; нарушение работы органов дыхания; гепатит; нефрит; </w:t>
            </w:r>
            <w:r>
              <w:rPr>
                <w:i/>
                <w:iCs/>
                <w:sz w:val="22"/>
                <w:szCs w:val="22"/>
                <w:highlight w:val="none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pStyle w:val="915"/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iCs/>
                <w:sz w:val="22"/>
                <w:szCs w:val="22"/>
                <w:highlight w:val="none"/>
              </w:rPr>
            </w:r>
            <w:r>
              <w:rPr>
                <w:i/>
                <w:iCs/>
                <w:sz w:val="22"/>
                <w:szCs w:val="22"/>
                <w:highlight w:val="none"/>
              </w:rPr>
            </w:r>
          </w:p>
          <w:p>
            <w:pPr>
              <w:pStyle w:val="915"/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iCs/>
                <w:sz w:val="22"/>
                <w:szCs w:val="22"/>
                <w:highlight w:val="none"/>
              </w:rPr>
              <w:t xml:space="preserve">         Основным методом профилактики трихинеллеза является санитарный контроль мяса диких животных.</w:t>
            </w:r>
            <w:r>
              <w:rPr>
                <w:i/>
                <w:iCs/>
                <w:sz w:val="22"/>
                <w:szCs w:val="22"/>
                <w:highlight w:val="none"/>
              </w:rPr>
            </w:r>
          </w:p>
          <w:p>
            <w:pPr>
              <w:pStyle w:val="915"/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  <w:p>
            <w:pPr>
              <w:pStyle w:val="915"/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none"/>
              </w:rPr>
              <w:t xml:space="preserve">Все туши</w:t>
            </w:r>
            <w:r>
              <w:rPr>
                <w:i/>
                <w:iCs/>
                <w:sz w:val="22"/>
                <w:szCs w:val="22"/>
                <w:highlight w:val="none"/>
              </w:rPr>
              <w:t xml:space="preserve"> диких животных должны подвергаться ветеринарно-санитарной экспертизе. Исследования мяса на трихинеллез проводится бесплатно.</w:t>
            </w:r>
            <w:r>
              <w:rPr>
                <w:i/>
                <w:iCs/>
                <w:sz w:val="22"/>
                <w:szCs w:val="22"/>
                <w:highlight w:val="none"/>
              </w:rPr>
            </w:r>
          </w:p>
          <w:p>
            <w:pPr>
              <w:pStyle w:val="915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  <w:r/>
          </w:p>
          <w:p>
            <w:pPr>
              <w:pStyle w:val="915"/>
              <w:jc w:val="both"/>
              <w:spacing w:before="0" w:beforeAutospacing="0" w:after="0" w:afterAutospacing="0"/>
              <w:shd w:val="clear" w:color="auto" w:fill="ffffff"/>
              <w:tabs>
                <w:tab w:val="left" w:pos="283" w:leader="none"/>
              </w:tabs>
            </w:pPr>
            <w:r>
              <w:rPr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Номера телефонов круглосуточной «горячей линии»: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В Ханты-Мансийском районе: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65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86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Нефтеюганске: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 (3463) 29-38-77</w:t>
            </w:r>
            <w:r/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Нягани и Октябрьском районе: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8-908-887-83-80</w:t>
            </w:r>
            <w:r/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Кондинском районе: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8-904-465-20-90</w:t>
            </w:r>
            <w:r/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Советский:       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8-922-792-91-93</w:t>
            </w:r>
            <w:r/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Сургуте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Сургутском районе: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(3462)31-89-02</w:t>
            </w:r>
            <w:r>
              <w:rPr>
                <w:rFonts w:ascii="Times New Roman" w:hAnsi="Times New Roman" w:cs="Times New Roman"/>
                <w:lang w:eastAsia="ru-RU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/>
              </w:rPr>
              <w:t xml:space="preserve">         В г. Нижневартовске и Нижневартовском районе:    </w:t>
            </w:r>
            <w:r>
              <w:rPr>
                <w:rFonts w:ascii="Times New Roman" w:hAnsi="Times New Roman" w:cs="Times New Roman"/>
              </w:rPr>
              <w:t xml:space="preserve">8-922-255-14-02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г. Белоярский:           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8-950-532-14-88</w:t>
            </w:r>
            <w:r/>
            <w:r/>
          </w:p>
          <w:p>
            <w:pPr>
              <w:jc w:val="left"/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  В Берёзовском районе:                                                 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8-908-884-89-28</w:t>
            </w:r>
            <w:r>
              <w:rPr>
                <w:rFonts w:ascii="Times New Roman" w:hAnsi="Times New Roman" w:cs="Times New Roman"/>
                <w:highlight w:val="none"/>
                <w:lang w:eastAsia="ru-RU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lang w:eastAsia="ru-RU"/>
              </w:rPr>
            </w:r>
            <w:r/>
          </w:p>
        </w:tc>
      </w:tr>
    </w:tbl>
    <w:p>
      <w:pPr>
        <w:jc w:val="left"/>
        <w:rPr>
          <w:rFonts w:ascii="Algerian" w:hAnsi="Algerian" w:cs="Times New Roman"/>
          <w:b/>
          <w:bCs/>
          <w:i/>
          <w:color w:val="395623" w:themeColor="accent6" w:themeShade="80"/>
          <w:sz w:val="28"/>
          <w:szCs w:val="28"/>
          <w:highlight w:val="none"/>
        </w:rPr>
      </w:pPr>
      <w:r>
        <w:rPr>
          <w:rFonts w:ascii="Cambria" w:hAnsi="Cambria" w:cs="Cambria"/>
          <w:b/>
          <w:i/>
          <w:color w:val="385623" w:themeColor="accent6" w:themeShade="80"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6838" w:h="11906" w:orient="landscape"/>
      <w:pgMar w:top="-409" w:right="536" w:bottom="15" w:left="1134" w:header="708" w:footer="708" w:gutter="0"/>
      <w:cols w:num="2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gerian">
    <w:panose1 w:val="04020705040A02060702"/>
  </w:font>
  <w:font w:name="Cambria">
    <w:panose1 w:val="020405030504060302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9425" cy="2560955"/>
              <wp:effectExtent l="0" t="0" r="0" b="0"/>
              <wp:wrapNone/>
              <wp:docPr id="1" name="PowerPlusWaterMarkObject613855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829425" cy="256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  <w14:round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ПАМЯТКА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13855172" o:spid="_x0000_s0" o:spt="1" type="#_x0000_t1" style="position:absolute;z-index:-251655168;o:allowoverlap:true;o:allowincell:false;mso-position-horizontal-relative:margin;mso-position-horizontal:center;mso-position-vertical-relative:margin;mso-position-vertical:center;width:537.8pt;height:201.6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  <w14:round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ПАМЯТКА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29425" cy="2560955"/>
              <wp:effectExtent l="0" t="0" r="0" b="0"/>
              <wp:wrapNone/>
              <wp:docPr id="2" name="PowerPlusWaterMarkObject613855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6829425" cy="256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ПАМЯТКА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613855171" o:spid="_x0000_s1" o:spt="1" type="#_x0000_t1" style="position:absolute;z-index:-251657216;o:allowoverlap:true;o:allowincell:false;mso-position-horizontal-relative:margin;mso-position-horizontal:center;mso-position-vertical-relative:margin;mso-position-vertical:center;width:537.8pt;height:201.6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ПАМЯТКА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1"/>
    <w:next w:val="911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2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1"/>
    <w:next w:val="911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2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1"/>
    <w:next w:val="911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2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1"/>
    <w:next w:val="911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2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1"/>
    <w:next w:val="911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2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1"/>
    <w:next w:val="911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2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1"/>
    <w:next w:val="911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2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1"/>
    <w:next w:val="91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1"/>
    <w:next w:val="911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2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1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1"/>
    <w:next w:val="911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2"/>
    <w:link w:val="756"/>
    <w:uiPriority w:val="10"/>
    <w:rPr>
      <w:sz w:val="48"/>
      <w:szCs w:val="48"/>
    </w:rPr>
  </w:style>
  <w:style w:type="paragraph" w:styleId="758">
    <w:name w:val="Subtitle"/>
    <w:basedOn w:val="911"/>
    <w:next w:val="911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2"/>
    <w:link w:val="758"/>
    <w:uiPriority w:val="11"/>
    <w:rPr>
      <w:sz w:val="24"/>
      <w:szCs w:val="24"/>
    </w:rPr>
  </w:style>
  <w:style w:type="paragraph" w:styleId="760">
    <w:name w:val="Quote"/>
    <w:basedOn w:val="911"/>
    <w:next w:val="911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1"/>
    <w:next w:val="911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2"/>
    <w:link w:val="921"/>
    <w:uiPriority w:val="99"/>
  </w:style>
  <w:style w:type="character" w:styleId="765">
    <w:name w:val="Footer Char"/>
    <w:basedOn w:val="912"/>
    <w:link w:val="923"/>
    <w:uiPriority w:val="99"/>
  </w:style>
  <w:style w:type="paragraph" w:styleId="766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3"/>
    <w:uiPriority w:val="99"/>
  </w:style>
  <w:style w:type="table" w:styleId="768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7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8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9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0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1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2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4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5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6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7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8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9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1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2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3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4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5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6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2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2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Normal (Web)"/>
    <w:basedOn w:val="9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apple-converted-space"/>
    <w:basedOn w:val="912"/>
  </w:style>
  <w:style w:type="character" w:styleId="917">
    <w:name w:val="Strong"/>
    <w:basedOn w:val="912"/>
    <w:qFormat/>
    <w:rPr>
      <w:b/>
      <w:bCs/>
    </w:rPr>
  </w:style>
  <w:style w:type="table" w:styleId="918">
    <w:name w:val="Table Grid"/>
    <w:basedOn w:val="91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>
    <w:name w:val="Balloon Text"/>
    <w:basedOn w:val="911"/>
    <w:link w:val="9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basedOn w:val="912"/>
    <w:link w:val="919"/>
    <w:uiPriority w:val="99"/>
    <w:semiHidden/>
    <w:rPr>
      <w:rFonts w:ascii="Segoe UI" w:hAnsi="Segoe UI" w:cs="Segoe UI"/>
      <w:sz w:val="18"/>
      <w:szCs w:val="18"/>
    </w:rPr>
  </w:style>
  <w:style w:type="paragraph" w:styleId="921">
    <w:name w:val="Header"/>
    <w:basedOn w:val="911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"/>
    <w:basedOn w:val="912"/>
    <w:link w:val="921"/>
    <w:uiPriority w:val="99"/>
  </w:style>
  <w:style w:type="paragraph" w:styleId="923">
    <w:name w:val="Footer"/>
    <w:basedOn w:val="911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912"/>
    <w:link w:val="92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тражение">
      <a:fillStyleLst>
        <a:solidFill>
          <a:schemeClr val="phClr"/>
        </a:solidFill>
        <a:gradFill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7244-34D5-4337-BA12-3240062D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8</cp:revision>
  <dcterms:created xsi:type="dcterms:W3CDTF">2023-04-21T05:17:00Z</dcterms:created>
  <dcterms:modified xsi:type="dcterms:W3CDTF">2025-11-12T11:36:26Z</dcterms:modified>
</cp:coreProperties>
</file>