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D2" w:rsidRDefault="00513842">
      <w:pPr>
        <w:jc w:val="center"/>
        <w:rPr>
          <w:b/>
          <w:szCs w:val="28"/>
          <w:highlight w:val="white"/>
        </w:rPr>
      </w:pPr>
      <w:bookmarkStart w:id="0" w:name="_GoBack"/>
      <w:bookmarkEnd w:id="0"/>
      <w:r>
        <w:rPr>
          <w:bCs/>
          <w:noProof/>
          <w:szCs w:val="28"/>
          <w:highlight w:val="whit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3948</wp:posOffset>
                </wp:positionH>
                <wp:positionV relativeFrom="paragraph">
                  <wp:posOffset>-447206</wp:posOffset>
                </wp:positionV>
                <wp:extent cx="5748793" cy="449028"/>
                <wp:effectExtent l="0" t="0" r="4445" b="825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449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842" w:rsidRPr="00513842" w:rsidRDefault="00513842" w:rsidP="0051384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13842">
                              <w:rPr>
                                <w:b/>
                                <w:sz w:val="18"/>
                              </w:rPr>
                              <w:t xml:space="preserve">Внесен в государственный реестр нормативных правовых актов исполнительных органов </w:t>
                            </w:r>
                          </w:p>
                          <w:p w:rsidR="00E651D2" w:rsidRDefault="00513842" w:rsidP="0051384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13842">
                              <w:rPr>
                                <w:b/>
                                <w:sz w:val="18"/>
                              </w:rPr>
                              <w:t>Ханты-Мансийского автономного округа - Югры за № 8</w:t>
                            </w:r>
                            <w:r>
                              <w:rPr>
                                <w:b/>
                                <w:sz w:val="18"/>
                              </w:rPr>
                              <w:t>256</w:t>
                            </w:r>
                            <w:r w:rsidRPr="00513842">
                              <w:rPr>
                                <w:b/>
                                <w:sz w:val="18"/>
                              </w:rPr>
                              <w:t xml:space="preserve"> от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  <w:r w:rsidRPr="00513842">
                              <w:rPr>
                                <w:b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  <w:r w:rsidRPr="00513842">
                              <w:rPr>
                                <w:b/>
                                <w:sz w:val="1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-35.2pt;width:452.6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" stroked="f">
                <v:textbox>
                  <w:txbxContent>
                    <w:p w:rsidR="00513842" w:rsidRPr="00513842" w:rsidRDefault="00513842" w:rsidP="00513842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13842">
                        <w:rPr>
                          <w:b/>
                          <w:sz w:val="18"/>
                        </w:rPr>
                        <w:t xml:space="preserve">Внесен в государственный реестр нормативных правовых актов исполнительных органов </w:t>
                      </w:r>
                    </w:p>
                    <w:p w:rsidR="00E651D2" w:rsidRDefault="00513842" w:rsidP="00513842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13842">
                        <w:rPr>
                          <w:b/>
                          <w:sz w:val="18"/>
                        </w:rPr>
                        <w:t>Ханты-Мансийского автономного округа - Югры за № 8</w:t>
                      </w:r>
                      <w:r>
                        <w:rPr>
                          <w:b/>
                          <w:sz w:val="18"/>
                        </w:rPr>
                        <w:t>256</w:t>
                      </w:r>
                      <w:r w:rsidRPr="00513842">
                        <w:rPr>
                          <w:b/>
                          <w:sz w:val="18"/>
                        </w:rPr>
                        <w:t xml:space="preserve"> от </w:t>
                      </w:r>
                      <w:r>
                        <w:rPr>
                          <w:b/>
                          <w:sz w:val="18"/>
                        </w:rPr>
                        <w:t>25</w:t>
                      </w:r>
                      <w:r w:rsidRPr="00513842">
                        <w:rPr>
                          <w:b/>
                          <w:sz w:val="18"/>
                        </w:rPr>
                        <w:t>.0</w:t>
                      </w:r>
                      <w:r>
                        <w:rPr>
                          <w:b/>
                          <w:sz w:val="18"/>
                        </w:rPr>
                        <w:t>8</w:t>
                      </w:r>
                      <w:r w:rsidRPr="00513842">
                        <w:rPr>
                          <w:b/>
                          <w:sz w:val="18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white"/>
        </w:rPr>
        <w:drawing>
          <wp:inline distT="0" distB="0" distL="0" distR="0">
            <wp:extent cx="670563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40387" name="Picture 1" descr="gerb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51D2" w:rsidRDefault="00E651D2">
      <w:pPr>
        <w:widowControl w:val="0"/>
        <w:jc w:val="right"/>
        <w:rPr>
          <w:highlight w:val="white"/>
        </w:rPr>
      </w:pPr>
    </w:p>
    <w:p w:rsidR="00E651D2" w:rsidRPr="00513842" w:rsidRDefault="00513842">
      <w:pPr>
        <w:pStyle w:val="2"/>
        <w:keepNext w:val="0"/>
        <w:widowControl w:val="0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t>РЕГИОНАЛЬНАЯ СЛУЖБА ПО ТАРИФАМ</w:t>
      </w:r>
      <w:r>
        <w:rPr>
          <w:szCs w:val="28"/>
          <w:highlight w:val="white"/>
          <w:lang w:val="ru-RU"/>
        </w:rPr>
        <w:br/>
        <w:t>ХАНТЫ-МАНСИЙСКОГО АВТОНОМНОГО ОКРУГА – ЮГРЫ</w:t>
      </w:r>
    </w:p>
    <w:p w:rsidR="00E651D2" w:rsidRDefault="00513842">
      <w:pPr>
        <w:jc w:val="center"/>
        <w:rPr>
          <w:b/>
          <w:szCs w:val="26"/>
          <w:highlight w:val="white"/>
        </w:rPr>
      </w:pPr>
      <w:r>
        <w:rPr>
          <w:b/>
          <w:szCs w:val="26"/>
          <w:highlight w:val="white"/>
        </w:rPr>
        <w:t>(РСТ ЮГРЫ)</w:t>
      </w:r>
    </w:p>
    <w:p w:rsidR="00E651D2" w:rsidRDefault="00E651D2">
      <w:pPr>
        <w:widowControl w:val="0"/>
        <w:shd w:val="clear" w:color="auto" w:fill="FFFFFF"/>
        <w:jc w:val="center"/>
        <w:rPr>
          <w:color w:val="000000"/>
          <w:szCs w:val="28"/>
          <w:highlight w:val="white"/>
        </w:rPr>
      </w:pPr>
    </w:p>
    <w:p w:rsidR="00E651D2" w:rsidRDefault="00513842">
      <w:pPr>
        <w:widowControl w:val="0"/>
        <w:shd w:val="clear" w:color="auto" w:fill="FFFFFF"/>
        <w:jc w:val="center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highlight w:val="white"/>
        </w:rPr>
        <w:t>ПРИКАЗ</w:t>
      </w:r>
    </w:p>
    <w:p w:rsidR="00E651D2" w:rsidRDefault="00E651D2">
      <w:pPr>
        <w:widowControl w:val="0"/>
        <w:jc w:val="right"/>
        <w:rPr>
          <w:sz w:val="24"/>
          <w:szCs w:val="24"/>
          <w:highlight w:val="white"/>
        </w:rPr>
      </w:pPr>
    </w:p>
    <w:p w:rsidR="00E651D2" w:rsidRDefault="00513842">
      <w:pPr>
        <w:pStyle w:val="1"/>
        <w:keepNext w:val="0"/>
        <w:widowControl w:val="0"/>
        <w:tabs>
          <w:tab w:val="left" w:pos="5910"/>
        </w:tabs>
        <w:spacing w:before="0" w:after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Об установлении тарифов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сфере холодного водоснабжения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для муниципального унитарного предприятия «Управление теплоснабжения муниципального образования Октябрьский район» </w:t>
      </w:r>
    </w:p>
    <w:p w:rsidR="00E651D2" w:rsidRDefault="00E651D2">
      <w:pPr>
        <w:widowControl w:val="0"/>
        <w:shd w:val="clear" w:color="auto" w:fill="FFFFFF"/>
        <w:rPr>
          <w:color w:val="000000"/>
          <w:szCs w:val="28"/>
          <w:highlight w:val="white"/>
        </w:rPr>
      </w:pPr>
    </w:p>
    <w:p w:rsidR="00E651D2" w:rsidRDefault="00513842">
      <w:pPr>
        <w:widowControl w:val="0"/>
        <w:shd w:val="clear" w:color="auto" w:fill="FFFFFF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г. Ханты-Мансийск</w:t>
      </w:r>
    </w:p>
    <w:p w:rsidR="00E651D2" w:rsidRDefault="00513842">
      <w:pPr>
        <w:widowControl w:val="0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«21» августа 2025 г.</w:t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color w:val="000000"/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             № 62-</w:t>
      </w:r>
      <w:r>
        <w:rPr>
          <w:color w:val="000000"/>
          <w:szCs w:val="28"/>
          <w:highlight w:val="white"/>
        </w:rPr>
        <w:t>нп</w:t>
      </w:r>
    </w:p>
    <w:p w:rsidR="00E651D2" w:rsidRDefault="00E651D2">
      <w:pPr>
        <w:widowControl w:val="0"/>
        <w:shd w:val="clear" w:color="auto" w:fill="FFFFFF"/>
        <w:jc w:val="center"/>
        <w:rPr>
          <w:color w:val="000000"/>
          <w:sz w:val="24"/>
          <w:szCs w:val="24"/>
          <w:highlight w:val="white"/>
        </w:rPr>
      </w:pPr>
    </w:p>
    <w:p w:rsidR="00E651D2" w:rsidRDefault="00E651D2">
      <w:pPr>
        <w:widowControl w:val="0"/>
        <w:shd w:val="clear" w:color="auto" w:fill="FFFFFF"/>
        <w:jc w:val="center"/>
        <w:rPr>
          <w:color w:val="000000"/>
          <w:sz w:val="24"/>
          <w:szCs w:val="24"/>
          <w:highlight w:val="white"/>
        </w:rPr>
      </w:pPr>
    </w:p>
    <w:p w:rsidR="00E651D2" w:rsidRDefault="00513842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В соответствии с Федеральным законом от 7 декабря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 xml:space="preserve">2011 года № 416-ФЗ «О водоснабжении и водоотведении», постановлением Правительства Российской Федерации от 13 мая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 xml:space="preserve">2013 года № 406 «О государственном регулировании тарифов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 xml:space="preserve">в сфере водоснабжения и водоотведения», приказом Федеральной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>службы по тарифам о</w:t>
      </w:r>
      <w:r>
        <w:rPr>
          <w:rFonts w:ascii="Times New Roman" w:eastAsia="Calibri" w:hAnsi="Times New Roman"/>
          <w:b w:val="0"/>
          <w:bCs w:val="0"/>
          <w:sz w:val="28"/>
          <w:szCs w:val="28"/>
          <w:highlight w:val="white"/>
        </w:rPr>
        <w:t xml:space="preserve">т 27 декабря 2013 года № 1746-э «Об утверждении Методических указаний по расчету регулируемых тарифов в </w:t>
      </w:r>
      <w:r>
        <w:rPr>
          <w:rFonts w:ascii="Times New Roman" w:eastAsia="Calibri" w:hAnsi="Times New Roman"/>
          <w:b w:val="0"/>
          <w:bCs w:val="0"/>
          <w:sz w:val="28"/>
          <w:szCs w:val="28"/>
          <w:highlight w:val="white"/>
        </w:rPr>
        <w:br/>
        <w:t xml:space="preserve">сфере водоснабжения и водоотведения»,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на основании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постановления Правительства Ханты-Мансийского автономного округа – Югры </w:t>
      </w:r>
      <w:r>
        <w:rPr>
          <w:rFonts w:ascii="Times New Roman" w:hAnsi="Times New Roman"/>
          <w:b w:val="0"/>
          <w:sz w:val="28"/>
          <w:szCs w:val="28"/>
          <w:highlight w:val="white"/>
        </w:rPr>
        <w:br/>
        <w:t xml:space="preserve">от 14 апреля 2012 года № 137-п «О Региональной службе по </w:t>
      </w:r>
      <w:r>
        <w:rPr>
          <w:rFonts w:ascii="Times New Roman" w:hAnsi="Times New Roman"/>
          <w:b w:val="0"/>
          <w:sz w:val="28"/>
          <w:szCs w:val="28"/>
          <w:highlight w:val="white"/>
        </w:rPr>
        <w:br/>
        <w:t xml:space="preserve">тарифам Ханты-Мансийского автономного округа – Югры»,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>протокола правления Региональной службы по тарифам Ханты-Мансийского автономного округа – Югры от 21 августа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2025 года № 43</w:t>
      </w:r>
      <w:r>
        <w:rPr>
          <w:rFonts w:ascii="Times New Roman" w:hAnsi="Times New Roman"/>
          <w:b w:val="0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п р и к а з ы в а ю</w:t>
      </w:r>
      <w:r>
        <w:rPr>
          <w:rFonts w:ascii="Times New Roman" w:hAnsi="Times New Roman"/>
          <w:b w:val="0"/>
          <w:sz w:val="28"/>
          <w:szCs w:val="28"/>
          <w:highlight w:val="white"/>
        </w:rPr>
        <w:t>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1. Установить на период со дня вступления в силу настоящего приказа по 31 декабря 2025 года одноставочные тарифы в сфере холодного водоснабжения для м</w:t>
      </w:r>
      <w:r>
        <w:rPr>
          <w:szCs w:val="28"/>
          <w:highlight w:val="white"/>
        </w:rPr>
        <w:t>униципального унитарного предприятия «Управление теплоснабжения муниципального образования Октябрьский район»</w:t>
      </w:r>
      <w:r>
        <w:rPr>
          <w:highlight w:val="white"/>
        </w:rPr>
        <w:t xml:space="preserve"> согласно приложению 1 к настоящему приказу.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2. Установить на период со дня вступления в силу настоящего приказа по 31 декабря 2025 года тарифы на подвоз воды для м</w:t>
      </w:r>
      <w:r>
        <w:rPr>
          <w:szCs w:val="28"/>
          <w:highlight w:val="white"/>
        </w:rPr>
        <w:t>униципального унитарного предприятия «Управление теплоснабжения муниципального образования Октябрьский район»</w:t>
      </w:r>
      <w:r>
        <w:rPr>
          <w:highlight w:val="white"/>
        </w:rPr>
        <w:t xml:space="preserve"> согласно приложению 2 к настоящему приказу.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 xml:space="preserve">3. Внести в приказ Региональной службы по тарифам </w:t>
      </w:r>
      <w:r>
        <w:rPr>
          <w:szCs w:val="28"/>
          <w:highlight w:val="white"/>
        </w:rPr>
        <w:br/>
        <w:t xml:space="preserve">Ханты-Мансийского автономного округа – Югры от 17 ноября 2022 года </w:t>
      </w:r>
      <w:r>
        <w:rPr>
          <w:szCs w:val="28"/>
          <w:highlight w:val="white"/>
        </w:rPr>
        <w:lastRenderedPageBreak/>
        <w:t xml:space="preserve">№ 69-нп «Об установлении тарифов в сфере холодного водоснабжения для организаций, осуществляющих холодное водоснабжение, и о внесении изменений в некоторые приказы Региональной службы по тарифам </w:t>
      </w:r>
      <w:r>
        <w:rPr>
          <w:szCs w:val="28"/>
          <w:highlight w:val="white"/>
        </w:rPr>
        <w:br/>
        <w:t>Ханты-Мансийского автономного округа – Югры» следующие изменения</w:t>
      </w:r>
      <w:r>
        <w:rPr>
          <w:highlight w:val="white"/>
        </w:rPr>
        <w:t>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>3.1. В приложении 1: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>3.1.1. Строку 2 таблицы изложить в следующей редакции:</w:t>
      </w:r>
    </w:p>
    <w:p w:rsidR="00E651D2" w:rsidRDefault="00513842">
      <w:pPr>
        <w:widowControl w:val="0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>«</w:t>
      </w:r>
    </w:p>
    <w:tbl>
      <w:tblPr>
        <w:tblW w:w="54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"/>
        <w:gridCol w:w="2126"/>
        <w:gridCol w:w="1840"/>
        <w:gridCol w:w="1119"/>
        <w:gridCol w:w="1725"/>
        <w:gridCol w:w="588"/>
        <w:gridCol w:w="588"/>
        <w:gridCol w:w="588"/>
        <w:gridCol w:w="588"/>
        <w:gridCol w:w="588"/>
      </w:tblGrid>
      <w:tr w:rsidR="00E651D2">
        <w:trPr>
          <w:trHeight w:val="391"/>
          <w:jc w:val="center"/>
        </w:trPr>
        <w:tc>
          <w:tcPr>
            <w:tcW w:w="282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1840" w:type="dxa"/>
            <w:vMerge w:val="restart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сельское поселение Сергино Октябрьского муниципального района Ханты-Мансийского автономного округа – Югры</w:t>
            </w:r>
          </w:p>
        </w:tc>
        <w:tc>
          <w:tcPr>
            <w:tcW w:w="1119" w:type="dxa"/>
            <w:vMerge w:val="restart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1725" w:type="dxa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76,54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76,54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83,88</w:t>
            </w:r>
          </w:p>
        </w:tc>
        <w:tc>
          <w:tcPr>
            <w:tcW w:w="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83,88</w:t>
            </w:r>
          </w:p>
        </w:tc>
        <w:tc>
          <w:tcPr>
            <w:tcW w:w="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91,42</w:t>
            </w:r>
          </w:p>
        </w:tc>
      </w:tr>
      <w:tr w:rsidR="00E651D2">
        <w:trPr>
          <w:trHeight w:val="410"/>
          <w:jc w:val="center"/>
        </w:trPr>
        <w:tc>
          <w:tcPr>
            <w:tcW w:w="282" w:type="dxa"/>
            <w:vMerge/>
            <w:vAlign w:val="center"/>
          </w:tcPr>
          <w:p w:rsidR="00E651D2" w:rsidRDefault="00E651D2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:rsidR="00E651D2" w:rsidRDefault="00E651D2"/>
        </w:tc>
        <w:tc>
          <w:tcPr>
            <w:tcW w:w="1840" w:type="dxa"/>
            <w:vMerge/>
            <w:vAlign w:val="center"/>
          </w:tcPr>
          <w:p w:rsidR="00E651D2" w:rsidRDefault="00E651D2"/>
        </w:tc>
        <w:tc>
          <w:tcPr>
            <w:tcW w:w="1119" w:type="dxa"/>
            <w:vMerge/>
            <w:vAlign w:val="center"/>
          </w:tcPr>
          <w:p w:rsidR="00E651D2" w:rsidRDefault="00E651D2"/>
        </w:tc>
        <w:tc>
          <w:tcPr>
            <w:tcW w:w="1725" w:type="dxa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для населения </w:t>
            </w:r>
          </w:p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(с учетом НДС)*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91,85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91,85</w:t>
            </w:r>
          </w:p>
        </w:tc>
        <w:tc>
          <w:tcPr>
            <w:tcW w:w="5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100,66</w:t>
            </w:r>
          </w:p>
        </w:tc>
        <w:tc>
          <w:tcPr>
            <w:tcW w:w="5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100,66</w:t>
            </w:r>
          </w:p>
        </w:tc>
        <w:tc>
          <w:tcPr>
            <w:tcW w:w="58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109,70</w:t>
            </w:r>
          </w:p>
        </w:tc>
      </w:tr>
      <w:tr w:rsidR="00E651D2">
        <w:trPr>
          <w:trHeight w:val="410"/>
          <w:jc w:val="center"/>
        </w:trPr>
        <w:tc>
          <w:tcPr>
            <w:tcW w:w="282" w:type="dxa"/>
            <w:vMerge/>
            <w:vAlign w:val="center"/>
          </w:tcPr>
          <w:p w:rsidR="00E651D2" w:rsidRDefault="00E651D2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:rsidR="00E651D2" w:rsidRDefault="00E651D2"/>
        </w:tc>
        <w:tc>
          <w:tcPr>
            <w:tcW w:w="1840" w:type="dxa"/>
            <w:vMerge/>
            <w:vAlign w:val="center"/>
          </w:tcPr>
          <w:p w:rsidR="00E651D2" w:rsidRDefault="00E651D2"/>
        </w:tc>
        <w:tc>
          <w:tcPr>
            <w:tcW w:w="1119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3</w:t>
            </w:r>
          </w:p>
        </w:tc>
        <w:tc>
          <w:tcPr>
            <w:tcW w:w="1725" w:type="dxa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40,68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40,68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44,58</w:t>
            </w:r>
          </w:p>
        </w:tc>
        <w:tc>
          <w:tcPr>
            <w:tcW w:w="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44,58</w:t>
            </w:r>
          </w:p>
        </w:tc>
        <w:tc>
          <w:tcPr>
            <w:tcW w:w="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48,59</w:t>
            </w:r>
          </w:p>
        </w:tc>
      </w:tr>
      <w:tr w:rsidR="00E651D2">
        <w:trPr>
          <w:trHeight w:val="194"/>
          <w:jc w:val="center"/>
        </w:trPr>
        <w:tc>
          <w:tcPr>
            <w:tcW w:w="282" w:type="dxa"/>
            <w:vMerge/>
            <w:vAlign w:val="center"/>
          </w:tcPr>
          <w:p w:rsidR="00E651D2" w:rsidRDefault="00E651D2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:rsidR="00E651D2" w:rsidRDefault="00E651D2"/>
        </w:tc>
        <w:tc>
          <w:tcPr>
            <w:tcW w:w="1840" w:type="dxa"/>
            <w:vMerge/>
            <w:vAlign w:val="center"/>
          </w:tcPr>
          <w:p w:rsidR="00E651D2" w:rsidRDefault="00E651D2"/>
        </w:tc>
        <w:tc>
          <w:tcPr>
            <w:tcW w:w="1119" w:type="dxa"/>
            <w:vMerge/>
            <w:vAlign w:val="center"/>
          </w:tcPr>
          <w:p w:rsidR="00E651D2" w:rsidRDefault="00E651D2"/>
        </w:tc>
        <w:tc>
          <w:tcPr>
            <w:tcW w:w="1725" w:type="dxa"/>
            <w:vAlign w:val="center"/>
          </w:tcPr>
          <w:p w:rsidR="00E651D2" w:rsidRDefault="00513842">
            <w:pPr>
              <w:pStyle w:val="aff0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48,82</w:t>
            </w:r>
          </w:p>
        </w:tc>
        <w:tc>
          <w:tcPr>
            <w:tcW w:w="588" w:type="dxa"/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48,82</w:t>
            </w:r>
          </w:p>
        </w:tc>
        <w:tc>
          <w:tcPr>
            <w:tcW w:w="588" w:type="dxa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53,50</w:t>
            </w:r>
          </w:p>
        </w:tc>
        <w:tc>
          <w:tcPr>
            <w:tcW w:w="588" w:type="dxa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53,50</w:t>
            </w:r>
          </w:p>
        </w:tc>
        <w:tc>
          <w:tcPr>
            <w:tcW w:w="588" w:type="dxa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jc w:val="center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58,31</w:t>
            </w:r>
          </w:p>
        </w:tc>
      </w:tr>
    </w:tbl>
    <w:p w:rsidR="00E651D2" w:rsidRDefault="00513842">
      <w:pPr>
        <w:widowControl w:val="0"/>
        <w:ind w:firstLine="709"/>
        <w:jc w:val="right"/>
        <w:rPr>
          <w:highlight w:val="white"/>
        </w:rPr>
      </w:pPr>
      <w:r>
        <w:rPr>
          <w:szCs w:val="28"/>
          <w:highlight w:val="white"/>
        </w:rPr>
        <w:t>».</w:t>
      </w:r>
    </w:p>
    <w:p w:rsidR="00E651D2" w:rsidRDefault="00513842">
      <w:pPr>
        <w:widowControl w:val="0"/>
        <w:ind w:firstLine="709"/>
        <w:rPr>
          <w:highlight w:val="white"/>
        </w:rPr>
      </w:pPr>
      <w:r>
        <w:rPr>
          <w:highlight w:val="white"/>
        </w:rPr>
        <w:t>3.1.2. Примечания 4, 5 к таблице признать утратившими силу.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3.2. Строку 5 таблицы приложения 2 признать утратившей силу.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 xml:space="preserve">4. Внести в приказ Региональной службы по тарифам </w:t>
      </w:r>
      <w:r>
        <w:rPr>
          <w:szCs w:val="28"/>
          <w:highlight w:val="white"/>
        </w:rPr>
        <w:br/>
        <w:t>Ханты-Мансийского автономного округа – Югры от 23 ноября 2023 года № 63-нп «</w:t>
      </w:r>
      <w:r>
        <w:rPr>
          <w:color w:val="000000"/>
          <w:szCs w:val="28"/>
          <w:highlight w:val="white"/>
        </w:rPr>
        <w:t>Об установлении тарифов в сфере холодного водоснабжения и водоотведения для организаций, осуществляющих холодное водоснабжение и водоотведение</w:t>
      </w:r>
      <w:r>
        <w:rPr>
          <w:szCs w:val="28"/>
          <w:highlight w:val="white"/>
        </w:rPr>
        <w:t>» следующие изменения</w:t>
      </w:r>
      <w:r>
        <w:rPr>
          <w:highlight w:val="white"/>
        </w:rPr>
        <w:t>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>4.1. В приложении 1: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>4.1.1. Строку 1 таблицы изложить в следующей редакции: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szCs w:val="28"/>
          <w:highlight w:val="white"/>
        </w:rPr>
        <w:t>«</w:t>
      </w:r>
    </w:p>
    <w:tbl>
      <w:tblPr>
        <w:tblW w:w="49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1302"/>
        <w:gridCol w:w="1869"/>
        <w:gridCol w:w="709"/>
        <w:gridCol w:w="1694"/>
        <w:gridCol w:w="557"/>
        <w:gridCol w:w="557"/>
        <w:gridCol w:w="557"/>
        <w:gridCol w:w="557"/>
        <w:gridCol w:w="557"/>
        <w:gridCol w:w="557"/>
      </w:tblGrid>
      <w:tr w:rsidR="00E651D2">
        <w:trPr>
          <w:jc w:val="center"/>
        </w:trPr>
        <w:tc>
          <w:tcPr>
            <w:tcW w:w="305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1</w:t>
            </w:r>
          </w:p>
        </w:tc>
        <w:tc>
          <w:tcPr>
            <w:tcW w:w="1302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1869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сельское поселение Малый Атлым Октябрьского муниципального района Ханты-Мансийского автономного округа – Югры</w:t>
            </w:r>
          </w:p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530,90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530,90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530,90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578,62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578,62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583,59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302" w:type="dxa"/>
            <w:vMerge/>
            <w:vAlign w:val="center"/>
          </w:tcPr>
          <w:p w:rsidR="00E651D2" w:rsidRDefault="00E651D2">
            <w:pPr>
              <w:widowControl w:val="0"/>
              <w:spacing w:before="40"/>
              <w:rPr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637,08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637,08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637,08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694,34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694,34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700,31</w:t>
            </w:r>
          </w:p>
        </w:tc>
      </w:tr>
      <w:tr w:rsidR="00E651D2">
        <w:trPr>
          <w:trHeight w:val="161"/>
          <w:jc w:val="center"/>
        </w:trPr>
        <w:tc>
          <w:tcPr>
            <w:tcW w:w="305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302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2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350,74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350,74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350,74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382,27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382,27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390,31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302" w:type="dxa"/>
            <w:vMerge/>
            <w:vAlign w:val="center"/>
          </w:tcPr>
          <w:p w:rsidR="00E651D2" w:rsidRDefault="00E651D2">
            <w:pPr>
              <w:rPr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420,89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420,89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420,89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458,72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458,72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468,37</w:t>
            </w:r>
          </w:p>
        </w:tc>
      </w:tr>
      <w:tr w:rsidR="00E651D2">
        <w:trPr>
          <w:trHeight w:val="161"/>
          <w:jc w:val="center"/>
        </w:trPr>
        <w:tc>
          <w:tcPr>
            <w:tcW w:w="305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302" w:type="dxa"/>
            <w:vMerge/>
            <w:vAlign w:val="center"/>
          </w:tcPr>
          <w:p w:rsidR="00E651D2" w:rsidRDefault="00E651D2">
            <w:pPr>
              <w:rPr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3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398,17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417,67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404,14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435,66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435,66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452,57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>
            <w:pPr>
              <w:rPr>
                <w:rFonts w:eastAsia="Calibri"/>
                <w:highlight w:val="yellow"/>
              </w:rPr>
            </w:pPr>
          </w:p>
        </w:tc>
        <w:tc>
          <w:tcPr>
            <w:tcW w:w="1302" w:type="dxa"/>
            <w:vMerge/>
            <w:vAlign w:val="center"/>
          </w:tcPr>
          <w:p w:rsidR="00E651D2" w:rsidRDefault="00E651D2">
            <w:pPr>
              <w:rPr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477,80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501,20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484,97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522,79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522,79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543,08</w:t>
            </w:r>
          </w:p>
        </w:tc>
      </w:tr>
      <w:tr w:rsidR="00E651D2">
        <w:trPr>
          <w:trHeight w:val="161"/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городское поселение Приобье Октябрьского муниципального района Ханты-Мансийского автономного округа – Югры</w:t>
            </w:r>
          </w:p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100,27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109,89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109,89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119,77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119,77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126,22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120,32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131,87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131,87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143,72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143,72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151,46</w:t>
            </w:r>
          </w:p>
        </w:tc>
      </w:tr>
      <w:tr w:rsidR="00E651D2">
        <w:trPr>
          <w:trHeight w:val="161"/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2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77,23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84,64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84,64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92,26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92,26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97,23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92,68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101,57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101,57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110,71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110,71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116,68</w:t>
            </w:r>
          </w:p>
        </w:tc>
      </w:tr>
      <w:tr w:rsidR="00E651D2">
        <w:trPr>
          <w:trHeight w:val="559"/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 w:val="restart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городское поселение Приобье (городок СУПТР) Октябрьского муниципального района Ханты-Мансийского автономного округа – Югры</w:t>
            </w:r>
          </w:p>
        </w:tc>
        <w:tc>
          <w:tcPr>
            <w:tcW w:w="70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питьевая вода </w:t>
            </w:r>
            <w:r>
              <w:rPr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42,97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47,08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47,08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51,32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51,32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53,45</w:t>
            </w:r>
          </w:p>
        </w:tc>
      </w:tr>
      <w:tr w:rsidR="00E651D2">
        <w:trPr>
          <w:jc w:val="center"/>
        </w:trPr>
        <w:tc>
          <w:tcPr>
            <w:tcW w:w="305" w:type="dxa"/>
            <w:vMerge/>
            <w:vAlign w:val="center"/>
          </w:tcPr>
          <w:p w:rsidR="00E651D2" w:rsidRDefault="00E651D2"/>
        </w:tc>
        <w:tc>
          <w:tcPr>
            <w:tcW w:w="1302" w:type="dxa"/>
            <w:vMerge/>
            <w:vAlign w:val="center"/>
          </w:tcPr>
          <w:p w:rsidR="00E651D2" w:rsidRDefault="00E651D2"/>
        </w:tc>
        <w:tc>
          <w:tcPr>
            <w:tcW w:w="1869" w:type="dxa"/>
            <w:vMerge/>
            <w:vAlign w:val="center"/>
          </w:tcPr>
          <w:p w:rsidR="00E651D2" w:rsidRDefault="00E651D2"/>
        </w:tc>
        <w:tc>
          <w:tcPr>
            <w:tcW w:w="709" w:type="dxa"/>
            <w:vMerge/>
            <w:shd w:val="clear" w:color="FFFFFF" w:fill="FFFFFF"/>
            <w:vAlign w:val="center"/>
          </w:tcPr>
          <w:p w:rsidR="00E651D2" w:rsidRDefault="00E651D2"/>
        </w:tc>
        <w:tc>
          <w:tcPr>
            <w:tcW w:w="1694" w:type="dxa"/>
            <w:shd w:val="clear" w:color="FFFFFF" w:fill="FFFFFF"/>
            <w:vAlign w:val="center"/>
          </w:tcPr>
          <w:p w:rsidR="00E651D2" w:rsidRDefault="00513842">
            <w:pPr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5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51,56</w:t>
            </w:r>
          </w:p>
        </w:tc>
        <w:tc>
          <w:tcPr>
            <w:tcW w:w="55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56,50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56,50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61,58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61,58</w:t>
            </w:r>
          </w:p>
        </w:tc>
        <w:tc>
          <w:tcPr>
            <w:tcW w:w="5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spacing w:line="57" w:lineRule="atLeast"/>
              <w:rPr>
                <w:sz w:val="14"/>
                <w:szCs w:val="14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64,14</w:t>
            </w:r>
          </w:p>
        </w:tc>
      </w:tr>
    </w:tbl>
    <w:p w:rsidR="00E651D2" w:rsidRDefault="00513842">
      <w:pPr>
        <w:widowControl w:val="0"/>
        <w:ind w:firstLine="709"/>
        <w:jc w:val="right"/>
        <w:rPr>
          <w:highlight w:val="white"/>
        </w:rPr>
      </w:pPr>
      <w:r>
        <w:rPr>
          <w:szCs w:val="28"/>
          <w:highlight w:val="white"/>
        </w:rPr>
        <w:t>».</w:t>
      </w:r>
    </w:p>
    <w:p w:rsidR="00E651D2" w:rsidRDefault="00513842">
      <w:pPr>
        <w:widowControl w:val="0"/>
        <w:ind w:firstLine="709"/>
        <w:rPr>
          <w:highlight w:val="white"/>
        </w:rPr>
      </w:pPr>
      <w:r>
        <w:rPr>
          <w:highlight w:val="white"/>
        </w:rPr>
        <w:t>4.1.2. Примечание 4 к таблице признать утратившим силу.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4.2. Строку 2 таблицы приложения 3 признать утратившей силу.</w:t>
      </w:r>
    </w:p>
    <w:p w:rsidR="00E651D2" w:rsidRDefault="00513842">
      <w:pPr>
        <w:pStyle w:val="a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Внести в приложение к приказу Региональной службы по тарифам </w:t>
      </w:r>
      <w:r>
        <w:rPr>
          <w:sz w:val="28"/>
          <w:szCs w:val="28"/>
          <w:highlight w:val="white"/>
        </w:rPr>
        <w:br/>
        <w:t xml:space="preserve">Ханты-Мансийского автономного округа – Югры от 5 декабря 2024 года </w:t>
      </w:r>
      <w:r>
        <w:rPr>
          <w:sz w:val="28"/>
          <w:szCs w:val="28"/>
          <w:highlight w:val="white"/>
        </w:rPr>
        <w:br/>
        <w:t>№ 101-нп «</w:t>
      </w:r>
      <w:r>
        <w:rPr>
          <w:color w:val="000000"/>
          <w:sz w:val="28"/>
          <w:szCs w:val="28"/>
          <w:highlight w:val="white"/>
        </w:rPr>
        <w:t>Об установлении тарифов в сфере холодного водоснабжения для организаций, осуществляющих подвоз воды</w:t>
      </w:r>
      <w:r>
        <w:rPr>
          <w:sz w:val="28"/>
          <w:szCs w:val="28"/>
          <w:highlight w:val="white"/>
        </w:rPr>
        <w:t>» следующие изменения:</w:t>
      </w:r>
    </w:p>
    <w:p w:rsidR="00E651D2" w:rsidRDefault="00513842">
      <w:pPr>
        <w:pStyle w:val="a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4.1. Строку 10 таблицы изложить в следующей редакции: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«</w:t>
      </w:r>
    </w:p>
    <w:tbl>
      <w:tblPr>
        <w:tblW w:w="49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2"/>
        <w:gridCol w:w="1276"/>
        <w:gridCol w:w="3118"/>
        <w:gridCol w:w="1134"/>
        <w:gridCol w:w="2062"/>
        <w:gridCol w:w="633"/>
        <w:gridCol w:w="633"/>
      </w:tblGrid>
      <w:tr w:rsidR="00E651D2">
        <w:trPr>
          <w:jc w:val="center"/>
        </w:trPr>
        <w:tc>
          <w:tcPr>
            <w:tcW w:w="352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>1</w:t>
            </w:r>
            <w:r>
              <w:rPr>
                <w:sz w:val="14"/>
                <w:szCs w:val="14"/>
                <w:highlight w:val="white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E651D2" w:rsidRDefault="00513842">
            <w:pPr>
              <w:widowControl w:val="0"/>
              <w:outlineLvl w:val="0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bCs/>
                <w:sz w:val="14"/>
                <w:szCs w:val="14"/>
                <w:highlight w:val="white"/>
              </w:rPr>
              <w:t>Муниципальное предприятие муниципального образования Октябрьский район «Объединенные коммунальные системы»</w:t>
            </w:r>
          </w:p>
        </w:tc>
        <w:tc>
          <w:tcPr>
            <w:tcW w:w="311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 xml:space="preserve">сельское поселение Малый Атлым Октябрьского муниципального района Ханты-Мансийского автономного округа – Югры 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 xml:space="preserve">подвоз воды </w:t>
            </w:r>
            <w:r>
              <w:rPr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1088,61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1186,58</w:t>
            </w:r>
          </w:p>
        </w:tc>
      </w:tr>
      <w:tr w:rsidR="00E651D2">
        <w:trPr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1306,33</w:t>
            </w:r>
          </w:p>
        </w:tc>
        <w:tc>
          <w:tcPr>
            <w:tcW w:w="6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1423,90</w:t>
            </w:r>
          </w:p>
        </w:tc>
      </w:tr>
      <w:tr w:rsidR="00E651D2">
        <w:trPr>
          <w:trHeight w:val="184"/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 xml:space="preserve">городское поселение Приобье Октябрьского муниципального района Ханты-Мансийского автономного округа – Югры 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 xml:space="preserve">подвоз воды </w:t>
            </w:r>
            <w:r>
              <w:rPr>
                <w:rFonts w:eastAsia="Calibri"/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670,29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730,54</w:t>
            </w:r>
          </w:p>
        </w:tc>
      </w:tr>
      <w:tr w:rsidR="00E651D2">
        <w:trPr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E651D2" w:rsidRDefault="00E651D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804,35</w:t>
            </w:r>
          </w:p>
        </w:tc>
        <w:tc>
          <w:tcPr>
            <w:tcW w:w="6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876,65</w:t>
            </w:r>
          </w:p>
        </w:tc>
      </w:tr>
      <w:tr w:rsidR="00E651D2">
        <w:trPr>
          <w:trHeight w:val="184"/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651D2" w:rsidRPr="00513842" w:rsidRDefault="00513842">
            <w:pPr>
              <w:pStyle w:val="af5"/>
              <w:widowControl w:val="0"/>
              <w:ind w:right="-2"/>
              <w:jc w:val="left"/>
              <w:rPr>
                <w:sz w:val="16"/>
                <w:szCs w:val="16"/>
                <w:highlight w:val="white"/>
                <w:lang w:val="ru-RU"/>
              </w:rPr>
            </w:pPr>
            <w:r>
              <w:rPr>
                <w:sz w:val="14"/>
                <w:szCs w:val="14"/>
                <w:highlight w:val="white"/>
                <w:lang w:val="ru-RU"/>
              </w:rPr>
              <w:t>сельское поселение Унъюган Октябрьского муниципального района Ханты-Мансийского автономного округа – Югры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pStyle w:val="af5"/>
              <w:widowControl w:val="0"/>
              <w:ind w:right="-2"/>
              <w:jc w:val="left"/>
              <w:rPr>
                <w:sz w:val="16"/>
                <w:szCs w:val="16"/>
                <w:highlight w:val="white"/>
                <w:vertAlign w:val="superscript"/>
              </w:rPr>
            </w:pPr>
            <w:r>
              <w:rPr>
                <w:sz w:val="14"/>
                <w:szCs w:val="14"/>
                <w:highlight w:val="white"/>
                <w:lang w:val="ru-RU"/>
              </w:rPr>
              <w:t xml:space="preserve">подвоз воды </w:t>
            </w:r>
            <w:r>
              <w:rPr>
                <w:sz w:val="14"/>
                <w:szCs w:val="14"/>
                <w:highlight w:val="white"/>
                <w:vertAlign w:val="superscript"/>
                <w:lang w:val="ru-RU"/>
              </w:rPr>
              <w:t>1</w:t>
            </w: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283,43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308,92</w:t>
            </w:r>
          </w:p>
        </w:tc>
      </w:tr>
      <w:tr w:rsidR="00E651D2">
        <w:trPr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E651D2" w:rsidRDefault="00E651D2">
            <w:pPr>
              <w:pStyle w:val="af5"/>
              <w:widowControl w:val="0"/>
              <w:ind w:right="-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:rsidR="00E651D2" w:rsidRDefault="00E651D2">
            <w:pPr>
              <w:pStyle w:val="af5"/>
              <w:widowControl w:val="0"/>
              <w:ind w:right="-2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Pr="00513842" w:rsidRDefault="00513842">
            <w:pPr>
              <w:pStyle w:val="af5"/>
              <w:widowControl w:val="0"/>
              <w:ind w:right="-2"/>
              <w:jc w:val="left"/>
              <w:rPr>
                <w:sz w:val="16"/>
                <w:szCs w:val="16"/>
                <w:highlight w:val="white"/>
                <w:lang w:val="ru-RU"/>
              </w:rPr>
            </w:pPr>
            <w:r>
              <w:rPr>
                <w:sz w:val="14"/>
                <w:szCs w:val="14"/>
                <w:highlight w:val="white"/>
                <w:lang w:val="ru-RU"/>
              </w:rPr>
              <w:t>для населения (с учетом НДС)*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340,12</w:t>
            </w:r>
          </w:p>
        </w:tc>
        <w:tc>
          <w:tcPr>
            <w:tcW w:w="6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370,70</w:t>
            </w:r>
          </w:p>
        </w:tc>
      </w:tr>
      <w:tr w:rsidR="00E651D2">
        <w:trPr>
          <w:trHeight w:val="184"/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 xml:space="preserve">сельское поселение Сергино Октябрьского муниципального района Ханты-Мансийского автономного округа – Югры 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4"/>
                <w:szCs w:val="14"/>
                <w:highlight w:val="white"/>
              </w:rPr>
              <w:t xml:space="preserve">подвоз воды </w:t>
            </w:r>
            <w:r>
              <w:rPr>
                <w:rFonts w:eastAsia="Calibri"/>
                <w:sz w:val="14"/>
                <w:szCs w:val="14"/>
                <w:highlight w:val="white"/>
                <w:vertAlign w:val="superscript"/>
              </w:rPr>
              <w:t>1</w:t>
            </w: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прочих потребителей (без учета НДС)</w:t>
            </w:r>
          </w:p>
        </w:tc>
        <w:tc>
          <w:tcPr>
            <w:tcW w:w="633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398,02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433,82</w:t>
            </w:r>
          </w:p>
        </w:tc>
      </w:tr>
      <w:tr w:rsidR="00E651D2">
        <w:trPr>
          <w:jc w:val="center"/>
        </w:trPr>
        <w:tc>
          <w:tcPr>
            <w:tcW w:w="352" w:type="dxa"/>
            <w:vMerge/>
            <w:vAlign w:val="center"/>
          </w:tcPr>
          <w:p w:rsidR="00E651D2" w:rsidRDefault="00E651D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62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для населения (с учетом НДС)*</w:t>
            </w:r>
          </w:p>
        </w:tc>
        <w:tc>
          <w:tcPr>
            <w:tcW w:w="633" w:type="dxa"/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477,62</w:t>
            </w:r>
          </w:p>
        </w:tc>
        <w:tc>
          <w:tcPr>
            <w:tcW w:w="63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520,58</w:t>
            </w:r>
          </w:p>
        </w:tc>
      </w:tr>
    </w:tbl>
    <w:p w:rsidR="00E651D2" w:rsidRDefault="00513842">
      <w:pPr>
        <w:widowControl w:val="0"/>
        <w:ind w:firstLine="709"/>
        <w:jc w:val="right"/>
        <w:rPr>
          <w:highlight w:val="white"/>
        </w:rPr>
      </w:pPr>
      <w:r>
        <w:rPr>
          <w:highlight w:val="white"/>
        </w:rPr>
        <w:t>».</w:t>
      </w:r>
    </w:p>
    <w:p w:rsidR="00E651D2" w:rsidRDefault="00513842">
      <w:pPr>
        <w:widowControl w:val="0"/>
        <w:ind w:firstLine="709"/>
        <w:rPr>
          <w:highlight w:val="white"/>
        </w:rPr>
      </w:pPr>
      <w:r>
        <w:rPr>
          <w:highlight w:val="white"/>
        </w:rPr>
        <w:t>4.2. Примечание 4 к таблице признать утратившим силу.</w:t>
      </w:r>
    </w:p>
    <w:p w:rsidR="00E651D2" w:rsidRDefault="00513842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 xml:space="preserve">5. </w:t>
      </w:r>
      <w:r>
        <w:rPr>
          <w:bCs/>
          <w:szCs w:val="28"/>
          <w:highlight w:val="white"/>
        </w:rPr>
        <w:t>Настоящий приказ вступает в силу по истечении десяти дней после дня его официального опубликования.</w:t>
      </w:r>
    </w:p>
    <w:p w:rsidR="00E651D2" w:rsidRDefault="00E651D2">
      <w:pPr>
        <w:widowControl w:val="0"/>
        <w:jc w:val="both"/>
        <w:rPr>
          <w:rFonts w:eastAsia="Calibri"/>
          <w:color w:val="000000"/>
          <w:szCs w:val="28"/>
          <w:highlight w:val="white"/>
        </w:rPr>
      </w:pPr>
    </w:p>
    <w:p w:rsidR="00E651D2" w:rsidRDefault="00E651D2">
      <w:pPr>
        <w:widowControl w:val="0"/>
        <w:jc w:val="both"/>
        <w:rPr>
          <w:rFonts w:eastAsia="Calibri"/>
          <w:color w:val="000000"/>
          <w:highlight w:val="white"/>
        </w:rPr>
      </w:pPr>
    </w:p>
    <w:p w:rsidR="00E651D2" w:rsidRDefault="00E651D2">
      <w:pPr>
        <w:widowControl w:val="0"/>
        <w:jc w:val="both"/>
        <w:rPr>
          <w:rFonts w:eastAsia="Calibri"/>
          <w:color w:val="000000"/>
          <w:highlight w:val="white"/>
        </w:rPr>
      </w:pPr>
    </w:p>
    <w:p w:rsidR="00E651D2" w:rsidRDefault="00513842">
      <w:pPr>
        <w:widowControl w:val="0"/>
        <w:jc w:val="both"/>
        <w:rPr>
          <w:szCs w:val="28"/>
          <w:highlight w:val="white"/>
        </w:rPr>
      </w:pPr>
      <w:r>
        <w:rPr>
          <w:szCs w:val="28"/>
          <w:highlight w:val="white"/>
        </w:rPr>
        <w:t>Руководитель службы                                                             А.А. Березовский</w:t>
      </w:r>
    </w:p>
    <w:p w:rsidR="00E651D2" w:rsidRDefault="00E651D2">
      <w:pPr>
        <w:pStyle w:val="1"/>
        <w:keepNext w:val="0"/>
        <w:widowControl w:val="0"/>
        <w:tabs>
          <w:tab w:val="left" w:pos="900"/>
          <w:tab w:val="left" w:pos="1080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  <w:highlight w:val="white"/>
        </w:rPr>
        <w:sectPr w:rsidR="00E651D2">
          <w:headerReference w:type="default" r:id="rId9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E651D2" w:rsidRPr="00513842" w:rsidRDefault="00513842">
      <w:pPr>
        <w:pStyle w:val="af5"/>
        <w:widowControl w:val="0"/>
        <w:ind w:left="7938" w:right="-2" w:hanging="716"/>
        <w:jc w:val="right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lastRenderedPageBreak/>
        <w:t>Приложение 1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по тарифам Ханты-Мансийского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     от 21 августа </w:t>
      </w:r>
      <w:r>
        <w:rPr>
          <w:color w:val="000000"/>
          <w:szCs w:val="28"/>
          <w:highlight w:val="white"/>
        </w:rPr>
        <w:t xml:space="preserve">2025 </w:t>
      </w:r>
      <w:r>
        <w:rPr>
          <w:szCs w:val="28"/>
          <w:highlight w:val="white"/>
        </w:rPr>
        <w:t>года № 62-нп</w:t>
      </w:r>
    </w:p>
    <w:p w:rsidR="00E651D2" w:rsidRDefault="00E651D2">
      <w:pPr>
        <w:widowControl w:val="0"/>
        <w:jc w:val="right"/>
        <w:rPr>
          <w:highlight w:val="white"/>
        </w:rPr>
      </w:pPr>
    </w:p>
    <w:p w:rsidR="00E651D2" w:rsidRDefault="00E651D2">
      <w:pPr>
        <w:widowControl w:val="0"/>
        <w:jc w:val="right"/>
        <w:rPr>
          <w:highlight w:val="white"/>
        </w:rPr>
      </w:pPr>
    </w:p>
    <w:p w:rsidR="00E651D2" w:rsidRDefault="00513842">
      <w:pPr>
        <w:widowControl w:val="0"/>
        <w:jc w:val="center"/>
        <w:outlineLvl w:val="0"/>
        <w:rPr>
          <w:rFonts w:eastAsia="Calibri"/>
          <w:szCs w:val="28"/>
          <w:highlight w:val="white"/>
        </w:rPr>
      </w:pPr>
      <w:r>
        <w:rPr>
          <w:szCs w:val="28"/>
          <w:highlight w:val="white"/>
        </w:rPr>
        <w:t>Одноставочные тарифы в сфере холодного водоснабжения для муниципального унитарного предприятия «Управление теплоснабжения муниципального образования Октябрьский район»</w:t>
      </w:r>
    </w:p>
    <w:p w:rsidR="00E651D2" w:rsidRDefault="00E651D2">
      <w:pPr>
        <w:widowControl w:val="0"/>
        <w:jc w:val="right"/>
        <w:rPr>
          <w:bCs/>
          <w:szCs w:val="28"/>
          <w:highlight w:val="white"/>
        </w:rPr>
      </w:pP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"/>
        <w:gridCol w:w="1701"/>
        <w:gridCol w:w="1701"/>
        <w:gridCol w:w="1559"/>
        <w:gridCol w:w="1843"/>
        <w:gridCol w:w="2268"/>
      </w:tblGrid>
      <w:tr w:rsidR="00E651D2">
        <w:trPr>
          <w:jc w:val="center"/>
        </w:trPr>
        <w:tc>
          <w:tcPr>
            <w:tcW w:w="9575" w:type="dxa"/>
            <w:gridSpan w:val="6"/>
            <w:vAlign w:val="center"/>
          </w:tcPr>
          <w:p w:rsidR="00E651D2" w:rsidRDefault="00513842">
            <w:pPr>
              <w:widowControl w:val="0"/>
              <w:jc w:val="center"/>
              <w:rPr>
                <w:b/>
                <w:bCs/>
                <w:sz w:val="20"/>
                <w:highlight w:val="white"/>
              </w:rPr>
            </w:pPr>
            <w:r>
              <w:rPr>
                <w:b/>
                <w:bCs/>
                <w:sz w:val="20"/>
                <w:highlight w:val="white"/>
              </w:rPr>
              <w:t>На период со дня вступления в силу настоящего приказа по 31 декабря 2025 года</w:t>
            </w:r>
          </w:p>
        </w:tc>
      </w:tr>
      <w:tr w:rsidR="00E651D2">
        <w:trPr>
          <w:jc w:val="center"/>
        </w:trPr>
        <w:tc>
          <w:tcPr>
            <w:tcW w:w="505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Наименование организации, осуществляющей холодное водоснабжение 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Наименование тарифа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Категории потребителей </w:t>
            </w:r>
          </w:p>
        </w:tc>
        <w:tc>
          <w:tcPr>
            <w:tcW w:w="2268" w:type="dxa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Одноставочные тарифы в сфере холодного водоснабжения, руб.куб.м.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FFFFFF" w:fill="FFFFFF"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2025 год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651D2" w:rsidRDefault="00E651D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со дня вступления в силу настоящего приказа по 31 декабря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3</w:t>
            </w:r>
          </w:p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4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 w:val="restart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pStyle w:val="aff0"/>
              <w:widowControl w:val="0"/>
              <w:rPr>
                <w:rFonts w:eastAsia="Calibri"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Муниципальное </w:t>
            </w:r>
            <w:r>
              <w:rPr>
                <w:sz w:val="20"/>
                <w:highlight w:val="white"/>
              </w:rPr>
              <w:t>унитарное предприятие «Управление теплоснабжения муниципального образования Октябрьский район</w:t>
            </w:r>
            <w:r>
              <w:rPr>
                <w:bCs/>
                <w:sz w:val="20"/>
                <w:highlight w:val="white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сельское поселение Карымкары Октябрьского муниципального района Ханты-Мансийского автономного округа – Югры</w:t>
            </w:r>
          </w:p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widowControl w:val="0"/>
              <w:outlineLvl w:val="0"/>
              <w:rPr>
                <w:sz w:val="20"/>
                <w:highlight w:val="white"/>
                <w:vertAlign w:val="superscript"/>
              </w:rPr>
            </w:pPr>
            <w:r>
              <w:rPr>
                <w:sz w:val="20"/>
                <w:highlight w:val="white"/>
              </w:rPr>
              <w:t xml:space="preserve">питьевая вода </w:t>
            </w:r>
            <w:r>
              <w:rPr>
                <w:sz w:val="20"/>
                <w:highlight w:val="white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443,92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/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466,12**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rPr>
                <w:sz w:val="20"/>
                <w:highlight w:val="white"/>
                <w:vertAlign w:val="superscript"/>
              </w:rPr>
            </w:pPr>
            <w:r>
              <w:rPr>
                <w:sz w:val="20"/>
                <w:highlight w:val="white"/>
              </w:rPr>
              <w:t>питьевая вода</w:t>
            </w:r>
            <w:r>
              <w:rPr>
                <w:sz w:val="20"/>
                <w:highlight w:val="white"/>
                <w:vertAlign w:val="superscript"/>
              </w:rPr>
              <w:t xml:space="preserve"> 2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276,94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/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290,79**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rPr>
                <w:sz w:val="20"/>
                <w:highlight w:val="white"/>
                <w:vertAlign w:val="superscript"/>
              </w:rPr>
            </w:pPr>
            <w:r>
              <w:rPr>
                <w:sz w:val="20"/>
                <w:highlight w:val="white"/>
              </w:rPr>
              <w:t xml:space="preserve">техническая вода </w:t>
            </w:r>
            <w:r>
              <w:rPr>
                <w:sz w:val="20"/>
                <w:highlight w:val="white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299,78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/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314,77**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техническая вода </w:t>
            </w:r>
            <w:r>
              <w:rPr>
                <w:sz w:val="20"/>
                <w:highlight w:val="white"/>
                <w:vertAlign w:val="superscript"/>
              </w:rPr>
              <w:t>4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166,16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/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174,47**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widowControl w:val="0"/>
              <w:jc w:val="center"/>
              <w:rPr>
                <w:sz w:val="20"/>
                <w:highlight w:val="white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питьевая вода </w:t>
            </w:r>
            <w:r>
              <w:rPr>
                <w:sz w:val="20"/>
                <w:highlight w:val="white"/>
                <w:vertAlign w:val="superscript"/>
              </w:rPr>
              <w:t>5</w:t>
            </w:r>
          </w:p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310,30</w:t>
            </w:r>
          </w:p>
        </w:tc>
      </w:tr>
      <w:tr w:rsidR="00E651D2">
        <w:trPr>
          <w:trHeight w:val="322"/>
          <w:jc w:val="center"/>
        </w:trPr>
        <w:tc>
          <w:tcPr>
            <w:tcW w:w="505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701" w:type="dxa"/>
            <w:vMerge/>
            <w:vAlign w:val="center"/>
          </w:tcPr>
          <w:p w:rsidR="00E651D2" w:rsidRDefault="00E651D2"/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/>
        </w:tc>
        <w:tc>
          <w:tcPr>
            <w:tcW w:w="1843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16"/>
                <w:szCs w:val="16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325,82**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 w:val="restart"/>
            <w:tcBorders>
              <w:bottom w:val="single" w:sz="4" w:space="0" w:color="000000"/>
            </w:tcBorders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сельское поселение Каменное (село Пальяново) Октябрьского муниципального района Ханты-Мансийского автономного округа – Югры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outlineLv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техническая вода </w:t>
            </w:r>
            <w:r>
              <w:rPr>
                <w:sz w:val="20"/>
                <w:highlight w:val="white"/>
                <w:vertAlign w:val="superscript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38,16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E651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40,07**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outlineLvl w:val="0"/>
              <w:rPr>
                <w:sz w:val="20"/>
                <w:highlight w:val="white"/>
                <w:vertAlign w:val="superscript"/>
              </w:rPr>
            </w:pPr>
            <w:r>
              <w:rPr>
                <w:sz w:val="20"/>
                <w:highlight w:val="white"/>
              </w:rPr>
              <w:t xml:space="preserve">техническая вода </w:t>
            </w:r>
            <w:r>
              <w:rPr>
                <w:sz w:val="20"/>
                <w:highlight w:val="white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97,07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E651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101,92**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lastRenderedPageBreak/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сельское поселение Каменное (село Каменное) Октябрьского муниципального района Ханты-Мансийского автономного округа – Югры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rFonts w:eastAsia="Calibri"/>
                <w:sz w:val="20"/>
                <w:highlight w:val="white"/>
                <w:vertAlign w:val="superscript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питьевая вода </w:t>
            </w:r>
            <w:r>
              <w:rPr>
                <w:rFonts w:eastAsia="Calibri"/>
                <w:sz w:val="20"/>
                <w:highlight w:val="white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38,17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E651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40,08**</w:t>
            </w:r>
          </w:p>
        </w:tc>
      </w:tr>
      <w:tr w:rsidR="00E651D2">
        <w:trPr>
          <w:trHeight w:val="230"/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rFonts w:eastAsia="Calibri"/>
                <w:sz w:val="20"/>
                <w:highlight w:val="white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питьевая вода </w:t>
            </w:r>
            <w:r>
              <w:rPr>
                <w:rFonts w:eastAsia="Calibri"/>
                <w:sz w:val="20"/>
                <w:highlight w:val="white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97,08</w:t>
            </w:r>
          </w:p>
        </w:tc>
      </w:tr>
      <w:tr w:rsidR="00E651D2">
        <w:trPr>
          <w:jc w:val="center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1D2" w:rsidRDefault="00E651D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E651D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68" w:type="dxa"/>
            <w:vAlign w:val="center"/>
          </w:tcPr>
          <w:p w:rsidR="00E651D2" w:rsidRDefault="00513842">
            <w:pPr>
              <w:spacing w:line="57" w:lineRule="atLeast"/>
              <w:rPr>
                <w:color w:val="000000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>101,93**</w:t>
            </w:r>
          </w:p>
        </w:tc>
      </w:tr>
    </w:tbl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* Выделяется в целях реализации пункта 6 статьи 168 Налогового кодекса Российской Федерации (часть вторая).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** </w:t>
      </w:r>
      <w:r>
        <w:rPr>
          <w:color w:val="000000"/>
          <w:sz w:val="16"/>
          <w:szCs w:val="16"/>
          <w:highlight w:val="white"/>
        </w:rPr>
        <w:t>Применяется упр</w:t>
      </w:r>
      <w:r>
        <w:rPr>
          <w:sz w:val="16"/>
          <w:szCs w:val="16"/>
          <w:highlight w:val="white"/>
        </w:rPr>
        <w:t xml:space="preserve">ощенная система налогообложения в соответствии с </w:t>
      </w:r>
      <w:hyperlink r:id="rId10" w:tooltip="https://login.consultant.ru/link/?req=doc&amp;base=LAW&amp;n=475532&amp;dst=103572&amp;field=134&amp;date=27.06.2025" w:history="1">
        <w:r>
          <w:rPr>
            <w:rStyle w:val="aa"/>
            <w:color w:val="auto"/>
            <w:sz w:val="16"/>
            <w:szCs w:val="16"/>
            <w:highlight w:val="white"/>
            <w:u w:val="none"/>
          </w:rPr>
          <w:t>главой 26.2</w:t>
        </w:r>
      </w:hyperlink>
      <w:r>
        <w:rPr>
          <w:sz w:val="16"/>
          <w:szCs w:val="16"/>
          <w:highlight w:val="white"/>
        </w:rPr>
        <w:t xml:space="preserve"> Налогового кодекса Российской Федерации (часть вторая). На основании </w:t>
      </w:r>
      <w:hyperlink r:id="rId11" w:tooltip="https://login.consultant.ru/link/?req=doc&amp;base=LAW&amp;n=475532&amp;dst=100298&amp;field=134&amp;date=27.06.2025" w:history="1">
        <w:r>
          <w:rPr>
            <w:rStyle w:val="aa"/>
            <w:color w:val="auto"/>
            <w:sz w:val="16"/>
            <w:szCs w:val="16"/>
            <w:highlight w:val="white"/>
            <w:u w:val="none"/>
          </w:rPr>
          <w:t>подпункта 1 пункта 8 статьи 164 главы 21</w:t>
        </w:r>
      </w:hyperlink>
      <w:r>
        <w:rPr>
          <w:sz w:val="16"/>
          <w:szCs w:val="16"/>
          <w:highlight w:val="white"/>
        </w:rPr>
        <w:t xml:space="preserve"> Налогового кодекса Российской Федерации (часть вторая) ставка НДС в размере 5%.</w:t>
      </w: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jc w:val="both"/>
        <w:rPr>
          <w:sz w:val="16"/>
          <w:szCs w:val="16"/>
          <w:highlight w:val="white"/>
        </w:rPr>
      </w:pP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Примечания:</w:t>
      </w:r>
    </w:p>
    <w:p w:rsidR="00E651D2" w:rsidRDefault="00513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  <w:t>1. Тариф учитывает следующие стадии технологического процесса: подъем воды, водоподготовка, транспортировка воды.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  <w:t>2. Тариф учитывает следующие стадии технологического процесса: подъем воды, водоподготовка.</w:t>
      </w:r>
    </w:p>
    <w:p w:rsidR="00E651D2" w:rsidRDefault="00513842">
      <w:pPr>
        <w:widowControl w:val="0"/>
        <w:jc w:val="both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  <w:t>3. Тариф учитывает следующие стадии технологического процесса: подъем воды, транспортировка воды.</w:t>
      </w:r>
    </w:p>
    <w:p w:rsidR="00E651D2" w:rsidRDefault="00513842">
      <w:pPr>
        <w:widowControl w:val="0"/>
        <w:jc w:val="both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  <w:t>4. Тариф учитывает следующие стадии технологического процесса: подъем воды, транспортировка воды (вода, отпускаемая по сетям летнего водопровода).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  <w:t>5. Тариф учитывает следующие стадии технологического процесса: подъем воды, водоподготовка, транспортировка воды (вода, отпускаемая по сетям летнего водопровода).</w:t>
      </w:r>
    </w:p>
    <w:p w:rsidR="00E651D2" w:rsidRDefault="00513842">
      <w:pPr>
        <w:widowControl w:val="0"/>
        <w:jc w:val="both"/>
        <w:rPr>
          <w:color w:val="000000"/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6. </w:t>
      </w:r>
      <w:r>
        <w:rPr>
          <w:color w:val="000000"/>
          <w:sz w:val="16"/>
          <w:szCs w:val="16"/>
          <w:highlight w:val="white"/>
        </w:rPr>
        <w:t>Тариф учитывает следующую стадию технологического процесса: подъем воды.</w:t>
      </w:r>
    </w:p>
    <w:p w:rsidR="00E651D2" w:rsidRDefault="005138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highlight w:val="white"/>
        </w:rPr>
      </w:pPr>
      <w:r>
        <w:rPr>
          <w:sz w:val="16"/>
          <w:szCs w:val="16"/>
          <w:highlight w:val="white"/>
        </w:rPr>
        <w:br w:type="page" w:clear="all"/>
      </w:r>
    </w:p>
    <w:p w:rsidR="00E651D2" w:rsidRPr="00513842" w:rsidRDefault="00513842">
      <w:pPr>
        <w:pStyle w:val="af5"/>
        <w:widowControl w:val="0"/>
        <w:ind w:right="-2"/>
        <w:jc w:val="right"/>
        <w:rPr>
          <w:szCs w:val="28"/>
          <w:highlight w:val="white"/>
          <w:lang w:val="ru-RU"/>
        </w:rPr>
      </w:pPr>
      <w:r>
        <w:rPr>
          <w:szCs w:val="28"/>
          <w:highlight w:val="white"/>
          <w:lang w:val="ru-RU"/>
        </w:rPr>
        <w:lastRenderedPageBreak/>
        <w:t>Приложение 2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по тарифам Ханты-Мансийского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E651D2" w:rsidRDefault="00513842">
      <w:pPr>
        <w:widowControl w:val="0"/>
        <w:ind w:right="-2"/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     от 21 августа </w:t>
      </w:r>
      <w:r>
        <w:rPr>
          <w:color w:val="000000"/>
          <w:szCs w:val="28"/>
          <w:highlight w:val="white"/>
        </w:rPr>
        <w:t xml:space="preserve">2025 </w:t>
      </w:r>
      <w:r>
        <w:rPr>
          <w:szCs w:val="28"/>
          <w:highlight w:val="white"/>
        </w:rPr>
        <w:t>года № 62-нп</w:t>
      </w:r>
    </w:p>
    <w:p w:rsidR="00E651D2" w:rsidRDefault="00E651D2">
      <w:pPr>
        <w:widowControl w:val="0"/>
        <w:ind w:right="-2"/>
        <w:jc w:val="right"/>
        <w:rPr>
          <w:szCs w:val="28"/>
          <w:highlight w:val="white"/>
        </w:rPr>
      </w:pPr>
    </w:p>
    <w:p w:rsidR="00E651D2" w:rsidRPr="00513842" w:rsidRDefault="00E651D2">
      <w:pPr>
        <w:pStyle w:val="af5"/>
        <w:widowControl w:val="0"/>
        <w:ind w:right="-2"/>
        <w:jc w:val="right"/>
        <w:rPr>
          <w:bCs/>
          <w:szCs w:val="28"/>
          <w:highlight w:val="white"/>
          <w:lang w:val="ru-RU"/>
        </w:rPr>
      </w:pPr>
    </w:p>
    <w:p w:rsidR="00E651D2" w:rsidRDefault="00513842">
      <w:pPr>
        <w:widowControl w:val="0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Тарифы на подвоз воды для </w:t>
      </w:r>
      <w:r>
        <w:rPr>
          <w:szCs w:val="28"/>
          <w:highlight w:val="white"/>
        </w:rPr>
        <w:br/>
        <w:t>муниципального унитарного предприятия «Управление теплоснабжения муниципального образования Октябрьский район»</w:t>
      </w:r>
    </w:p>
    <w:p w:rsidR="00E651D2" w:rsidRDefault="00E651D2">
      <w:pPr>
        <w:widowControl w:val="0"/>
        <w:jc w:val="center"/>
        <w:rPr>
          <w:szCs w:val="28"/>
          <w:highlight w:val="white"/>
        </w:rPr>
      </w:pPr>
    </w:p>
    <w:tbl>
      <w:tblPr>
        <w:tblW w:w="5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1709"/>
        <w:gridCol w:w="2268"/>
        <w:gridCol w:w="1559"/>
        <w:gridCol w:w="1417"/>
        <w:gridCol w:w="2240"/>
      </w:tblGrid>
      <w:tr w:rsidR="00E651D2">
        <w:trPr>
          <w:jc w:val="center"/>
        </w:trPr>
        <w:tc>
          <w:tcPr>
            <w:tcW w:w="9751" w:type="dxa"/>
            <w:gridSpan w:val="6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b/>
                <w:bCs/>
                <w:sz w:val="20"/>
                <w:highlight w:val="white"/>
              </w:rPr>
              <w:t>На период со дня вступления в силу настоящего приказа по 31 декабря 2025 года</w:t>
            </w:r>
          </w:p>
        </w:tc>
      </w:tr>
      <w:tr w:rsidR="00E651D2">
        <w:trPr>
          <w:jc w:val="center"/>
        </w:trPr>
        <w:tc>
          <w:tcPr>
            <w:tcW w:w="558" w:type="dxa"/>
            <w:vMerge w:val="restart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№ п/п</w:t>
            </w:r>
          </w:p>
        </w:tc>
        <w:tc>
          <w:tcPr>
            <w:tcW w:w="1709" w:type="dxa"/>
            <w:vMerge w:val="restart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Наименование организации, осуществляющей подвоз воды 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shd w:val="clear" w:color="FFFFFF" w:fill="FFFFFF"/>
            <w:noWrap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Наименование тарифа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Категории потребителей </w:t>
            </w:r>
          </w:p>
        </w:tc>
        <w:tc>
          <w:tcPr>
            <w:tcW w:w="2239" w:type="dxa"/>
            <w:shd w:val="clear" w:color="FFFFFF" w:fill="FFFFFF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Тарифы на подвоз воды в сфере холодного водоснабжения, руб.куб.м.</w:t>
            </w:r>
          </w:p>
        </w:tc>
      </w:tr>
      <w:tr w:rsidR="00E651D2">
        <w:trPr>
          <w:jc w:val="center"/>
        </w:trPr>
        <w:tc>
          <w:tcPr>
            <w:tcW w:w="558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FFFFFF" w:fill="FFFFFF"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9" w:type="dxa"/>
            <w:shd w:val="clear" w:color="FFFFFF" w:fill="FFFFFF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2025 год</w:t>
            </w:r>
          </w:p>
        </w:tc>
      </w:tr>
      <w:tr w:rsidR="00E651D2">
        <w:trPr>
          <w:jc w:val="center"/>
        </w:trPr>
        <w:tc>
          <w:tcPr>
            <w:tcW w:w="558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FFFFFF" w:fill="FFFFFF"/>
            <w:noWrap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FFFFFF" w:fill="FFFFFF"/>
            <w:vAlign w:val="center"/>
          </w:tcPr>
          <w:p w:rsidR="00E651D2" w:rsidRDefault="00E65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9" w:type="dxa"/>
            <w:shd w:val="clear" w:color="FFFFFF" w:fill="FFFFFF"/>
            <w:vAlign w:val="center"/>
          </w:tcPr>
          <w:p w:rsidR="00E651D2" w:rsidRDefault="00513842">
            <w:pPr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со дня вступления в силу настоящего приказа по 31 декабря</w:t>
            </w:r>
          </w:p>
        </w:tc>
      </w:tr>
      <w:tr w:rsidR="00E651D2">
        <w:trPr>
          <w:trHeight w:val="862"/>
          <w:jc w:val="center"/>
        </w:trPr>
        <w:tc>
          <w:tcPr>
            <w:tcW w:w="55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20"/>
                <w:highlight w:val="white"/>
              </w:rPr>
            </w:pPr>
            <w:r>
              <w:rPr>
                <w:rFonts w:eastAsia="Calibri"/>
                <w:sz w:val="20"/>
                <w:highlight w:val="white"/>
              </w:rPr>
              <w:t>1</w:t>
            </w:r>
          </w:p>
        </w:tc>
        <w:tc>
          <w:tcPr>
            <w:tcW w:w="1709" w:type="dxa"/>
            <w:vMerge w:val="restart"/>
            <w:vAlign w:val="center"/>
          </w:tcPr>
          <w:p w:rsidR="00E651D2" w:rsidRDefault="00513842">
            <w:pPr>
              <w:pStyle w:val="aff0"/>
              <w:widowControl w:val="0"/>
              <w:rPr>
                <w:rFonts w:eastAsia="Calibri"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Муниципальное </w:t>
            </w:r>
            <w:r>
              <w:rPr>
                <w:sz w:val="20"/>
                <w:highlight w:val="white"/>
              </w:rPr>
              <w:t>унитарное предприятие «Управление теплоснабжения муниципального образования Октябрьский район</w:t>
            </w:r>
            <w:r>
              <w:rPr>
                <w:bCs/>
                <w:sz w:val="20"/>
                <w:highlight w:val="white"/>
              </w:rPr>
              <w:t>»</w:t>
            </w: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сельское поселение Каменное (село Каменное) Октябрьского муниципального района Ханты-Мансийского автономного округа – Югры 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highlight w:val="white"/>
                <w:vertAlign w:val="superscript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51D2" w:rsidRDefault="00513842">
            <w:pPr>
              <w:pStyle w:val="aff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867,38</w:t>
            </w:r>
          </w:p>
        </w:tc>
      </w:tr>
      <w:tr w:rsidR="00E651D2">
        <w:trPr>
          <w:jc w:val="center"/>
        </w:trPr>
        <w:tc>
          <w:tcPr>
            <w:tcW w:w="558" w:type="dxa"/>
            <w:vMerge/>
            <w:vAlign w:val="center"/>
          </w:tcPr>
          <w:p w:rsidR="00E651D2" w:rsidRDefault="00E651D2"/>
        </w:tc>
        <w:tc>
          <w:tcPr>
            <w:tcW w:w="1709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3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910</w:t>
            </w:r>
            <w:r>
              <w:rPr>
                <w:color w:val="000000"/>
                <w:sz w:val="20"/>
                <w:highlight w:val="white"/>
                <w:lang w:val="en-US"/>
              </w:rPr>
              <w:t>,</w:t>
            </w:r>
            <w:r>
              <w:rPr>
                <w:color w:val="000000"/>
                <w:sz w:val="20"/>
                <w:highlight w:val="white"/>
              </w:rPr>
              <w:t>75**</w:t>
            </w:r>
          </w:p>
        </w:tc>
      </w:tr>
      <w:tr w:rsidR="00E651D2">
        <w:trPr>
          <w:trHeight w:val="861"/>
          <w:jc w:val="center"/>
        </w:trPr>
        <w:tc>
          <w:tcPr>
            <w:tcW w:w="55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2</w:t>
            </w:r>
          </w:p>
        </w:tc>
        <w:tc>
          <w:tcPr>
            <w:tcW w:w="1709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сельское поселение Каменное (село Пальяново) Октябрьского муниципального района Ханты-Мансийского автономного округа – Югры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  <w:vertAlign w:val="superscript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highlight w:val="white"/>
                <w:vertAlign w:val="superscript"/>
              </w:rPr>
              <w:t>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51D2" w:rsidRDefault="00513842">
            <w:pPr>
              <w:pStyle w:val="aff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3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592,49</w:t>
            </w:r>
          </w:p>
        </w:tc>
      </w:tr>
      <w:tr w:rsidR="00E651D2">
        <w:trPr>
          <w:trHeight w:val="861"/>
          <w:jc w:val="center"/>
        </w:trPr>
        <w:tc>
          <w:tcPr>
            <w:tcW w:w="558" w:type="dxa"/>
            <w:vMerge/>
            <w:vAlign w:val="center"/>
          </w:tcPr>
          <w:p w:rsidR="00E651D2" w:rsidRDefault="00E651D2"/>
        </w:tc>
        <w:tc>
          <w:tcPr>
            <w:tcW w:w="1709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51D2" w:rsidRDefault="00E651D2">
            <w:pPr>
              <w:rPr>
                <w:sz w:val="20"/>
                <w:highlight w:val="white"/>
              </w:rPr>
            </w:pPr>
          </w:p>
        </w:tc>
        <w:tc>
          <w:tcPr>
            <w:tcW w:w="1559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rFonts w:eastAsia="Calibri"/>
                <w:sz w:val="20"/>
                <w:highlight w:val="white"/>
              </w:rPr>
            </w:pP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622,11**</w:t>
            </w:r>
          </w:p>
        </w:tc>
      </w:tr>
      <w:tr w:rsidR="00E651D2">
        <w:trPr>
          <w:trHeight w:val="861"/>
          <w:jc w:val="center"/>
        </w:trPr>
        <w:tc>
          <w:tcPr>
            <w:tcW w:w="55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>3</w:t>
            </w:r>
          </w:p>
        </w:tc>
        <w:tc>
          <w:tcPr>
            <w:tcW w:w="1709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651D2" w:rsidRDefault="00513842">
            <w:pPr>
              <w:rPr>
                <w:rFonts w:eastAsia="Calibri"/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сельское поселение Карымкары Октябрьского муниципального района Ханты-Мансийского автономного округа – Югры 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rFonts w:eastAsia="Calibri"/>
                <w:sz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highlight w:val="white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651D2" w:rsidRDefault="00513842">
            <w:pPr>
              <w:pStyle w:val="aff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прочих потребителей (без учета НДС)</w:t>
            </w:r>
          </w:p>
        </w:tc>
        <w:tc>
          <w:tcPr>
            <w:tcW w:w="223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967,16</w:t>
            </w:r>
          </w:p>
        </w:tc>
      </w:tr>
      <w:tr w:rsidR="00E651D2">
        <w:trPr>
          <w:jc w:val="center"/>
        </w:trPr>
        <w:tc>
          <w:tcPr>
            <w:tcW w:w="558" w:type="dxa"/>
            <w:vMerge/>
            <w:vAlign w:val="center"/>
          </w:tcPr>
          <w:p w:rsidR="00E651D2" w:rsidRDefault="00E651D2"/>
        </w:tc>
        <w:tc>
          <w:tcPr>
            <w:tcW w:w="1709" w:type="dxa"/>
            <w:vMerge/>
            <w:vAlign w:val="center"/>
          </w:tcPr>
          <w:p w:rsidR="00E651D2" w:rsidRDefault="00E651D2">
            <w:pPr>
              <w:pStyle w:val="aff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FFFFFF" w:fill="FFFFFF"/>
            <w:vAlign w:val="center"/>
          </w:tcPr>
          <w:p w:rsidR="00E651D2" w:rsidRDefault="00E651D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vAlign w:val="center"/>
          </w:tcPr>
          <w:p w:rsidR="00E651D2" w:rsidRDefault="00513842">
            <w:pPr>
              <w:widowControl w:val="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для населения (с учетом НДС)*</w:t>
            </w:r>
          </w:p>
        </w:tc>
        <w:tc>
          <w:tcPr>
            <w:tcW w:w="223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51D2" w:rsidRDefault="00513842">
            <w:pPr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1015,52**</w:t>
            </w:r>
          </w:p>
        </w:tc>
      </w:tr>
    </w:tbl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bookmarkStart w:id="1" w:name="undefined"/>
      <w:bookmarkEnd w:id="1"/>
      <w:r>
        <w:rPr>
          <w:sz w:val="16"/>
          <w:szCs w:val="16"/>
          <w:highlight w:val="white"/>
        </w:rPr>
        <w:t>* Выделяется в целях реализации пункта 6 статьи 168 Налогового кодекса Российской Федерации (часть вторая).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** </w:t>
      </w:r>
      <w:r>
        <w:rPr>
          <w:color w:val="000000"/>
          <w:sz w:val="16"/>
          <w:szCs w:val="16"/>
          <w:highlight w:val="white"/>
        </w:rPr>
        <w:t>Применяется упр</w:t>
      </w:r>
      <w:r>
        <w:rPr>
          <w:sz w:val="16"/>
          <w:szCs w:val="16"/>
          <w:highlight w:val="white"/>
        </w:rPr>
        <w:t xml:space="preserve">ощенная система налогообложения в соответствии с </w:t>
      </w:r>
      <w:hyperlink r:id="rId12" w:tooltip="https://login.consultant.ru/link/?req=doc&amp;base=LAW&amp;n=475532&amp;dst=103572&amp;field=134&amp;date=27.06.2025" w:history="1">
        <w:r>
          <w:rPr>
            <w:rStyle w:val="aa"/>
            <w:color w:val="auto"/>
            <w:sz w:val="16"/>
            <w:szCs w:val="16"/>
            <w:highlight w:val="white"/>
            <w:u w:val="none"/>
          </w:rPr>
          <w:t>главой 26.2</w:t>
        </w:r>
      </w:hyperlink>
      <w:r>
        <w:rPr>
          <w:sz w:val="16"/>
          <w:szCs w:val="16"/>
          <w:highlight w:val="white"/>
        </w:rPr>
        <w:t xml:space="preserve"> Налогового кодекса Российской Федерации (часть вторая). На основании </w:t>
      </w:r>
      <w:hyperlink r:id="rId13" w:tooltip="https://login.consultant.ru/link/?req=doc&amp;base=LAW&amp;n=475532&amp;dst=100298&amp;field=134&amp;date=27.06.2025" w:history="1">
        <w:r>
          <w:rPr>
            <w:rStyle w:val="aa"/>
            <w:color w:val="auto"/>
            <w:sz w:val="16"/>
            <w:szCs w:val="16"/>
            <w:highlight w:val="white"/>
            <w:u w:val="none"/>
          </w:rPr>
          <w:t>подпункта 1 пункта 8 статьи 164 главы 21</w:t>
        </w:r>
      </w:hyperlink>
      <w:r>
        <w:rPr>
          <w:sz w:val="16"/>
          <w:szCs w:val="16"/>
          <w:highlight w:val="white"/>
        </w:rPr>
        <w:t xml:space="preserve"> Налогового кодекса Российской Федерации (часть вторая) ставка НДС в размере 5%.</w:t>
      </w:r>
    </w:p>
    <w:p w:rsidR="00E651D2" w:rsidRDefault="00E651D2">
      <w:pPr>
        <w:widowControl w:val="0"/>
        <w:ind w:left="-283" w:hanging="1"/>
        <w:jc w:val="both"/>
        <w:rPr>
          <w:sz w:val="16"/>
          <w:szCs w:val="16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E651D2">
      <w:pPr>
        <w:widowControl w:val="0"/>
        <w:ind w:left="-283" w:hanging="1"/>
        <w:jc w:val="both"/>
        <w:rPr>
          <w:sz w:val="15"/>
          <w:szCs w:val="15"/>
          <w:highlight w:val="white"/>
        </w:rPr>
      </w:pP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Примечания: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</w:rPr>
        <w:t xml:space="preserve">1. </w:t>
      </w:r>
      <w:r>
        <w:rPr>
          <w:sz w:val="16"/>
          <w:szCs w:val="16"/>
          <w:highlight w:val="white"/>
        </w:rPr>
        <w:t>Тариф учитывает следующие стадии технологического процесса: подъем воды, водоподготовка, транспортировка воды автомобильным транспортом.</w:t>
      </w:r>
    </w:p>
    <w:p w:rsidR="00E651D2" w:rsidRDefault="00513842">
      <w:pPr>
        <w:widowControl w:val="0"/>
        <w:jc w:val="both"/>
        <w:rPr>
          <w:sz w:val="16"/>
          <w:szCs w:val="16"/>
          <w:highlight w:val="white"/>
        </w:rPr>
      </w:pPr>
      <w:r>
        <w:rPr>
          <w:sz w:val="16"/>
          <w:szCs w:val="16"/>
        </w:rPr>
        <w:t xml:space="preserve">2. </w:t>
      </w:r>
      <w:r>
        <w:rPr>
          <w:sz w:val="16"/>
          <w:szCs w:val="16"/>
          <w:highlight w:val="white"/>
        </w:rPr>
        <w:t>Тариф учитывает следующие стадии технологического процесса: подъем воды, транспортировка воды автомобильным транспортом.</w:t>
      </w:r>
    </w:p>
    <w:sectPr w:rsidR="00E651D2">
      <w:headerReference w:type="even" r:id="rId14"/>
      <w:headerReference w:type="default" r:id="rId15"/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D2" w:rsidRDefault="00513842">
      <w:r>
        <w:separator/>
      </w:r>
    </w:p>
  </w:endnote>
  <w:endnote w:type="continuationSeparator" w:id="0">
    <w:p w:rsidR="00E651D2" w:rsidRDefault="0051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D2" w:rsidRDefault="00513842">
      <w:r>
        <w:separator/>
      </w:r>
    </w:p>
  </w:footnote>
  <w:footnote w:type="continuationSeparator" w:id="0">
    <w:p w:rsidR="00E651D2" w:rsidRDefault="0051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75846"/>
      <w:docPartObj>
        <w:docPartGallery w:val="Page Numbers (Top of Page)"/>
        <w:docPartUnique/>
      </w:docPartObj>
    </w:sdtPr>
    <w:sdtEndPr/>
    <w:sdtContent>
      <w:p w:rsidR="00E651D2" w:rsidRDefault="00513842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FF3">
          <w:rPr>
            <w:noProof/>
          </w:rPr>
          <w:t>2</w:t>
        </w:r>
        <w:r>
          <w:fldChar w:fldCharType="end"/>
        </w:r>
      </w:p>
    </w:sdtContent>
  </w:sdt>
  <w:p w:rsidR="00E651D2" w:rsidRDefault="00E651D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D2" w:rsidRDefault="00513842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651D2" w:rsidRDefault="00E651D2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69973"/>
      <w:docPartObj>
        <w:docPartGallery w:val="Page Numbers (Top of Page)"/>
        <w:docPartUnique/>
      </w:docPartObj>
    </w:sdtPr>
    <w:sdtEndPr/>
    <w:sdtContent>
      <w:p w:rsidR="00E651D2" w:rsidRDefault="00513842">
        <w:pPr>
          <w:pStyle w:val="af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Cs w:val="28"/>
          </w:rPr>
          <w:fldChar w:fldCharType="separate"/>
        </w:r>
        <w:r w:rsidR="009C2FF3" w:rsidRPr="009C2FF3">
          <w:rPr>
            <w:noProof/>
            <w:szCs w:val="28"/>
          </w:rPr>
          <w:t>6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619"/>
    <w:multiLevelType w:val="hybridMultilevel"/>
    <w:tmpl w:val="4ABC6172"/>
    <w:lvl w:ilvl="0" w:tplc="BE3C8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041E8">
      <w:start w:val="1"/>
      <w:numFmt w:val="lowerLetter"/>
      <w:lvlText w:val="%2."/>
      <w:lvlJc w:val="left"/>
      <w:pPr>
        <w:ind w:left="1440" w:hanging="360"/>
      </w:pPr>
    </w:lvl>
    <w:lvl w:ilvl="2" w:tplc="DB4EBDBE">
      <w:start w:val="1"/>
      <w:numFmt w:val="lowerRoman"/>
      <w:lvlText w:val="%3."/>
      <w:lvlJc w:val="right"/>
      <w:pPr>
        <w:ind w:left="2160" w:hanging="180"/>
      </w:pPr>
    </w:lvl>
    <w:lvl w:ilvl="3" w:tplc="CFA46350">
      <w:start w:val="1"/>
      <w:numFmt w:val="decimal"/>
      <w:lvlText w:val="%4."/>
      <w:lvlJc w:val="left"/>
      <w:pPr>
        <w:ind w:left="2880" w:hanging="360"/>
      </w:pPr>
    </w:lvl>
    <w:lvl w:ilvl="4" w:tplc="79007CB8">
      <w:start w:val="1"/>
      <w:numFmt w:val="lowerLetter"/>
      <w:lvlText w:val="%5."/>
      <w:lvlJc w:val="left"/>
      <w:pPr>
        <w:ind w:left="3600" w:hanging="360"/>
      </w:pPr>
    </w:lvl>
    <w:lvl w:ilvl="5" w:tplc="FBEAF3C6">
      <w:start w:val="1"/>
      <w:numFmt w:val="lowerRoman"/>
      <w:lvlText w:val="%6."/>
      <w:lvlJc w:val="right"/>
      <w:pPr>
        <w:ind w:left="4320" w:hanging="180"/>
      </w:pPr>
    </w:lvl>
    <w:lvl w:ilvl="6" w:tplc="77603AE0">
      <w:start w:val="1"/>
      <w:numFmt w:val="decimal"/>
      <w:lvlText w:val="%7."/>
      <w:lvlJc w:val="left"/>
      <w:pPr>
        <w:ind w:left="5040" w:hanging="360"/>
      </w:pPr>
    </w:lvl>
    <w:lvl w:ilvl="7" w:tplc="27868AB6">
      <w:start w:val="1"/>
      <w:numFmt w:val="lowerLetter"/>
      <w:lvlText w:val="%8."/>
      <w:lvlJc w:val="left"/>
      <w:pPr>
        <w:ind w:left="5760" w:hanging="360"/>
      </w:pPr>
    </w:lvl>
    <w:lvl w:ilvl="8" w:tplc="CA3CDD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C03"/>
    <w:multiLevelType w:val="hybridMultilevel"/>
    <w:tmpl w:val="ACB89C94"/>
    <w:lvl w:ilvl="0" w:tplc="794E4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E940C">
      <w:start w:val="1"/>
      <w:numFmt w:val="lowerLetter"/>
      <w:lvlText w:val="%2."/>
      <w:lvlJc w:val="left"/>
      <w:pPr>
        <w:ind w:left="1440" w:hanging="360"/>
      </w:pPr>
    </w:lvl>
    <w:lvl w:ilvl="2" w:tplc="2828F1BE">
      <w:start w:val="1"/>
      <w:numFmt w:val="lowerRoman"/>
      <w:lvlText w:val="%3."/>
      <w:lvlJc w:val="right"/>
      <w:pPr>
        <w:ind w:left="2160" w:hanging="180"/>
      </w:pPr>
    </w:lvl>
    <w:lvl w:ilvl="3" w:tplc="90407F7C">
      <w:start w:val="1"/>
      <w:numFmt w:val="decimal"/>
      <w:lvlText w:val="%4."/>
      <w:lvlJc w:val="left"/>
      <w:pPr>
        <w:ind w:left="2880" w:hanging="360"/>
      </w:pPr>
    </w:lvl>
    <w:lvl w:ilvl="4" w:tplc="3246F89E">
      <w:start w:val="1"/>
      <w:numFmt w:val="lowerLetter"/>
      <w:lvlText w:val="%5."/>
      <w:lvlJc w:val="left"/>
      <w:pPr>
        <w:ind w:left="3600" w:hanging="360"/>
      </w:pPr>
    </w:lvl>
    <w:lvl w:ilvl="5" w:tplc="6AAE31CE">
      <w:start w:val="1"/>
      <w:numFmt w:val="lowerRoman"/>
      <w:lvlText w:val="%6."/>
      <w:lvlJc w:val="right"/>
      <w:pPr>
        <w:ind w:left="4320" w:hanging="180"/>
      </w:pPr>
    </w:lvl>
    <w:lvl w:ilvl="6" w:tplc="0B96C9EE">
      <w:start w:val="1"/>
      <w:numFmt w:val="decimal"/>
      <w:lvlText w:val="%7."/>
      <w:lvlJc w:val="left"/>
      <w:pPr>
        <w:ind w:left="5040" w:hanging="360"/>
      </w:pPr>
    </w:lvl>
    <w:lvl w:ilvl="7" w:tplc="4E3A7132">
      <w:start w:val="1"/>
      <w:numFmt w:val="lowerLetter"/>
      <w:lvlText w:val="%8."/>
      <w:lvlJc w:val="left"/>
      <w:pPr>
        <w:ind w:left="5760" w:hanging="360"/>
      </w:pPr>
    </w:lvl>
    <w:lvl w:ilvl="8" w:tplc="F3C208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5BAF"/>
    <w:multiLevelType w:val="hybridMultilevel"/>
    <w:tmpl w:val="0DFE2254"/>
    <w:lvl w:ilvl="0" w:tplc="351C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884FAA">
      <w:start w:val="1"/>
      <w:numFmt w:val="lowerLetter"/>
      <w:lvlText w:val="%2."/>
      <w:lvlJc w:val="left"/>
      <w:pPr>
        <w:ind w:left="1440" w:hanging="360"/>
      </w:pPr>
    </w:lvl>
    <w:lvl w:ilvl="2" w:tplc="91FE200E">
      <w:start w:val="1"/>
      <w:numFmt w:val="lowerRoman"/>
      <w:lvlText w:val="%3."/>
      <w:lvlJc w:val="right"/>
      <w:pPr>
        <w:ind w:left="2160" w:hanging="180"/>
      </w:pPr>
    </w:lvl>
    <w:lvl w:ilvl="3" w:tplc="199CE0CE">
      <w:start w:val="1"/>
      <w:numFmt w:val="decimal"/>
      <w:lvlText w:val="%4."/>
      <w:lvlJc w:val="left"/>
      <w:pPr>
        <w:ind w:left="2880" w:hanging="360"/>
      </w:pPr>
    </w:lvl>
    <w:lvl w:ilvl="4" w:tplc="B93CA3FC">
      <w:start w:val="1"/>
      <w:numFmt w:val="lowerLetter"/>
      <w:lvlText w:val="%5."/>
      <w:lvlJc w:val="left"/>
      <w:pPr>
        <w:ind w:left="3600" w:hanging="360"/>
      </w:pPr>
    </w:lvl>
    <w:lvl w:ilvl="5" w:tplc="7DF21686">
      <w:start w:val="1"/>
      <w:numFmt w:val="lowerRoman"/>
      <w:lvlText w:val="%6."/>
      <w:lvlJc w:val="right"/>
      <w:pPr>
        <w:ind w:left="4320" w:hanging="180"/>
      </w:pPr>
    </w:lvl>
    <w:lvl w:ilvl="6" w:tplc="7562CFFA">
      <w:start w:val="1"/>
      <w:numFmt w:val="decimal"/>
      <w:lvlText w:val="%7."/>
      <w:lvlJc w:val="left"/>
      <w:pPr>
        <w:ind w:left="5040" w:hanging="360"/>
      </w:pPr>
    </w:lvl>
    <w:lvl w:ilvl="7" w:tplc="4C466D56">
      <w:start w:val="1"/>
      <w:numFmt w:val="lowerLetter"/>
      <w:lvlText w:val="%8."/>
      <w:lvlJc w:val="left"/>
      <w:pPr>
        <w:ind w:left="5760" w:hanging="360"/>
      </w:pPr>
    </w:lvl>
    <w:lvl w:ilvl="8" w:tplc="EAFA1B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4A8"/>
    <w:multiLevelType w:val="hybridMultilevel"/>
    <w:tmpl w:val="086EBAA8"/>
    <w:lvl w:ilvl="0" w:tplc="34921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5F8A">
      <w:start w:val="1"/>
      <w:numFmt w:val="lowerLetter"/>
      <w:lvlText w:val="%2."/>
      <w:lvlJc w:val="left"/>
      <w:pPr>
        <w:ind w:left="1440" w:hanging="360"/>
      </w:pPr>
    </w:lvl>
    <w:lvl w:ilvl="2" w:tplc="A6FA6C82">
      <w:start w:val="1"/>
      <w:numFmt w:val="lowerRoman"/>
      <w:lvlText w:val="%3."/>
      <w:lvlJc w:val="right"/>
      <w:pPr>
        <w:ind w:left="2160" w:hanging="180"/>
      </w:pPr>
    </w:lvl>
    <w:lvl w:ilvl="3" w:tplc="59A2361C">
      <w:start w:val="1"/>
      <w:numFmt w:val="decimal"/>
      <w:lvlText w:val="%4."/>
      <w:lvlJc w:val="left"/>
      <w:pPr>
        <w:ind w:left="2880" w:hanging="360"/>
      </w:pPr>
    </w:lvl>
    <w:lvl w:ilvl="4" w:tplc="23F02278">
      <w:start w:val="1"/>
      <w:numFmt w:val="lowerLetter"/>
      <w:lvlText w:val="%5."/>
      <w:lvlJc w:val="left"/>
      <w:pPr>
        <w:ind w:left="3600" w:hanging="360"/>
      </w:pPr>
    </w:lvl>
    <w:lvl w:ilvl="5" w:tplc="CDA81A10">
      <w:start w:val="1"/>
      <w:numFmt w:val="lowerRoman"/>
      <w:lvlText w:val="%6."/>
      <w:lvlJc w:val="right"/>
      <w:pPr>
        <w:ind w:left="4320" w:hanging="180"/>
      </w:pPr>
    </w:lvl>
    <w:lvl w:ilvl="6" w:tplc="3F1A5808">
      <w:start w:val="1"/>
      <w:numFmt w:val="decimal"/>
      <w:lvlText w:val="%7."/>
      <w:lvlJc w:val="left"/>
      <w:pPr>
        <w:ind w:left="5040" w:hanging="360"/>
      </w:pPr>
    </w:lvl>
    <w:lvl w:ilvl="7" w:tplc="86165E62">
      <w:start w:val="1"/>
      <w:numFmt w:val="lowerLetter"/>
      <w:lvlText w:val="%8."/>
      <w:lvlJc w:val="left"/>
      <w:pPr>
        <w:ind w:left="5760" w:hanging="360"/>
      </w:pPr>
    </w:lvl>
    <w:lvl w:ilvl="8" w:tplc="31E449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5B8D"/>
    <w:multiLevelType w:val="hybridMultilevel"/>
    <w:tmpl w:val="0A8271B2"/>
    <w:lvl w:ilvl="0" w:tplc="57CEEF80">
      <w:start w:val="1"/>
      <w:numFmt w:val="decimal"/>
      <w:lvlText w:val="%1."/>
      <w:lvlJc w:val="left"/>
      <w:pPr>
        <w:ind w:left="720" w:hanging="360"/>
      </w:pPr>
    </w:lvl>
    <w:lvl w:ilvl="1" w:tplc="95D46C4E">
      <w:start w:val="1"/>
      <w:numFmt w:val="lowerLetter"/>
      <w:lvlText w:val="%2."/>
      <w:lvlJc w:val="left"/>
      <w:pPr>
        <w:ind w:left="1440" w:hanging="360"/>
      </w:pPr>
    </w:lvl>
    <w:lvl w:ilvl="2" w:tplc="454C07BE">
      <w:start w:val="1"/>
      <w:numFmt w:val="lowerRoman"/>
      <w:lvlText w:val="%3."/>
      <w:lvlJc w:val="right"/>
      <w:pPr>
        <w:ind w:left="2160" w:hanging="180"/>
      </w:pPr>
    </w:lvl>
    <w:lvl w:ilvl="3" w:tplc="73F6203E">
      <w:start w:val="1"/>
      <w:numFmt w:val="decimal"/>
      <w:lvlText w:val="%4."/>
      <w:lvlJc w:val="left"/>
      <w:pPr>
        <w:ind w:left="2880" w:hanging="360"/>
      </w:pPr>
    </w:lvl>
    <w:lvl w:ilvl="4" w:tplc="63BEDECC">
      <w:start w:val="1"/>
      <w:numFmt w:val="lowerLetter"/>
      <w:lvlText w:val="%5."/>
      <w:lvlJc w:val="left"/>
      <w:pPr>
        <w:ind w:left="3600" w:hanging="360"/>
      </w:pPr>
    </w:lvl>
    <w:lvl w:ilvl="5" w:tplc="DC761EA8">
      <w:start w:val="1"/>
      <w:numFmt w:val="lowerRoman"/>
      <w:lvlText w:val="%6."/>
      <w:lvlJc w:val="right"/>
      <w:pPr>
        <w:ind w:left="4320" w:hanging="180"/>
      </w:pPr>
    </w:lvl>
    <w:lvl w:ilvl="6" w:tplc="6F0EC5AC">
      <w:start w:val="1"/>
      <w:numFmt w:val="decimal"/>
      <w:lvlText w:val="%7."/>
      <w:lvlJc w:val="left"/>
      <w:pPr>
        <w:ind w:left="5040" w:hanging="360"/>
      </w:pPr>
    </w:lvl>
    <w:lvl w:ilvl="7" w:tplc="F3DE0BE0">
      <w:start w:val="1"/>
      <w:numFmt w:val="lowerLetter"/>
      <w:lvlText w:val="%8."/>
      <w:lvlJc w:val="left"/>
      <w:pPr>
        <w:ind w:left="5760" w:hanging="360"/>
      </w:pPr>
    </w:lvl>
    <w:lvl w:ilvl="8" w:tplc="EA1E25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339CB"/>
    <w:multiLevelType w:val="hybridMultilevel"/>
    <w:tmpl w:val="E5EE75F0"/>
    <w:lvl w:ilvl="0" w:tplc="F140E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AADA4">
      <w:start w:val="1"/>
      <w:numFmt w:val="lowerLetter"/>
      <w:lvlText w:val="%2."/>
      <w:lvlJc w:val="left"/>
      <w:pPr>
        <w:ind w:left="1440" w:hanging="360"/>
      </w:pPr>
    </w:lvl>
    <w:lvl w:ilvl="2" w:tplc="07080DEC">
      <w:start w:val="1"/>
      <w:numFmt w:val="lowerRoman"/>
      <w:lvlText w:val="%3."/>
      <w:lvlJc w:val="right"/>
      <w:pPr>
        <w:ind w:left="2160" w:hanging="180"/>
      </w:pPr>
    </w:lvl>
    <w:lvl w:ilvl="3" w:tplc="85FCB9F0">
      <w:start w:val="1"/>
      <w:numFmt w:val="decimal"/>
      <w:lvlText w:val="%4."/>
      <w:lvlJc w:val="left"/>
      <w:pPr>
        <w:ind w:left="2880" w:hanging="360"/>
      </w:pPr>
    </w:lvl>
    <w:lvl w:ilvl="4" w:tplc="C8341D5C">
      <w:start w:val="1"/>
      <w:numFmt w:val="lowerLetter"/>
      <w:lvlText w:val="%5."/>
      <w:lvlJc w:val="left"/>
      <w:pPr>
        <w:ind w:left="3600" w:hanging="360"/>
      </w:pPr>
    </w:lvl>
    <w:lvl w:ilvl="5" w:tplc="D618D336">
      <w:start w:val="1"/>
      <w:numFmt w:val="lowerRoman"/>
      <w:lvlText w:val="%6."/>
      <w:lvlJc w:val="right"/>
      <w:pPr>
        <w:ind w:left="4320" w:hanging="180"/>
      </w:pPr>
    </w:lvl>
    <w:lvl w:ilvl="6" w:tplc="41305EB0">
      <w:start w:val="1"/>
      <w:numFmt w:val="decimal"/>
      <w:lvlText w:val="%7."/>
      <w:lvlJc w:val="left"/>
      <w:pPr>
        <w:ind w:left="5040" w:hanging="360"/>
      </w:pPr>
    </w:lvl>
    <w:lvl w:ilvl="7" w:tplc="E5AC7D78">
      <w:start w:val="1"/>
      <w:numFmt w:val="lowerLetter"/>
      <w:lvlText w:val="%8."/>
      <w:lvlJc w:val="left"/>
      <w:pPr>
        <w:ind w:left="5760" w:hanging="360"/>
      </w:pPr>
    </w:lvl>
    <w:lvl w:ilvl="8" w:tplc="D33661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56AEB"/>
    <w:multiLevelType w:val="hybridMultilevel"/>
    <w:tmpl w:val="1B421CB8"/>
    <w:lvl w:ilvl="0" w:tplc="FE82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CB86A">
      <w:start w:val="1"/>
      <w:numFmt w:val="lowerLetter"/>
      <w:lvlText w:val="%2."/>
      <w:lvlJc w:val="left"/>
      <w:pPr>
        <w:ind w:left="1440" w:hanging="360"/>
      </w:pPr>
    </w:lvl>
    <w:lvl w:ilvl="2" w:tplc="28B8A0C6">
      <w:start w:val="1"/>
      <w:numFmt w:val="lowerRoman"/>
      <w:lvlText w:val="%3."/>
      <w:lvlJc w:val="right"/>
      <w:pPr>
        <w:ind w:left="2160" w:hanging="180"/>
      </w:pPr>
    </w:lvl>
    <w:lvl w:ilvl="3" w:tplc="392A7200">
      <w:start w:val="1"/>
      <w:numFmt w:val="decimal"/>
      <w:lvlText w:val="%4."/>
      <w:lvlJc w:val="left"/>
      <w:pPr>
        <w:ind w:left="2880" w:hanging="360"/>
      </w:pPr>
    </w:lvl>
    <w:lvl w:ilvl="4" w:tplc="D3AAD00A">
      <w:start w:val="1"/>
      <w:numFmt w:val="lowerLetter"/>
      <w:lvlText w:val="%5."/>
      <w:lvlJc w:val="left"/>
      <w:pPr>
        <w:ind w:left="3600" w:hanging="360"/>
      </w:pPr>
    </w:lvl>
    <w:lvl w:ilvl="5" w:tplc="84764566">
      <w:start w:val="1"/>
      <w:numFmt w:val="lowerRoman"/>
      <w:lvlText w:val="%6."/>
      <w:lvlJc w:val="right"/>
      <w:pPr>
        <w:ind w:left="4320" w:hanging="180"/>
      </w:pPr>
    </w:lvl>
    <w:lvl w:ilvl="6" w:tplc="AF66478C">
      <w:start w:val="1"/>
      <w:numFmt w:val="decimal"/>
      <w:lvlText w:val="%7."/>
      <w:lvlJc w:val="left"/>
      <w:pPr>
        <w:ind w:left="5040" w:hanging="360"/>
      </w:pPr>
    </w:lvl>
    <w:lvl w:ilvl="7" w:tplc="54AE09EC">
      <w:start w:val="1"/>
      <w:numFmt w:val="lowerLetter"/>
      <w:lvlText w:val="%8."/>
      <w:lvlJc w:val="left"/>
      <w:pPr>
        <w:ind w:left="5760" w:hanging="360"/>
      </w:pPr>
    </w:lvl>
    <w:lvl w:ilvl="8" w:tplc="069AAC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D3F07"/>
    <w:multiLevelType w:val="hybridMultilevel"/>
    <w:tmpl w:val="49D86BA6"/>
    <w:lvl w:ilvl="0" w:tplc="50289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781318">
      <w:start w:val="1"/>
      <w:numFmt w:val="lowerLetter"/>
      <w:lvlText w:val="%2."/>
      <w:lvlJc w:val="left"/>
      <w:pPr>
        <w:ind w:left="1440" w:hanging="360"/>
      </w:pPr>
    </w:lvl>
    <w:lvl w:ilvl="2" w:tplc="EAA44552">
      <w:start w:val="1"/>
      <w:numFmt w:val="lowerRoman"/>
      <w:lvlText w:val="%3."/>
      <w:lvlJc w:val="right"/>
      <w:pPr>
        <w:ind w:left="2160" w:hanging="180"/>
      </w:pPr>
    </w:lvl>
    <w:lvl w:ilvl="3" w:tplc="A7AE5C22">
      <w:start w:val="1"/>
      <w:numFmt w:val="decimal"/>
      <w:lvlText w:val="%4."/>
      <w:lvlJc w:val="left"/>
      <w:pPr>
        <w:ind w:left="2880" w:hanging="360"/>
      </w:pPr>
    </w:lvl>
    <w:lvl w:ilvl="4" w:tplc="0AEE900A">
      <w:start w:val="1"/>
      <w:numFmt w:val="lowerLetter"/>
      <w:lvlText w:val="%5."/>
      <w:lvlJc w:val="left"/>
      <w:pPr>
        <w:ind w:left="3600" w:hanging="360"/>
      </w:pPr>
    </w:lvl>
    <w:lvl w:ilvl="5" w:tplc="58BA6FC8">
      <w:start w:val="1"/>
      <w:numFmt w:val="lowerRoman"/>
      <w:lvlText w:val="%6."/>
      <w:lvlJc w:val="right"/>
      <w:pPr>
        <w:ind w:left="4320" w:hanging="180"/>
      </w:pPr>
    </w:lvl>
    <w:lvl w:ilvl="6" w:tplc="DA8E0B10">
      <w:start w:val="1"/>
      <w:numFmt w:val="decimal"/>
      <w:lvlText w:val="%7."/>
      <w:lvlJc w:val="left"/>
      <w:pPr>
        <w:ind w:left="5040" w:hanging="360"/>
      </w:pPr>
    </w:lvl>
    <w:lvl w:ilvl="7" w:tplc="CC5A4C2E">
      <w:start w:val="1"/>
      <w:numFmt w:val="lowerLetter"/>
      <w:lvlText w:val="%8."/>
      <w:lvlJc w:val="left"/>
      <w:pPr>
        <w:ind w:left="5760" w:hanging="360"/>
      </w:pPr>
    </w:lvl>
    <w:lvl w:ilvl="8" w:tplc="126863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16A"/>
    <w:multiLevelType w:val="hybridMultilevel"/>
    <w:tmpl w:val="B7107F4A"/>
    <w:lvl w:ilvl="0" w:tplc="C5ACE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3C305E">
      <w:start w:val="1"/>
      <w:numFmt w:val="lowerLetter"/>
      <w:lvlText w:val="%2."/>
      <w:lvlJc w:val="left"/>
      <w:pPr>
        <w:ind w:left="1440" w:hanging="360"/>
      </w:pPr>
    </w:lvl>
    <w:lvl w:ilvl="2" w:tplc="D932E7F6">
      <w:start w:val="1"/>
      <w:numFmt w:val="lowerRoman"/>
      <w:lvlText w:val="%3."/>
      <w:lvlJc w:val="right"/>
      <w:pPr>
        <w:ind w:left="2160" w:hanging="180"/>
      </w:pPr>
    </w:lvl>
    <w:lvl w:ilvl="3" w:tplc="882A3442">
      <w:start w:val="1"/>
      <w:numFmt w:val="decimal"/>
      <w:lvlText w:val="%4."/>
      <w:lvlJc w:val="left"/>
      <w:pPr>
        <w:ind w:left="2880" w:hanging="360"/>
      </w:pPr>
    </w:lvl>
    <w:lvl w:ilvl="4" w:tplc="4B9E6F52">
      <w:start w:val="1"/>
      <w:numFmt w:val="lowerLetter"/>
      <w:lvlText w:val="%5."/>
      <w:lvlJc w:val="left"/>
      <w:pPr>
        <w:ind w:left="3600" w:hanging="360"/>
      </w:pPr>
    </w:lvl>
    <w:lvl w:ilvl="5" w:tplc="3342D94E">
      <w:start w:val="1"/>
      <w:numFmt w:val="lowerRoman"/>
      <w:lvlText w:val="%6."/>
      <w:lvlJc w:val="right"/>
      <w:pPr>
        <w:ind w:left="4320" w:hanging="180"/>
      </w:pPr>
    </w:lvl>
    <w:lvl w:ilvl="6" w:tplc="471C91D2">
      <w:start w:val="1"/>
      <w:numFmt w:val="decimal"/>
      <w:lvlText w:val="%7."/>
      <w:lvlJc w:val="left"/>
      <w:pPr>
        <w:ind w:left="5040" w:hanging="360"/>
      </w:pPr>
    </w:lvl>
    <w:lvl w:ilvl="7" w:tplc="CFBC087E">
      <w:start w:val="1"/>
      <w:numFmt w:val="lowerLetter"/>
      <w:lvlText w:val="%8."/>
      <w:lvlJc w:val="left"/>
      <w:pPr>
        <w:ind w:left="5760" w:hanging="360"/>
      </w:pPr>
    </w:lvl>
    <w:lvl w:ilvl="8" w:tplc="2FF060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7FA1"/>
    <w:multiLevelType w:val="hybridMultilevel"/>
    <w:tmpl w:val="0F267424"/>
    <w:lvl w:ilvl="0" w:tplc="092EAB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5B02AEA">
      <w:start w:val="1"/>
      <w:numFmt w:val="lowerLetter"/>
      <w:lvlText w:val="%2."/>
      <w:lvlJc w:val="left"/>
      <w:pPr>
        <w:ind w:left="1440" w:hanging="360"/>
      </w:pPr>
    </w:lvl>
    <w:lvl w:ilvl="2" w:tplc="D6FAC9D6">
      <w:start w:val="1"/>
      <w:numFmt w:val="lowerRoman"/>
      <w:lvlText w:val="%3."/>
      <w:lvlJc w:val="right"/>
      <w:pPr>
        <w:ind w:left="2160" w:hanging="180"/>
      </w:pPr>
    </w:lvl>
    <w:lvl w:ilvl="3" w:tplc="BE8EFB9C">
      <w:start w:val="1"/>
      <w:numFmt w:val="decimal"/>
      <w:lvlText w:val="%4."/>
      <w:lvlJc w:val="left"/>
      <w:pPr>
        <w:ind w:left="2880" w:hanging="360"/>
      </w:pPr>
    </w:lvl>
    <w:lvl w:ilvl="4" w:tplc="3CEEFB84">
      <w:start w:val="1"/>
      <w:numFmt w:val="lowerLetter"/>
      <w:lvlText w:val="%5."/>
      <w:lvlJc w:val="left"/>
      <w:pPr>
        <w:ind w:left="3600" w:hanging="360"/>
      </w:pPr>
    </w:lvl>
    <w:lvl w:ilvl="5" w:tplc="899A7852">
      <w:start w:val="1"/>
      <w:numFmt w:val="lowerRoman"/>
      <w:lvlText w:val="%6."/>
      <w:lvlJc w:val="right"/>
      <w:pPr>
        <w:ind w:left="4320" w:hanging="180"/>
      </w:pPr>
    </w:lvl>
    <w:lvl w:ilvl="6" w:tplc="3CA608B2">
      <w:start w:val="1"/>
      <w:numFmt w:val="decimal"/>
      <w:lvlText w:val="%7."/>
      <w:lvlJc w:val="left"/>
      <w:pPr>
        <w:ind w:left="5040" w:hanging="360"/>
      </w:pPr>
    </w:lvl>
    <w:lvl w:ilvl="7" w:tplc="D004DD7C">
      <w:start w:val="1"/>
      <w:numFmt w:val="lowerLetter"/>
      <w:lvlText w:val="%8."/>
      <w:lvlJc w:val="left"/>
      <w:pPr>
        <w:ind w:left="5760" w:hanging="360"/>
      </w:pPr>
    </w:lvl>
    <w:lvl w:ilvl="8" w:tplc="9D2AE7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320B3"/>
    <w:multiLevelType w:val="hybridMultilevel"/>
    <w:tmpl w:val="6F604AFC"/>
    <w:lvl w:ilvl="0" w:tplc="F28A42C0">
      <w:start w:val="1"/>
      <w:numFmt w:val="decimal"/>
      <w:lvlText w:val="%1."/>
      <w:lvlJc w:val="left"/>
      <w:pPr>
        <w:ind w:left="720" w:hanging="360"/>
      </w:pPr>
    </w:lvl>
    <w:lvl w:ilvl="1" w:tplc="2B96956A">
      <w:start w:val="1"/>
      <w:numFmt w:val="lowerLetter"/>
      <w:lvlText w:val="%2."/>
      <w:lvlJc w:val="left"/>
      <w:pPr>
        <w:ind w:left="1440" w:hanging="360"/>
      </w:pPr>
    </w:lvl>
    <w:lvl w:ilvl="2" w:tplc="918C5410">
      <w:start w:val="1"/>
      <w:numFmt w:val="lowerRoman"/>
      <w:lvlText w:val="%3."/>
      <w:lvlJc w:val="right"/>
      <w:pPr>
        <w:ind w:left="2160" w:hanging="180"/>
      </w:pPr>
    </w:lvl>
    <w:lvl w:ilvl="3" w:tplc="3ED02E5C">
      <w:start w:val="1"/>
      <w:numFmt w:val="decimal"/>
      <w:lvlText w:val="%4."/>
      <w:lvlJc w:val="left"/>
      <w:pPr>
        <w:ind w:left="2880" w:hanging="360"/>
      </w:pPr>
    </w:lvl>
    <w:lvl w:ilvl="4" w:tplc="EC10C964">
      <w:start w:val="1"/>
      <w:numFmt w:val="lowerLetter"/>
      <w:lvlText w:val="%5."/>
      <w:lvlJc w:val="left"/>
      <w:pPr>
        <w:ind w:left="3600" w:hanging="360"/>
      </w:pPr>
    </w:lvl>
    <w:lvl w:ilvl="5" w:tplc="B4FEFD52">
      <w:start w:val="1"/>
      <w:numFmt w:val="lowerRoman"/>
      <w:lvlText w:val="%6."/>
      <w:lvlJc w:val="right"/>
      <w:pPr>
        <w:ind w:left="4320" w:hanging="180"/>
      </w:pPr>
    </w:lvl>
    <w:lvl w:ilvl="6" w:tplc="B9741C82">
      <w:start w:val="1"/>
      <w:numFmt w:val="decimal"/>
      <w:lvlText w:val="%7."/>
      <w:lvlJc w:val="left"/>
      <w:pPr>
        <w:ind w:left="5040" w:hanging="360"/>
      </w:pPr>
    </w:lvl>
    <w:lvl w:ilvl="7" w:tplc="0C9C0DAE">
      <w:start w:val="1"/>
      <w:numFmt w:val="lowerLetter"/>
      <w:lvlText w:val="%8."/>
      <w:lvlJc w:val="left"/>
      <w:pPr>
        <w:ind w:left="5760" w:hanging="360"/>
      </w:pPr>
    </w:lvl>
    <w:lvl w:ilvl="8" w:tplc="34DC43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7B4"/>
    <w:multiLevelType w:val="multilevel"/>
    <w:tmpl w:val="A43E53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2" w15:restartNumberingAfterBreak="0">
    <w:nsid w:val="533D1110"/>
    <w:multiLevelType w:val="hybridMultilevel"/>
    <w:tmpl w:val="8240639C"/>
    <w:lvl w:ilvl="0" w:tplc="ACCEDE7E">
      <w:start w:val="1"/>
      <w:numFmt w:val="decimal"/>
      <w:lvlText w:val="%1."/>
      <w:lvlJc w:val="left"/>
    </w:lvl>
    <w:lvl w:ilvl="1" w:tplc="416C417A">
      <w:start w:val="1"/>
      <w:numFmt w:val="lowerLetter"/>
      <w:lvlText w:val="%2."/>
      <w:lvlJc w:val="left"/>
      <w:pPr>
        <w:ind w:left="1440" w:hanging="360"/>
      </w:pPr>
    </w:lvl>
    <w:lvl w:ilvl="2" w:tplc="726295B2">
      <w:start w:val="1"/>
      <w:numFmt w:val="lowerRoman"/>
      <w:lvlText w:val="%3."/>
      <w:lvlJc w:val="right"/>
      <w:pPr>
        <w:ind w:left="2160" w:hanging="180"/>
      </w:pPr>
    </w:lvl>
    <w:lvl w:ilvl="3" w:tplc="6C0EB746">
      <w:start w:val="1"/>
      <w:numFmt w:val="decimal"/>
      <w:lvlText w:val="%4."/>
      <w:lvlJc w:val="left"/>
      <w:pPr>
        <w:ind w:left="2880" w:hanging="360"/>
      </w:pPr>
    </w:lvl>
    <w:lvl w:ilvl="4" w:tplc="9C948A46">
      <w:start w:val="1"/>
      <w:numFmt w:val="lowerLetter"/>
      <w:lvlText w:val="%5."/>
      <w:lvlJc w:val="left"/>
      <w:pPr>
        <w:ind w:left="3600" w:hanging="360"/>
      </w:pPr>
    </w:lvl>
    <w:lvl w:ilvl="5" w:tplc="3E300976">
      <w:start w:val="1"/>
      <w:numFmt w:val="lowerRoman"/>
      <w:lvlText w:val="%6."/>
      <w:lvlJc w:val="right"/>
      <w:pPr>
        <w:ind w:left="4320" w:hanging="180"/>
      </w:pPr>
    </w:lvl>
    <w:lvl w:ilvl="6" w:tplc="3782C740">
      <w:start w:val="1"/>
      <w:numFmt w:val="decimal"/>
      <w:lvlText w:val="%7."/>
      <w:lvlJc w:val="left"/>
      <w:pPr>
        <w:ind w:left="5040" w:hanging="360"/>
      </w:pPr>
    </w:lvl>
    <w:lvl w:ilvl="7" w:tplc="76E24EC0">
      <w:start w:val="1"/>
      <w:numFmt w:val="lowerLetter"/>
      <w:lvlText w:val="%8."/>
      <w:lvlJc w:val="left"/>
      <w:pPr>
        <w:ind w:left="5760" w:hanging="360"/>
      </w:pPr>
    </w:lvl>
    <w:lvl w:ilvl="8" w:tplc="A734E9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85ACC"/>
    <w:multiLevelType w:val="hybridMultilevel"/>
    <w:tmpl w:val="22EE82FC"/>
    <w:lvl w:ilvl="0" w:tplc="9C70D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02706">
      <w:start w:val="1"/>
      <w:numFmt w:val="lowerLetter"/>
      <w:lvlText w:val="%2."/>
      <w:lvlJc w:val="left"/>
      <w:pPr>
        <w:ind w:left="1440" w:hanging="360"/>
      </w:pPr>
    </w:lvl>
    <w:lvl w:ilvl="2" w:tplc="60E83F7E">
      <w:start w:val="1"/>
      <w:numFmt w:val="lowerRoman"/>
      <w:lvlText w:val="%3."/>
      <w:lvlJc w:val="right"/>
      <w:pPr>
        <w:ind w:left="2160" w:hanging="180"/>
      </w:pPr>
    </w:lvl>
    <w:lvl w:ilvl="3" w:tplc="1D4C499C">
      <w:start w:val="1"/>
      <w:numFmt w:val="decimal"/>
      <w:lvlText w:val="%4."/>
      <w:lvlJc w:val="left"/>
      <w:pPr>
        <w:ind w:left="2880" w:hanging="360"/>
      </w:pPr>
    </w:lvl>
    <w:lvl w:ilvl="4" w:tplc="7242DF1A">
      <w:start w:val="1"/>
      <w:numFmt w:val="lowerLetter"/>
      <w:lvlText w:val="%5."/>
      <w:lvlJc w:val="left"/>
      <w:pPr>
        <w:ind w:left="3600" w:hanging="360"/>
      </w:pPr>
    </w:lvl>
    <w:lvl w:ilvl="5" w:tplc="9ED02058">
      <w:start w:val="1"/>
      <w:numFmt w:val="lowerRoman"/>
      <w:lvlText w:val="%6."/>
      <w:lvlJc w:val="right"/>
      <w:pPr>
        <w:ind w:left="4320" w:hanging="180"/>
      </w:pPr>
    </w:lvl>
    <w:lvl w:ilvl="6" w:tplc="4776F2A0">
      <w:start w:val="1"/>
      <w:numFmt w:val="decimal"/>
      <w:lvlText w:val="%7."/>
      <w:lvlJc w:val="left"/>
      <w:pPr>
        <w:ind w:left="5040" w:hanging="360"/>
      </w:pPr>
    </w:lvl>
    <w:lvl w:ilvl="7" w:tplc="9962B8DE">
      <w:start w:val="1"/>
      <w:numFmt w:val="lowerLetter"/>
      <w:lvlText w:val="%8."/>
      <w:lvlJc w:val="left"/>
      <w:pPr>
        <w:ind w:left="5760" w:hanging="360"/>
      </w:pPr>
    </w:lvl>
    <w:lvl w:ilvl="8" w:tplc="8F52E6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D0FBC"/>
    <w:multiLevelType w:val="hybridMultilevel"/>
    <w:tmpl w:val="95148D2E"/>
    <w:lvl w:ilvl="0" w:tplc="B406D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871B2">
      <w:start w:val="1"/>
      <w:numFmt w:val="lowerLetter"/>
      <w:lvlText w:val="%2."/>
      <w:lvlJc w:val="left"/>
      <w:pPr>
        <w:ind w:left="1440" w:hanging="360"/>
      </w:pPr>
    </w:lvl>
    <w:lvl w:ilvl="2" w:tplc="2D6E1FE0">
      <w:start w:val="1"/>
      <w:numFmt w:val="lowerRoman"/>
      <w:lvlText w:val="%3."/>
      <w:lvlJc w:val="right"/>
      <w:pPr>
        <w:ind w:left="2160" w:hanging="180"/>
      </w:pPr>
    </w:lvl>
    <w:lvl w:ilvl="3" w:tplc="5650C5F4">
      <w:start w:val="1"/>
      <w:numFmt w:val="decimal"/>
      <w:lvlText w:val="%4."/>
      <w:lvlJc w:val="left"/>
      <w:pPr>
        <w:ind w:left="2880" w:hanging="360"/>
      </w:pPr>
    </w:lvl>
    <w:lvl w:ilvl="4" w:tplc="BED69FA8">
      <w:start w:val="1"/>
      <w:numFmt w:val="lowerLetter"/>
      <w:lvlText w:val="%5."/>
      <w:lvlJc w:val="left"/>
      <w:pPr>
        <w:ind w:left="3600" w:hanging="360"/>
      </w:pPr>
    </w:lvl>
    <w:lvl w:ilvl="5" w:tplc="7F5EA770">
      <w:start w:val="1"/>
      <w:numFmt w:val="lowerRoman"/>
      <w:lvlText w:val="%6."/>
      <w:lvlJc w:val="right"/>
      <w:pPr>
        <w:ind w:left="4320" w:hanging="180"/>
      </w:pPr>
    </w:lvl>
    <w:lvl w:ilvl="6" w:tplc="159A044E">
      <w:start w:val="1"/>
      <w:numFmt w:val="decimal"/>
      <w:lvlText w:val="%7."/>
      <w:lvlJc w:val="left"/>
      <w:pPr>
        <w:ind w:left="5040" w:hanging="360"/>
      </w:pPr>
    </w:lvl>
    <w:lvl w:ilvl="7" w:tplc="7BC0F54E">
      <w:start w:val="1"/>
      <w:numFmt w:val="lowerLetter"/>
      <w:lvlText w:val="%8."/>
      <w:lvlJc w:val="left"/>
      <w:pPr>
        <w:ind w:left="5760" w:hanging="360"/>
      </w:pPr>
    </w:lvl>
    <w:lvl w:ilvl="8" w:tplc="411C4E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2436A"/>
    <w:multiLevelType w:val="hybridMultilevel"/>
    <w:tmpl w:val="FB7AFE18"/>
    <w:lvl w:ilvl="0" w:tplc="86641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CC4DC">
      <w:start w:val="1"/>
      <w:numFmt w:val="lowerLetter"/>
      <w:lvlText w:val="%2."/>
      <w:lvlJc w:val="left"/>
      <w:pPr>
        <w:ind w:left="1440" w:hanging="360"/>
      </w:pPr>
    </w:lvl>
    <w:lvl w:ilvl="2" w:tplc="A6C2EE26">
      <w:start w:val="1"/>
      <w:numFmt w:val="lowerRoman"/>
      <w:lvlText w:val="%3."/>
      <w:lvlJc w:val="right"/>
      <w:pPr>
        <w:ind w:left="2160" w:hanging="180"/>
      </w:pPr>
    </w:lvl>
    <w:lvl w:ilvl="3" w:tplc="A7A2766A">
      <w:start w:val="1"/>
      <w:numFmt w:val="decimal"/>
      <w:lvlText w:val="%4."/>
      <w:lvlJc w:val="left"/>
      <w:pPr>
        <w:ind w:left="2880" w:hanging="360"/>
      </w:pPr>
    </w:lvl>
    <w:lvl w:ilvl="4" w:tplc="43B4E320">
      <w:start w:val="1"/>
      <w:numFmt w:val="lowerLetter"/>
      <w:lvlText w:val="%5."/>
      <w:lvlJc w:val="left"/>
      <w:pPr>
        <w:ind w:left="3600" w:hanging="360"/>
      </w:pPr>
    </w:lvl>
    <w:lvl w:ilvl="5" w:tplc="EE443098">
      <w:start w:val="1"/>
      <w:numFmt w:val="lowerRoman"/>
      <w:lvlText w:val="%6."/>
      <w:lvlJc w:val="right"/>
      <w:pPr>
        <w:ind w:left="4320" w:hanging="180"/>
      </w:pPr>
    </w:lvl>
    <w:lvl w:ilvl="6" w:tplc="BA4A5856">
      <w:start w:val="1"/>
      <w:numFmt w:val="decimal"/>
      <w:lvlText w:val="%7."/>
      <w:lvlJc w:val="left"/>
      <w:pPr>
        <w:ind w:left="5040" w:hanging="360"/>
      </w:pPr>
    </w:lvl>
    <w:lvl w:ilvl="7" w:tplc="54A21AF4">
      <w:start w:val="1"/>
      <w:numFmt w:val="lowerLetter"/>
      <w:lvlText w:val="%8."/>
      <w:lvlJc w:val="left"/>
      <w:pPr>
        <w:ind w:left="5760" w:hanging="360"/>
      </w:pPr>
    </w:lvl>
    <w:lvl w:ilvl="8" w:tplc="4E3E1B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4F6B"/>
    <w:multiLevelType w:val="hybridMultilevel"/>
    <w:tmpl w:val="EAAEBA26"/>
    <w:lvl w:ilvl="0" w:tplc="B6D0D9A0">
      <w:start w:val="1"/>
      <w:numFmt w:val="decimal"/>
      <w:lvlText w:val="%1."/>
      <w:lvlJc w:val="left"/>
    </w:lvl>
    <w:lvl w:ilvl="1" w:tplc="638EB082">
      <w:start w:val="1"/>
      <w:numFmt w:val="lowerLetter"/>
      <w:lvlText w:val="%2."/>
      <w:lvlJc w:val="left"/>
      <w:pPr>
        <w:ind w:left="1440" w:hanging="360"/>
      </w:pPr>
    </w:lvl>
    <w:lvl w:ilvl="2" w:tplc="E288FA60">
      <w:start w:val="1"/>
      <w:numFmt w:val="lowerRoman"/>
      <w:lvlText w:val="%3."/>
      <w:lvlJc w:val="right"/>
      <w:pPr>
        <w:ind w:left="2160" w:hanging="180"/>
      </w:pPr>
    </w:lvl>
    <w:lvl w:ilvl="3" w:tplc="C664A2B8">
      <w:start w:val="1"/>
      <w:numFmt w:val="decimal"/>
      <w:lvlText w:val="%4."/>
      <w:lvlJc w:val="left"/>
      <w:pPr>
        <w:ind w:left="2880" w:hanging="360"/>
      </w:pPr>
    </w:lvl>
    <w:lvl w:ilvl="4" w:tplc="E128548E">
      <w:start w:val="1"/>
      <w:numFmt w:val="lowerLetter"/>
      <w:lvlText w:val="%5."/>
      <w:lvlJc w:val="left"/>
      <w:pPr>
        <w:ind w:left="3600" w:hanging="360"/>
      </w:pPr>
    </w:lvl>
    <w:lvl w:ilvl="5" w:tplc="21482B44">
      <w:start w:val="1"/>
      <w:numFmt w:val="lowerRoman"/>
      <w:lvlText w:val="%6."/>
      <w:lvlJc w:val="right"/>
      <w:pPr>
        <w:ind w:left="4320" w:hanging="180"/>
      </w:pPr>
    </w:lvl>
    <w:lvl w:ilvl="6" w:tplc="24B48904">
      <w:start w:val="1"/>
      <w:numFmt w:val="decimal"/>
      <w:lvlText w:val="%7."/>
      <w:lvlJc w:val="left"/>
      <w:pPr>
        <w:ind w:left="5040" w:hanging="360"/>
      </w:pPr>
    </w:lvl>
    <w:lvl w:ilvl="7" w:tplc="F37A0FDA">
      <w:start w:val="1"/>
      <w:numFmt w:val="lowerLetter"/>
      <w:lvlText w:val="%8."/>
      <w:lvlJc w:val="left"/>
      <w:pPr>
        <w:ind w:left="5760" w:hanging="360"/>
      </w:pPr>
    </w:lvl>
    <w:lvl w:ilvl="8" w:tplc="6ECAD7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D2"/>
    <w:rsid w:val="00513842"/>
    <w:rsid w:val="009C2FF3"/>
    <w:rsid w:val="00E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D9D74-949A-4AFE-9ED0-5868A07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pPr>
      <w:jc w:val="both"/>
    </w:pPr>
    <w:rPr>
      <w:lang w:val="en-US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customStyle="1" w:styleId="CharChar">
    <w:name w:val="Char Char"/>
    <w:basedOn w:val="a"/>
    <w:pPr>
      <w:spacing w:after="160" w:line="240" w:lineRule="exact"/>
    </w:pPr>
    <w:rPr>
      <w:lang w:val="en-US" w:eastAsia="en-US"/>
    </w:rPr>
  </w:style>
  <w:style w:type="paragraph" w:styleId="afb">
    <w:name w:val="Body Text Indent"/>
    <w:basedOn w:val="a"/>
    <w:pPr>
      <w:spacing w:after="120"/>
      <w:ind w:left="283"/>
    </w:pPr>
    <w:rPr>
      <w:sz w:val="24"/>
      <w:szCs w:val="24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Основной текст Знак"/>
    <w:link w:val="af5"/>
    <w:rPr>
      <w:rFonts w:ascii="Times New Roman" w:eastAsia="Times New Roman" w:hAnsi="Times New Roman"/>
      <w:sz w:val="28"/>
      <w:lang w:val="en-US"/>
    </w:r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Times New Roman" w:hAnsi="Times New Roman"/>
      <w:sz w:val="28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aff0">
    <w:name w:val="No Spacing"/>
    <w:uiPriority w:val="1"/>
    <w:qFormat/>
    <w:rPr>
      <w:rFonts w:ascii="Times New Roman" w:eastAsia="Times New Roman" w:hAnsi="Times New Roman"/>
      <w:sz w:val="28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link w:val="aff2"/>
    <w:uiPriority w:val="99"/>
    <w:semiHidden/>
    <w:rPr>
      <w:rFonts w:ascii="Times New Roman" w:eastAsia="Times New Roman" w:hAnsi="Times New Roma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75532&amp;dst=100298&amp;field=134&amp;date=27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532&amp;dst=103572&amp;field=134&amp;date=27.06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532&amp;dst=100298&amp;field=134&amp;date=27.06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5532&amp;dst=103572&amp;field=134&amp;date=27.06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48DC-39A1-414D-948C-DC44981C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user</cp:lastModifiedBy>
  <cp:revision>2</cp:revision>
  <dcterms:created xsi:type="dcterms:W3CDTF">2025-09-04T09:38:00Z</dcterms:created>
  <dcterms:modified xsi:type="dcterms:W3CDTF">2025-09-04T09:38:00Z</dcterms:modified>
</cp:coreProperties>
</file>