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  <w:lang w:val="en-U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-342265</wp:posOffset>
            </wp:positionV>
            <wp:extent cx="495935" cy="61976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  <w:lang w:val="en-US" w:eastAsia="ru-RU"/>
        </w:rPr>
      </w:pPr>
      <w:r>
        <w:rPr>
          <w:rFonts w:ascii="PT Astra Serif" w:hAnsi="PT Astra Serif"/>
          <w:sz w:val="24"/>
          <w:szCs w:val="24"/>
          <w:lang w:val="en-US" w:eastAsia="ru-RU"/>
        </w:rPr>
      </w:r>
    </w:p>
    <w:tbl>
      <w:tblPr>
        <w:tblW w:w="98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"/>
        <w:gridCol w:w="622"/>
        <w:gridCol w:w="222"/>
        <w:gridCol w:w="1518"/>
        <w:gridCol w:w="350"/>
        <w:gridCol w:w="332"/>
        <w:gridCol w:w="214"/>
        <w:gridCol w:w="1290"/>
        <w:gridCol w:w="2643"/>
        <w:gridCol w:w="445"/>
        <w:gridCol w:w="2007"/>
      </w:tblGrid>
      <w:tr>
        <w:trPr>
          <w:trHeight w:val="1429" w:hRule="exact"/>
        </w:trPr>
        <w:tc>
          <w:tcPr>
            <w:tcW w:w="9878" w:type="dxa"/>
            <w:gridSpan w:val="11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tLeast" w:line="11" w:before="0" w:after="0"/>
              <w:jc w:val="center"/>
              <w:rPr>
                <w:rFonts w:ascii="PT Astra Serif" w:hAnsi="PT Astra Serif"/>
                <w:b/>
                <w:b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Администрация Октябрьского района</w:t>
            </w:r>
          </w:p>
          <w:p>
            <w:pPr>
              <w:pStyle w:val="Normal"/>
              <w:spacing w:lineRule="atLeast" w:line="11" w:before="0" w:after="0"/>
              <w:jc w:val="center"/>
              <w:rPr>
                <w:rFonts w:ascii="PT Astra Serif" w:hAnsi="PT Astra Serif"/>
                <w:b/>
                <w:b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КОМИТЕТ ПО УПРАВЛЕНИЮ МУНИЦИПАЛЬНОЙ СОБСТВЕННОСТЬЮ</w:t>
            </w:r>
          </w:p>
          <w:p>
            <w:pPr>
              <w:pStyle w:val="Normal"/>
              <w:spacing w:lineRule="atLeast" w:line="11" w:before="0"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ул. Ленина, д. 42, пгт. Октябрьское, ХМАО-Югра, Тюменской обл., 628100</w:t>
            </w:r>
          </w:p>
          <w:p>
            <w:pPr>
              <w:pStyle w:val="Normal"/>
              <w:spacing w:lineRule="atLeast" w:line="11" w:before="0" w:after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тел./факс (34678) 2-13-75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kums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@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oktregion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ru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://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oktregion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ru</w:t>
            </w:r>
          </w:p>
        </w:tc>
      </w:tr>
      <w:tr>
        <w:trPr>
          <w:trHeight w:val="440" w:hRule="atLeast"/>
        </w:trPr>
        <w:tc>
          <w:tcPr>
            <w:tcW w:w="23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62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5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-108" w:hanging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32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14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93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4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>
          <w:trHeight w:val="2896" w:hRule="exact"/>
        </w:trPr>
        <w:tc>
          <w:tcPr>
            <w:tcW w:w="4783" w:type="dxa"/>
            <w:gridSpan w:val="8"/>
            <w:tcBorders/>
            <w:shd w:fill="auto" w:val="clear"/>
            <w:tcMar>
              <w:top w:w="227" w:type="dxa"/>
            </w:tcMar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509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PT Astra Serif" w:hAnsi="PT Astra Serif"/>
                <w:b/>
                <w:b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zh-CN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Заместитель председателя Комитета по управлению муниципальной собственностью администрации Октябрьского района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Н.В. Борцова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М.П.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                                     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«____»_________ 20</w:t>
            </w:r>
            <w:r>
              <w:rPr>
                <w:rFonts w:ascii="PT Astra Serif" w:hAnsi="PT Astra Serif"/>
                <w:sz w:val="24"/>
                <w:szCs w:val="24"/>
                <w:lang w:val="ru-RU" w:eastAsia="zh-CN"/>
              </w:rPr>
              <w:t>20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1018" w:right="0" w:hanging="0"/>
        <w:jc w:val="center"/>
        <w:rPr>
          <w:rFonts w:ascii="PT Astra Serif" w:hAnsi="PT Astra Serif"/>
          <w:b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Информационное сообщение №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</w:t>
      </w:r>
    </w:p>
    <w:p>
      <w:pPr>
        <w:pStyle w:val="Normal"/>
        <w:spacing w:lineRule="auto" w:line="240"/>
        <w:jc w:val="center"/>
        <w:rPr/>
      </w:pPr>
      <w:r>
        <w:rPr>
          <w:rFonts w:ascii="PT Astra Serif" w:hAnsi="PT Astra Serif"/>
          <w:b/>
          <w:sz w:val="24"/>
          <w:szCs w:val="24"/>
        </w:rPr>
        <w:t>о проведении продажи без объявления цены в электронной форме</w:t>
      </w:r>
      <w:r>
        <w:rPr>
          <w:rFonts w:ascii="PT Astra Serif" w:hAnsi="PT Astra Serif"/>
          <w:b/>
          <w:bCs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eastAsia="ru-RU"/>
        </w:rPr>
        <w:t>SBR012-2011100004</w:t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eastAsia="ru-RU"/>
        </w:rPr>
        <w:t>.</w:t>
      </w:r>
      <w:r>
        <w:rPr>
          <w:rFonts w:ascii="PT Astra Serif" w:hAnsi="PT Astra Serif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eastAsia="ru-RU"/>
        </w:rPr>
        <w:t>1,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находящегося в муниципальной собственности муниципального образования Октябрьский район</w:t>
      </w:r>
      <w:r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Ханты-Мансийского автономного округа – Югры.</w:t>
      </w:r>
    </w:p>
    <w:p>
      <w:pPr>
        <w:pStyle w:val="Normal"/>
        <w:spacing w:lineRule="exact" w:line="250" w:before="240" w:after="0"/>
        <w:ind w:left="0" w:right="0" w:firstLine="851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 xml:space="preserve">Продажа </w:t>
      </w:r>
      <w:r>
        <w:rPr>
          <w:rFonts w:ascii="PT Astra Serif" w:hAnsi="PT Astra Serif"/>
          <w:sz w:val="24"/>
          <w:szCs w:val="24"/>
        </w:rPr>
        <w:t>без объявления цены в электронной форме</w:t>
      </w:r>
      <w:r>
        <w:rPr>
          <w:rFonts w:ascii="PT Astra Serif" w:hAnsi="PT Astra Serif"/>
          <w:sz w:val="24"/>
          <w:szCs w:val="24"/>
          <w:lang w:eastAsia="ru-RU"/>
        </w:rPr>
        <w:t xml:space="preserve"> проводится на электронной площадке Сбербанк – АСТ </w:t>
      </w:r>
      <w:hyperlink r:id="rId3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 в соответствии с Гражданским кодексом Российской Федерации, Федеральн</w:t>
      </w:r>
      <w:bookmarkStart w:id="0" w:name="_GoBack"/>
      <w:bookmarkEnd w:id="0"/>
      <w:r>
        <w:rPr>
          <w:rFonts w:ascii="PT Astra Serif" w:hAnsi="PT Astra Serif"/>
          <w:sz w:val="24"/>
          <w:szCs w:val="24"/>
          <w:lang w:eastAsia="ru-RU"/>
        </w:rPr>
        <w:t>ым законом Российской Федерации «О приватизации государственного и муниципального имущества» от 21.12.2001 № 178-ФЗ, Постановления правительства Российской Федерации от 27 августа 2012 г. № 860 «Об организации и проведения продажи государственного или муниципального имущества в электронной форме».</w:t>
      </w:r>
    </w:p>
    <w:p>
      <w:pPr>
        <w:pStyle w:val="Normal"/>
        <w:spacing w:lineRule="exact" w:line="250" w:before="0" w:after="0"/>
        <w:ind w:left="0" w:right="0" w:firstLine="566"/>
        <w:jc w:val="both"/>
        <w:rPr/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Собственник выставляемого на торги имущества: </w:t>
      </w:r>
      <w:r>
        <w:rPr>
          <w:rFonts w:ascii="PT Astra Serif" w:hAnsi="PT Astra Serif"/>
          <w:sz w:val="24"/>
          <w:szCs w:val="24"/>
          <w:lang w:eastAsia="ru-RU"/>
        </w:rPr>
        <w:t>Имущество находится в муниципальной собственности муниципального образования Октябрьский район Ханты-Мансийского автономного округа - Югры.</w:t>
      </w:r>
    </w:p>
    <w:p>
      <w:pPr>
        <w:pStyle w:val="Normal"/>
        <w:spacing w:lineRule="exact" w:line="250" w:before="0" w:after="0"/>
        <w:ind w:left="0" w:right="0" w:firstLine="566"/>
        <w:jc w:val="both"/>
        <w:rPr/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Продавец </w:t>
      </w:r>
      <w:r>
        <w:rPr>
          <w:rFonts w:ascii="PT Astra Serif" w:hAnsi="PT Astra Serif"/>
          <w:b/>
          <w:bCs/>
          <w:i/>
          <w:iCs/>
          <w:sz w:val="24"/>
          <w:szCs w:val="24"/>
          <w:lang w:eastAsia="ru-RU"/>
        </w:rPr>
        <w:t xml:space="preserve">— </w:t>
      </w:r>
      <w:r>
        <w:rPr>
          <w:rFonts w:ascii="PT Astra Serif" w:hAnsi="PT Astra Serif"/>
          <w:bCs/>
          <w:iCs/>
          <w:sz w:val="24"/>
          <w:szCs w:val="24"/>
          <w:lang w:eastAsia="ru-RU"/>
        </w:rPr>
        <w:t>муниципальное образование Октябрьский район Ханты-Мансийского автономного округа – Югры, представляемое</w:t>
      </w:r>
      <w:r>
        <w:rPr>
          <w:rFonts w:ascii="PT Astra Serif" w:hAnsi="PT Astra Serif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sz w:val="24"/>
          <w:szCs w:val="24"/>
          <w:lang w:eastAsia="ru-RU"/>
        </w:rPr>
        <w:t>Комитетом по управлению муниципальной собственностью администрации Октябрьского района.</w:t>
      </w:r>
    </w:p>
    <w:p>
      <w:pPr>
        <w:pStyle w:val="Normal"/>
        <w:spacing w:lineRule="exact" w:line="250" w:before="0" w:after="0"/>
        <w:ind w:left="0" w:right="0" w:firstLine="566"/>
        <w:jc w:val="both"/>
        <w:rPr/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Организатор: </w:t>
      </w:r>
      <w:r>
        <w:rPr>
          <w:rFonts w:ascii="PT Astra Serif" w:hAnsi="PT Astra Serif"/>
          <w:sz w:val="24"/>
          <w:szCs w:val="24"/>
          <w:lang w:eastAsia="ru-RU"/>
        </w:rPr>
        <w:t>Комитет по управлению муниципальной собственностью администрации Октябрьского района.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       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Основание проведения торгов </w:t>
      </w:r>
      <w:r>
        <w:rPr>
          <w:rFonts w:ascii="PT Astra Serif" w:hAnsi="PT Astra Serif"/>
          <w:b/>
          <w:bCs/>
          <w:i/>
          <w:iCs/>
          <w:sz w:val="24"/>
          <w:szCs w:val="24"/>
          <w:lang w:eastAsia="ru-RU"/>
        </w:rPr>
        <w:t xml:space="preserve">– </w:t>
      </w:r>
      <w:r>
        <w:rPr>
          <w:rFonts w:ascii="PT Astra Serif" w:hAnsi="PT Astra Serif"/>
          <w:sz w:val="24"/>
          <w:szCs w:val="24"/>
          <w:lang w:eastAsia="ru-RU"/>
        </w:rPr>
        <w:t xml:space="preserve">Постановление администрации Октябрьского района             «Об условиях приватизации муниципального имущества» от </w:t>
      </w:r>
      <w:r>
        <w:rPr>
          <w:rFonts w:ascii="PT Astra Serif" w:hAnsi="PT Astra Serif"/>
          <w:sz w:val="24"/>
          <w:szCs w:val="24"/>
          <w:lang w:val="ru-RU" w:eastAsia="ru-RU"/>
        </w:rPr>
        <w:t>0</w:t>
      </w:r>
      <w:r>
        <w:rPr>
          <w:rFonts w:ascii="PT Astra Serif" w:hAnsi="PT Astra Serif"/>
          <w:sz w:val="24"/>
          <w:szCs w:val="24"/>
          <w:lang w:val="ru-RU" w:eastAsia="ru-RU"/>
        </w:rPr>
        <w:t>5</w:t>
      </w:r>
      <w:r>
        <w:rPr>
          <w:rFonts w:ascii="PT Astra Serif" w:hAnsi="PT Astra Serif"/>
          <w:sz w:val="24"/>
          <w:szCs w:val="24"/>
          <w:lang w:val="ru-RU" w:eastAsia="ru-RU"/>
        </w:rPr>
        <w:t>.</w:t>
      </w:r>
      <w:r>
        <w:rPr>
          <w:rFonts w:ascii="PT Astra Serif" w:hAnsi="PT Astra Serif"/>
          <w:sz w:val="24"/>
          <w:szCs w:val="24"/>
          <w:lang w:val="ru-RU" w:eastAsia="ru-RU"/>
        </w:rPr>
        <w:t>11</w:t>
      </w:r>
      <w:r>
        <w:rPr>
          <w:rFonts w:ascii="PT Astra Serif" w:hAnsi="PT Astra Serif"/>
          <w:sz w:val="24"/>
          <w:szCs w:val="24"/>
          <w:lang w:val="ru-RU" w:eastAsia="ru-RU"/>
        </w:rPr>
        <w:t>.2020</w:t>
      </w:r>
      <w:r>
        <w:rPr>
          <w:rFonts w:ascii="PT Astra Serif" w:hAnsi="PT Astra Serif"/>
          <w:sz w:val="24"/>
          <w:szCs w:val="24"/>
          <w:lang w:eastAsia="ru-RU"/>
        </w:rPr>
        <w:t xml:space="preserve"> № </w:t>
      </w:r>
      <w:r>
        <w:rPr>
          <w:rFonts w:ascii="PT Astra Serif" w:hAnsi="PT Astra Serif"/>
          <w:sz w:val="24"/>
          <w:szCs w:val="24"/>
          <w:lang w:val="ru-RU" w:eastAsia="ru-RU"/>
        </w:rPr>
        <w:t>2217</w:t>
      </w:r>
      <w:r>
        <w:rPr>
          <w:rFonts w:ascii="PT Astra Serif" w:hAnsi="PT Astra Serif"/>
          <w:sz w:val="24"/>
          <w:szCs w:val="24"/>
          <w:lang w:eastAsia="ru-RU"/>
        </w:rPr>
        <w:t xml:space="preserve">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PT Astra Serif" w:hAnsi="PT Astra Serif"/>
          <w:b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Сведения об имуществе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3449"/>
        <w:gridCol w:w="2159"/>
        <w:gridCol w:w="3293"/>
      </w:tblGrid>
      <w:tr>
        <w:trPr>
          <w:trHeight w:val="1020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торговой процедуры</w:t>
            </w:r>
          </w:p>
        </w:tc>
        <w:tc>
          <w:tcPr>
            <w:tcW w:w="3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3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Информация о предыдущих торгах</w:t>
            </w:r>
          </w:p>
        </w:tc>
      </w:tr>
      <w:tr>
        <w:trPr>
          <w:trHeight w:val="1020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autoSpaceDE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PT Astra Serif" w:ascii="PT Astra Serif" w:hAnsi="PT Astra Serif"/>
                <w:sz w:val="24"/>
                <w:szCs w:val="24"/>
                <w:lang w:eastAsia="ru-RU"/>
              </w:rPr>
              <w:t>Автобус УАЗ 22069, идентификационный номер (V</w:t>
            </w:r>
            <w:r>
              <w:rPr>
                <w:rFonts w:eastAsia="Times New Roman" w:cs="PT Astra Serif" w:ascii="PT Astra Serif" w:hAnsi="PT Astra Serif"/>
                <w:sz w:val="24"/>
                <w:szCs w:val="24"/>
                <w:lang w:val="en-US" w:eastAsia="ru-RU"/>
              </w:rPr>
              <w:t>IN</w:t>
            </w:r>
            <w:r>
              <w:rPr>
                <w:rFonts w:eastAsia="Times New Roman" w:cs="PT Astra Serif" w:ascii="PT Astra Serif" w:hAnsi="PT Astra Serif"/>
                <w:sz w:val="24"/>
                <w:szCs w:val="24"/>
                <w:lang w:eastAsia="ru-RU"/>
              </w:rPr>
              <w:t>) Х</w:t>
            </w:r>
            <w:r>
              <w:rPr>
                <w:rFonts w:eastAsia="Times New Roman" w:cs="PT Astra Serif" w:ascii="PT Astra Serif" w:hAnsi="PT Astra Serif"/>
                <w:sz w:val="24"/>
                <w:szCs w:val="24"/>
                <w:lang w:val="en-US" w:eastAsia="ru-RU"/>
              </w:rPr>
              <w:t>TT</w:t>
            </w:r>
            <w:r>
              <w:rPr>
                <w:rFonts w:eastAsia="Times New Roman" w:cs="PT Astra Serif" w:ascii="PT Astra Serif" w:hAnsi="PT Astra Serif"/>
                <w:sz w:val="24"/>
                <w:szCs w:val="24"/>
                <w:lang w:eastAsia="ru-RU"/>
              </w:rPr>
              <w:t>22069060472766, 2006 года выпуска, модель, № двигателя 421800 60603452, кузов (кабина, прицеп) 22060060212869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пгт. Приобье</w:t>
            </w:r>
            <w:r>
              <w:rPr>
                <w:rFonts w:ascii="PT Astra Serif" w:hAnsi="PT Astra Serif"/>
                <w:sz w:val="24"/>
                <w:szCs w:val="24"/>
              </w:rPr>
              <w:t>, Октябрьский район, Тюменская область.</w:t>
            </w:r>
          </w:p>
        </w:tc>
        <w:tc>
          <w:tcPr>
            <w:tcW w:w="3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родаж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а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посредством публичного предложения в электронной форме </w:t>
            </w:r>
          </w:p>
          <w:p>
            <w:pPr>
              <w:pStyle w:val="Normal"/>
              <w:spacing w:before="0" w:after="64"/>
              <w:ind w:left="0" w:right="43" w:hanging="0"/>
              <w:jc w:val="center"/>
              <w:rPr/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eastAsia="Times New Roman" w:cs="PT Astra Serif"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4"/>
                <w:szCs w:val="24"/>
                <w:lang w:eastAsia="ru-RU"/>
              </w:rPr>
              <w:t xml:space="preserve">SBR012-2008270038.1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.2020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не состоялся             в связи с отсутствием заявок</w:t>
            </w:r>
          </w:p>
          <w:p>
            <w:pPr>
              <w:pStyle w:val="Normal"/>
              <w:spacing w:before="0" w:after="64"/>
              <w:ind w:left="0" w:right="43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206" w:after="0"/>
        <w:ind w:left="567" w:right="0" w:firstLine="142"/>
        <w:contextualSpacing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>Обременение объекта: Обременения отсутствуют.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142" w:right="0" w:firstLine="709"/>
        <w:contextualSpacing/>
        <w:jc w:val="center"/>
        <w:rPr>
          <w:rFonts w:ascii="PT Astra Serif" w:hAnsi="PT Astra Serif"/>
          <w:b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>Порядок, сроки, место  подачи (приема) заявок</w:t>
      </w:r>
    </w:p>
    <w:p>
      <w:pPr>
        <w:pStyle w:val="Normal"/>
        <w:spacing w:lineRule="auto" w:line="240" w:before="0" w:after="0"/>
        <w:ind w:left="-142" w:right="0" w:hanging="0"/>
        <w:rPr>
          <w:rFonts w:ascii="PT Astra Serif" w:hAnsi="PT Astra Serif"/>
          <w:b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0"/>
        </w:numPr>
        <w:spacing w:before="0" w:after="0"/>
        <w:ind w:left="720" w:right="-31" w:hanging="0"/>
        <w:contextualSpacing/>
        <w:jc w:val="both"/>
        <w:outlineLvl w:val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продаже без объявления цены начальная цена не определяется.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 исчислении сроков, указанных в настоящем извещении, принимается время сервера электронной площадки - Московское.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Начало приема заявок на участие в продаже –</w:t>
      </w:r>
      <w:r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11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ноября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10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4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Окончание приема заявок на участие в продаже –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07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декабря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10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5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Определение Участников продажи –</w:t>
      </w:r>
      <w:r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8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декабря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09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6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Проведение продажи –</w:t>
      </w:r>
      <w:r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9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декабря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09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                   на электронной площадке ЗАО «Сбербанк – АСТ» </w:t>
      </w:r>
      <w:hyperlink r:id="rId7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31" w:firstLine="426"/>
        <w:jc w:val="both"/>
        <w:outlineLvl w:val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 на участие в торгах и предложение о цене имущества, подается в электронной форме в                                  соответствии с правилами работы электронной площадки и настоящим информационным сообщением, путем подгружения заявки по Приложению 1 к настоящему информационному сообщению и электронных образов необходимых документов.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31" w:firstLine="426"/>
        <w:jc w:val="both"/>
        <w:outlineLvl w:val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Перечень документов, входящих в состав заявки: </w:t>
      </w:r>
    </w:p>
    <w:p>
      <w:pPr>
        <w:pStyle w:val="ConsPlusNormal"/>
        <w:numPr>
          <w:ilvl w:val="0"/>
          <w:numId w:val="5"/>
        </w:numPr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Юридические лица: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заверенные копии учредительных документов;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ConsPlusNormal"/>
        <w:numPr>
          <w:ilvl w:val="0"/>
          <w:numId w:val="5"/>
        </w:numPr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Физические лица: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удостоверяющий личность, или копии всех его листов.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Уплата НДС осуществляется Покупателем (Продавцом, в случае если Покупателем является физическое лицо, не являющееся индивидуальным предпринимателем) согласно пункту 3 статьи 161 Налогового кодекса Российской Федерации.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Требования к оформлению документов, предоставляемых участниками торгов:</w:t>
      </w:r>
    </w:p>
    <w:p>
      <w:pPr>
        <w:pStyle w:val="ConsPlusNormal"/>
        <w:ind w:left="0" w:right="0" w:firstLine="426"/>
        <w:jc w:val="both"/>
        <w:rPr/>
      </w:pPr>
      <w:r>
        <w:rPr>
          <w:rFonts w:ascii="PT Astra Serif" w:hAnsi="PT Astra Serif"/>
          <w:color w:val="000000"/>
          <w:sz w:val="24"/>
          <w:szCs w:val="24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Заявки подаются одновременно с полным комплектом документов, установленным в настоящем информационном сообщении. Исправления, внесённые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организатора, и отправитель несёт ответственность за подлинность и достоверность таких документов и сведений.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>
      <w:pPr>
        <w:pStyle w:val="ConsPlusNormal"/>
        <w:ind w:left="0" w:right="0" w:firstLine="426"/>
        <w:jc w:val="both"/>
        <w:rPr/>
      </w:pPr>
      <w:r>
        <w:rPr>
          <w:rFonts w:ascii="PT Astra Serif" w:hAnsi="PT Astra Serif"/>
          <w:color w:val="000000"/>
          <w:sz w:val="24"/>
          <w:szCs w:val="24"/>
        </w:rPr>
        <w:t>Все файлы документов, представляемых одновременно с заявкой, либо отде</w:t>
      </w:r>
      <w:r>
        <w:rPr>
          <w:rFonts w:ascii="PT Astra Serif" w:hAnsi="PT Astra Serif"/>
          <w:sz w:val="24"/>
          <w:szCs w:val="24"/>
        </w:rPr>
        <w:t xml:space="preserve">льные тома данных документов должны быть подписаны претендентом или его представителем электронной цифровой подписью. 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данным документам (в том числе к каждому тому) также прилагается их опись (Приложение № 2 к настоящему информационному сообщению). </w:t>
      </w:r>
    </w:p>
    <w:p>
      <w:pPr>
        <w:pStyle w:val="ConsPlusNormal"/>
        <w:ind w:left="0" w:right="0" w:firstLine="426"/>
        <w:jc w:val="both"/>
        <w:rPr/>
      </w:pPr>
      <w:r>
        <w:rPr>
          <w:rFonts w:ascii="PT Astra Serif" w:hAnsi="PT Astra Serif"/>
          <w:bCs/>
          <w:sz w:val="24"/>
          <w:szCs w:val="24"/>
        </w:rPr>
        <w:t xml:space="preserve">Зарегистрированная заявка </w:t>
      </w:r>
      <w:r>
        <w:rPr>
          <w:rFonts w:ascii="PT Astra Serif" w:hAnsi="PT Astra Serif"/>
          <w:sz w:val="24"/>
          <w:szCs w:val="24"/>
        </w:rPr>
        <w:t>является поступившим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Покупателем имущества признается: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 победителем заключается договор купли-продажи (Приложение № 3 к настоящему информационному сообщению) в течение 5 рабочих дней со дня подведения итогов продажи имущества. 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Покупатель единовременно перечисляет подлежащую оплате цену продажи имущества                            не позднее 20 дней, следующих за днем заключения договора купли-продажи имущества, по следующим реквизитам:</w:t>
      </w:r>
    </w:p>
    <w:p>
      <w:pPr>
        <w:pStyle w:val="Normal"/>
        <w:widowControl w:val="false"/>
        <w:shd w:fill="FFFFFF" w:val="clear"/>
        <w:tabs>
          <w:tab w:val="clear" w:pos="708"/>
          <w:tab w:val="left" w:pos="851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Получатель: Комитет по управлению муниципальной собственностью администрации Октябрьского района, р/с 40101810565770510001 в РКЦ г. Ханты-Мансийска УФК по ХМАО-Югры БИК 047162000, получатель ИНН 8614001650 КПП 86140100, КБК 07011402053050000410 ОКТМО 71821000, назначение платежа: «Договор  купли-продажи  от «___»_____ №___Ф.И.О. (наименование) плательщика».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ограничения участия отдельных категорий физических лиц и юридических лиц в приватизации такого имущества указаны в ст. 5 Федерального закона № 178-ФЗ.</w:t>
      </w:r>
    </w:p>
    <w:p>
      <w:pPr>
        <w:pStyle w:val="Normal"/>
        <w:widowControl w:val="false"/>
        <w:tabs>
          <w:tab w:val="clear" w:pos="708"/>
          <w:tab w:val="left" w:pos="806" w:leader="none"/>
        </w:tabs>
        <w:spacing w:lineRule="exact" w:line="250" w:before="0" w:after="0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 xml:space="preserve">        </w:t>
      </w:r>
      <w:r>
        <w:rPr>
          <w:rFonts w:ascii="PT Astra Serif" w:hAnsi="PT Astra Serif"/>
          <w:sz w:val="24"/>
          <w:szCs w:val="24"/>
          <w:lang w:eastAsia="ru-RU"/>
        </w:rPr>
        <w:t xml:space="preserve">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</w:t>
      </w:r>
      <w:hyperlink r:id="rId8">
        <w:r>
          <w:rPr>
            <w:rStyle w:val="ListLabel47"/>
            <w:rFonts w:ascii="PT Astra Serif" w:hAnsi="PT Astra Serif"/>
            <w:sz w:val="24"/>
            <w:szCs w:val="24"/>
            <w:u w:val="single"/>
            <w:lang w:val="en-US" w:eastAsia="ru-RU"/>
          </w:rPr>
          <w:t>www</w:t>
        </w:r>
      </w:hyperlink>
      <w:hyperlink r:id="rId9">
        <w:r>
          <w:rPr>
            <w:rStyle w:val="ListLabel47"/>
            <w:rFonts w:ascii="PT Astra Serif" w:hAnsi="PT Astra Serif"/>
            <w:sz w:val="24"/>
            <w:szCs w:val="24"/>
            <w:u w:val="single"/>
            <w:lang w:eastAsia="ru-RU"/>
          </w:rPr>
          <w:t>.</w:t>
        </w:r>
      </w:hyperlink>
      <w:hyperlink r:id="rId10">
        <w:r>
          <w:rPr>
            <w:rStyle w:val="ListLabel47"/>
            <w:rFonts w:ascii="PT Astra Serif" w:hAnsi="PT Astra Serif"/>
            <w:sz w:val="24"/>
            <w:szCs w:val="24"/>
            <w:u w:val="single"/>
            <w:lang w:val="en-US" w:eastAsia="ru-RU"/>
          </w:rPr>
          <w:t>torgi</w:t>
        </w:r>
      </w:hyperlink>
      <w:hyperlink r:id="rId11">
        <w:r>
          <w:rPr>
            <w:rStyle w:val="ListLabel47"/>
            <w:rFonts w:ascii="PT Astra Serif" w:hAnsi="PT Astra Serif"/>
            <w:sz w:val="24"/>
            <w:szCs w:val="24"/>
            <w:u w:val="single"/>
            <w:lang w:eastAsia="ru-RU"/>
          </w:rPr>
          <w:t xml:space="preserve"> .</w:t>
        </w:r>
      </w:hyperlink>
      <w:hyperlink r:id="rId12">
        <w:r>
          <w:rPr>
            <w:rStyle w:val="ListLabel47"/>
            <w:rFonts w:ascii="PT Astra Serif" w:hAnsi="PT Astra Serif"/>
            <w:sz w:val="24"/>
            <w:szCs w:val="24"/>
            <w:u w:val="single"/>
            <w:lang w:val="en-US" w:eastAsia="ru-RU"/>
          </w:rPr>
          <w:t>gov</w:t>
        </w:r>
      </w:hyperlink>
      <w:hyperlink r:id="rId13">
        <w:r>
          <w:rPr>
            <w:rStyle w:val="ListLabel47"/>
            <w:rFonts w:ascii="PT Astra Serif" w:hAnsi="PT Astra Serif"/>
            <w:sz w:val="24"/>
            <w:szCs w:val="24"/>
            <w:u w:val="single"/>
            <w:lang w:eastAsia="ru-RU"/>
          </w:rPr>
          <w:t>.</w:t>
        </w:r>
      </w:hyperlink>
      <w:hyperlink r:id="rId14">
        <w:r>
          <w:rPr>
            <w:rStyle w:val="ListLabel47"/>
            <w:rFonts w:ascii="PT Astra Serif" w:hAnsi="PT Astra Serif"/>
            <w:sz w:val="24"/>
            <w:szCs w:val="24"/>
            <w:u w:val="single"/>
            <w:lang w:val="en-US" w:eastAsia="ru-RU"/>
          </w:rPr>
          <w:t>ru</w:t>
        </w:r>
      </w:hyperlink>
      <w:hyperlink r:id="rId15">
        <w:r>
          <w:rPr>
            <w:rStyle w:val="ListLabel47"/>
            <w:rFonts w:ascii="PT Astra Serif" w:hAnsi="PT Astra Serif"/>
            <w:sz w:val="24"/>
            <w:szCs w:val="24"/>
            <w:u w:val="single"/>
            <w:lang w:eastAsia="ru-RU"/>
          </w:rPr>
          <w:t xml:space="preserve">, 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официальном сайте Октябрьского района </w:t>
      </w:r>
      <w:hyperlink r:id="rId16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hyperlink r:id="rId17">
        <w:r>
          <w:rPr>
            <w:rStyle w:val="ListLabel45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.oktregion.ru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разделе «Торги, конкурсы, аукционы», на электронной площадке ЗАО «Сбербанк – АСТ» </w:t>
      </w:r>
      <w:hyperlink r:id="rId18">
        <w:r>
          <w:rPr>
            <w:rStyle w:val="ListLabel49"/>
            <w:rFonts w:ascii="PT Astra Serif" w:hAnsi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hAnsi="PT Astra Serif"/>
          <w:b/>
          <w:bCs/>
          <w:sz w:val="24"/>
          <w:szCs w:val="24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/>
      </w:pPr>
      <w:r>
        <w:rPr>
          <w:rFonts w:ascii="PT Astra Serif" w:hAnsi="PT Astra Serif"/>
          <w:sz w:val="24"/>
          <w:szCs w:val="24"/>
        </w:rPr>
        <w:t xml:space="preserve">Ознакомится с иной информацией, условиями договора купли-продажи имущества можно                         по рабочим дням по адресу: пгт. Октябрьское, ул. Ленина, 42, каб. 48. с 9-00 до 17-00 (перерыв с 13-00 до 14-00). </w:t>
      </w:r>
      <w:r>
        <w:rPr>
          <w:rFonts w:ascii="PT Astra Serif" w:hAnsi="PT Astra Serif"/>
          <w:sz w:val="24"/>
          <w:szCs w:val="24"/>
          <w:lang w:eastAsia="ru-RU"/>
        </w:rPr>
        <w:t>тел. 8 (34678) 2-11-40, электронный адрес:</w:t>
      </w:r>
      <w:r>
        <w:rPr>
          <w:rFonts w:ascii="PT Astra Serif" w:hAnsi="PT Astra Serif"/>
          <w:sz w:val="24"/>
          <w:szCs w:val="24"/>
        </w:rPr>
        <w:t xml:space="preserve"> </w:t>
      </w:r>
      <w:hyperlink r:id="rId19">
        <w:r>
          <w:rPr>
            <w:rStyle w:val="Style14"/>
            <w:rFonts w:ascii="PT Astra Serif" w:hAnsi="PT Astra Serif"/>
            <w:sz w:val="24"/>
            <w:szCs w:val="24"/>
            <w:lang w:eastAsia="ru-RU"/>
          </w:rPr>
          <w:t>kums@oktregion.ru</w:t>
        </w:r>
      </w:hyperlink>
      <w:r>
        <w:rPr>
          <w:rFonts w:ascii="PT Astra Serif" w:hAnsi="PT Astra Serif"/>
          <w:sz w:val="24"/>
          <w:szCs w:val="24"/>
          <w:lang w:eastAsia="ru-RU"/>
        </w:rPr>
        <w:t>.</w:t>
      </w:r>
    </w:p>
    <w:p>
      <w:pPr>
        <w:pStyle w:val="ConsPlusNormal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spacing w:before="0" w:after="0"/>
        <w:ind w:left="0"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left="0"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left="0"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left="0"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left="0"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left="0"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72" w:leader="none"/>
        </w:tabs>
        <w:spacing w:before="0" w:after="0"/>
        <w:ind w:left="-142" w:right="-31" w:firstLine="284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№1</w:t>
      </w:r>
    </w:p>
    <w:p>
      <w:pPr>
        <w:pStyle w:val="Normal"/>
        <w:tabs>
          <w:tab w:val="clear" w:pos="708"/>
          <w:tab w:val="left" w:pos="9072" w:leader="none"/>
        </w:tabs>
        <w:spacing w:before="0" w:after="0"/>
        <w:ind w:left="-142" w:right="-31" w:firstLine="284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информационному сообщению</w:t>
      </w:r>
    </w:p>
    <w:p>
      <w:pPr>
        <w:pStyle w:val="Normal"/>
        <w:widowControl w:val="false"/>
        <w:spacing w:before="0" w:after="0"/>
        <w:ind w:left="0"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left="0"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left="0"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ЗАЯВКА</w:t>
      </w:r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НА ПРИОБРЕТЕНИЕ ИМУЩЕСТВА ПРИ ПРОДАЖЕ</w:t>
      </w:r>
    </w:p>
    <w:p>
      <w:pPr>
        <w:pStyle w:val="Normal"/>
        <w:spacing w:before="0" w:after="0"/>
        <w:jc w:val="center"/>
        <w:rPr/>
      </w:pPr>
      <w:r>
        <w:rPr>
          <w:rFonts w:ascii="PT Astra Serif" w:hAnsi="PT Astra Serif"/>
          <w:b/>
          <w:sz w:val="24"/>
          <w:szCs w:val="24"/>
        </w:rPr>
        <w:t xml:space="preserve">    </w:t>
      </w:r>
      <w:r>
        <w:rPr>
          <w:rFonts w:ascii="PT Astra Serif" w:hAnsi="PT Astra Serif"/>
          <w:b/>
          <w:sz w:val="24"/>
          <w:szCs w:val="24"/>
        </w:rPr>
        <w:t>БЕЗ ОБЪЯВЛЕНИЯ ЦЕНЫ №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  <w:u w:val="single"/>
        </w:rPr>
        <w:t>_____</w:t>
      </w:r>
    </w:p>
    <w:p>
      <w:pPr>
        <w:pStyle w:val="Normal"/>
        <w:spacing w:before="0" w:after="0"/>
        <w:ind w:left="100" w:right="142" w:hanging="0"/>
        <w:rPr/>
      </w:pPr>
      <w:r>
        <w:rPr>
          <w:rFonts w:ascii="PT Astra Serif" w:hAnsi="PT Astra Serif"/>
          <w:b/>
          <w:sz w:val="24"/>
          <w:szCs w:val="24"/>
        </w:rPr>
        <w:t>Претендент</w:t>
      </w:r>
      <w:r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_________________________________________________________________________________________                         </w:t>
      </w:r>
    </w:p>
    <w:p>
      <w:pPr>
        <w:pStyle w:val="Normal"/>
        <w:spacing w:before="0" w:after="0"/>
        <w:ind w:left="100" w:right="142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</w:t>
      </w:r>
      <w:r>
        <w:rPr>
          <w:rFonts w:ascii="PT Astra Serif" w:hAnsi="PT Astra Serif"/>
          <w:sz w:val="24"/>
          <w:szCs w:val="24"/>
        </w:rPr>
        <w:t xml:space="preserve">(наименование и организационно-правовая форма юридического лица либо Ф.И.О. физического лица)                                               </w:t>
      </w:r>
    </w:p>
    <w:p>
      <w:pPr>
        <w:pStyle w:val="Normal"/>
        <w:spacing w:before="0" w:after="0"/>
        <w:ind w:left="142" w:right="142" w:hanging="0"/>
        <w:rPr>
          <w:rFonts w:ascii="PT Astra Serif" w:hAnsi="PT Astra Serif"/>
          <w:b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Для физических лиц:</w:t>
      </w:r>
    </w:p>
    <w:p>
      <w:pPr>
        <w:pStyle w:val="Normal"/>
        <w:spacing w:before="0" w:after="0"/>
        <w:ind w:left="142" w:right="142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удостоверяющий личность:____________________________________________________________________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серия _____________, № ___________________, выдан «____» __________________________________  ________ г.</w:t>
      </w:r>
    </w:p>
    <w:p>
      <w:pPr>
        <w:pStyle w:val="Normal"/>
        <w:spacing w:before="0" w:after="0"/>
        <w:ind w:left="142" w:right="142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(кем выдан)________________________________________________________________________________________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ИНН _________________________________ телефон 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адрес электронной почты_____________________________________________________________________________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Адрес регистрации__________________________________________________________________________________          </w:t>
      </w:r>
    </w:p>
    <w:p>
      <w:pPr>
        <w:pStyle w:val="Normal"/>
        <w:spacing w:before="0" w:after="0"/>
        <w:ind w:left="142" w:right="142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Адрес проживания__________________________________________________________________________________</w:t>
      </w:r>
    </w:p>
    <w:p>
      <w:pPr>
        <w:pStyle w:val="Normal"/>
        <w:spacing w:before="0" w:after="0"/>
        <w:ind w:left="142" w:right="142" w:hanging="0"/>
        <w:rPr/>
      </w:pPr>
      <w:r>
        <w:rPr>
          <w:rFonts w:ascii="PT Astra Serif" w:hAnsi="PT Astra Serif"/>
          <w:sz w:val="24"/>
          <w:szCs w:val="24"/>
        </w:rPr>
        <w:t xml:space="preserve">Является индивидуальным предпринимателем_________ </w:t>
      </w:r>
      <w:r>
        <w:rPr>
          <w:rFonts w:ascii="PT Astra Serif" w:hAnsi="PT Astra Serif"/>
          <w:i/>
          <w:sz w:val="24"/>
          <w:szCs w:val="24"/>
        </w:rPr>
        <w:t>(да/нет)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Normal"/>
        <w:spacing w:before="0" w:after="0"/>
        <w:ind w:left="142" w:right="283" w:hanging="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соответствии со статьей 9 Федерального закона от 27.07.2006 года № 152-ФЗ даю согласие на обработку моих персональных данных.        ______________   _______________________________________________________</w:t>
      </w:r>
    </w:p>
    <w:p>
      <w:pPr>
        <w:pStyle w:val="Normal"/>
        <w:spacing w:before="0" w:after="0"/>
        <w:ind w:left="142" w:right="283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hAnsi="PT Astra Serif"/>
          <w:sz w:val="24"/>
          <w:szCs w:val="24"/>
        </w:rPr>
        <w:t>(подпись)                                                                        (расшифровка подписи)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b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Для юридических лиц: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___________________________________________________________________________________________________</w:t>
      </w:r>
    </w:p>
    <w:p>
      <w:pPr>
        <w:pStyle w:val="Normal"/>
        <w:spacing w:before="0" w:after="0"/>
        <w:ind w:left="142" w:right="0" w:hanging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(наименование, номер, дата регистрации, орган, осуществивший регистрацию)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ОГРН_____________________________________ ИНН__________________КПП________________________________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Должность, 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ФИО руководителя__________________________________________________________________________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Юридический адрес____________________________________________________________________________________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Почтовый адрес_______________________________________________________________________________________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Телефон __________________________________ 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Факс ______________________________________________________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лице Представителя претендента _____________________________________________________________________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Действует на основании доверенности № ___________________  «____» ____________________________ 20________г  </w:t>
      </w:r>
    </w:p>
    <w:p>
      <w:pPr>
        <w:pStyle w:val="Normal"/>
        <w:spacing w:before="0" w:after="0"/>
        <w:ind w:left="142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удостоверяющий личность доверенного лица _________________________________________________</w:t>
      </w:r>
    </w:p>
    <w:p>
      <w:pPr>
        <w:pStyle w:val="Normal"/>
        <w:spacing w:before="0" w:after="0"/>
        <w:ind w:left="142" w:right="0" w:hanging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_________________________________________________________________________________________________  </w:t>
      </w:r>
    </w:p>
    <w:p>
      <w:pPr>
        <w:pStyle w:val="Normal"/>
        <w:spacing w:before="0" w:after="0"/>
        <w:ind w:left="142" w:right="0" w:hanging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(наименование документа, серия, номер, дата, кем выдан)</w:t>
      </w:r>
    </w:p>
    <w:p>
      <w:pPr>
        <w:pStyle w:val="Normal"/>
        <w:spacing w:before="0" w:after="0"/>
        <w:ind w:left="142" w:right="0" w:hanging="0"/>
        <w:jc w:val="both"/>
        <w:rPr/>
      </w:pPr>
      <w:r>
        <w:rPr>
          <w:rFonts w:ascii="PT Astra Serif" w:hAnsi="PT Astra Serif"/>
          <w:sz w:val="24"/>
          <w:szCs w:val="24"/>
        </w:rPr>
        <w:t>Принимая решение о приобретении имущества:</w:t>
      </w:r>
      <w:r>
        <w:rPr>
          <w:rFonts w:ascii="PT Astra Serif" w:hAnsi="PT Astra Serif"/>
          <w:i/>
          <w:sz w:val="24"/>
          <w:szCs w:val="24"/>
        </w:rPr>
        <w:t xml:space="preserve"> ___________________________________________________________</w:t>
      </w:r>
    </w:p>
    <w:p>
      <w:pPr>
        <w:pStyle w:val="Normal"/>
        <w:spacing w:before="0" w:after="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_____________________________________________________________________________________________________.</w:t>
      </w:r>
    </w:p>
    <w:p>
      <w:pPr>
        <w:pStyle w:val="Normal"/>
        <w:spacing w:before="0" w:after="0"/>
        <w:jc w:val="center"/>
        <w:rPr/>
      </w:pPr>
      <w:r>
        <w:rPr>
          <w:rFonts w:ascii="PT Astra Serif" w:hAnsi="PT Astra Serif"/>
          <w:i/>
          <w:sz w:val="24"/>
          <w:szCs w:val="24"/>
        </w:rPr>
        <w:t>(</w:t>
      </w:r>
      <w:r>
        <w:rPr>
          <w:rFonts w:ascii="PT Astra Serif" w:hAnsi="PT Astra Serif"/>
          <w:sz w:val="24"/>
          <w:szCs w:val="24"/>
        </w:rPr>
        <w:t>наименование имущества</w:t>
      </w:r>
      <w:r>
        <w:rPr>
          <w:rFonts w:ascii="PT Astra Serif" w:hAnsi="PT Astra Serif"/>
          <w:i/>
          <w:sz w:val="24"/>
          <w:szCs w:val="24"/>
        </w:rPr>
        <w:t>)</w:t>
      </w:r>
    </w:p>
    <w:p>
      <w:pPr>
        <w:pStyle w:val="Normal"/>
        <w:spacing w:before="0" w:after="0"/>
        <w:jc w:val="both"/>
        <w:rPr/>
      </w:pPr>
      <w:r>
        <w:rPr>
          <w:rFonts w:ascii="PT Astra Serif" w:hAnsi="PT Astra Serif"/>
          <w:i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>обязуется:</w:t>
      </w:r>
    </w:p>
    <w:p>
      <w:pPr>
        <w:pStyle w:val="Normal"/>
        <w:tabs>
          <w:tab w:val="clear" w:pos="708"/>
          <w:tab w:val="left" w:pos="10632" w:leader="none"/>
        </w:tabs>
        <w:spacing w:before="0" w:after="0"/>
        <w:ind w:left="0" w:right="283" w:hanging="0"/>
        <w:jc w:val="both"/>
        <w:rPr/>
      </w:pPr>
      <w:r>
        <w:rPr>
          <w:rFonts w:ascii="PT Astra Serif" w:hAnsi="PT Astra Serif"/>
          <w:sz w:val="24"/>
          <w:szCs w:val="24"/>
        </w:rPr>
        <w:t xml:space="preserve">1) Соблюдать условия, содержащиеся в информационном сообщении о проведении продажи без объявления цены, опубликованной на официальном сайте РФ </w:t>
      </w:r>
      <w:hyperlink r:id="rId20">
        <w:r>
          <w:rPr>
            <w:rStyle w:val="Style14"/>
            <w:rFonts w:ascii="PT Astra Serif" w:hAnsi="PT Astra Serif"/>
            <w:sz w:val="24"/>
            <w:szCs w:val="24"/>
            <w:lang w:val="en-US"/>
          </w:rPr>
          <w:t>www</w:t>
        </w:r>
      </w:hyperlink>
      <w:hyperlink r:id="rId21">
        <w:r>
          <w:rPr>
            <w:rStyle w:val="Style14"/>
            <w:rFonts w:ascii="PT Astra Serif" w:hAnsi="PT Astra Serif"/>
            <w:sz w:val="24"/>
            <w:szCs w:val="24"/>
          </w:rPr>
          <w:t>.</w:t>
        </w:r>
      </w:hyperlink>
      <w:hyperlink r:id="rId22">
        <w:r>
          <w:rPr>
            <w:rStyle w:val="Style14"/>
            <w:rFonts w:ascii="PT Astra Serif" w:hAnsi="PT Astra Serif"/>
            <w:sz w:val="24"/>
            <w:szCs w:val="24"/>
            <w:lang w:val="en-US"/>
          </w:rPr>
          <w:t>torgi</w:t>
        </w:r>
      </w:hyperlink>
      <w:hyperlink r:id="rId23">
        <w:r>
          <w:rPr>
            <w:rStyle w:val="Style14"/>
            <w:rFonts w:ascii="PT Astra Serif" w:hAnsi="PT Astra Serif"/>
            <w:sz w:val="24"/>
            <w:szCs w:val="24"/>
          </w:rPr>
          <w:t>.</w:t>
        </w:r>
      </w:hyperlink>
      <w:hyperlink r:id="rId24">
        <w:r>
          <w:rPr>
            <w:rStyle w:val="Style14"/>
            <w:rFonts w:ascii="PT Astra Serif" w:hAnsi="PT Astra Serif"/>
            <w:sz w:val="24"/>
            <w:szCs w:val="24"/>
            <w:lang w:val="en-US"/>
          </w:rPr>
          <w:t>gov</w:t>
        </w:r>
      </w:hyperlink>
      <w:hyperlink r:id="rId25">
        <w:r>
          <w:rPr>
            <w:rStyle w:val="Style14"/>
            <w:rFonts w:ascii="PT Astra Serif" w:hAnsi="PT Astra Serif"/>
            <w:sz w:val="24"/>
            <w:szCs w:val="24"/>
          </w:rPr>
          <w:t>.</w:t>
        </w:r>
      </w:hyperlink>
      <w:hyperlink r:id="rId26">
        <w:r>
          <w:rPr>
            <w:rStyle w:val="Style14"/>
            <w:rFonts w:ascii="PT Astra Serif" w:hAnsi="PT Astra Serif"/>
            <w:sz w:val="24"/>
            <w:szCs w:val="24"/>
            <w:lang w:val="en-US"/>
          </w:rPr>
          <w:t>ru</w:t>
        </w:r>
      </w:hyperlink>
      <w:r>
        <w:rPr>
          <w:rFonts w:ascii="PT Astra Serif" w:hAnsi="PT Astra Serif"/>
          <w:sz w:val="24"/>
          <w:szCs w:val="24"/>
        </w:rPr>
        <w:t xml:space="preserve">. и на сайте </w:t>
      </w:r>
      <w:hyperlink r:id="rId27">
        <w:r>
          <w:rPr>
            <w:rStyle w:val="ListLabel54"/>
            <w:rFonts w:ascii="PT Astra Serif" w:hAnsi="PT Astra Serif"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hyperlink r:id="rId28">
        <w:r>
          <w:rPr>
            <w:rStyle w:val="ListLabel54"/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.oktregion.ru</w:t>
        </w:r>
      </w:hyperlink>
      <w:r>
        <w:rPr>
          <w:rFonts w:ascii="PT Astra Serif" w:hAnsi="PT Astra Serif"/>
          <w:sz w:val="24"/>
          <w:szCs w:val="24"/>
        </w:rPr>
        <w:t>, а также порядок продажи государственного имущества.</w:t>
      </w:r>
    </w:p>
    <w:p>
      <w:pPr>
        <w:pStyle w:val="Normal"/>
        <w:shd w:fill="FFFFFF" w:val="clear"/>
        <w:tabs>
          <w:tab w:val="clear" w:pos="708"/>
          <w:tab w:val="left" w:pos="1116" w:leader="none"/>
          <w:tab w:val="left" w:pos="1440" w:leader="underscore"/>
        </w:tabs>
        <w:spacing w:before="0" w:after="0"/>
        <w:ind w:left="0" w:right="283" w:hanging="0"/>
        <w:contextualSpacing/>
        <w:jc w:val="both"/>
        <w:rPr/>
      </w:pPr>
      <w:r>
        <w:rPr>
          <w:rFonts w:ascii="PT Astra Serif" w:hAnsi="PT Astra Serif"/>
          <w:sz w:val="24"/>
          <w:szCs w:val="24"/>
        </w:rPr>
        <w:t xml:space="preserve">2) В случае признания победителем, заключить с Продавцом договор купли продажи в течение 5 рабочих дней </w:t>
      </w:r>
      <w:r>
        <w:rPr>
          <w:rFonts w:ascii="PT Astra Serif" w:hAnsi="PT Astra Serif"/>
          <w:sz w:val="24"/>
          <w:szCs w:val="24"/>
          <w:lang w:val="en-US"/>
        </w:rPr>
        <w:t>c</w:t>
      </w:r>
      <w:r>
        <w:rPr>
          <w:rFonts w:ascii="PT Astra Serif" w:hAnsi="PT Astra Serif"/>
          <w:sz w:val="24"/>
          <w:szCs w:val="24"/>
        </w:rPr>
        <w:t>о дня подведения итогов продажи и уплатить Продавцу стоимость имущества, установленную по результатам продажи, в сроки,</w:t>
      </w:r>
      <w:r>
        <w:rPr>
          <w:rFonts w:ascii="PT Astra Serif" w:hAnsi="PT Astra Serif"/>
          <w:color w:val="FF000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определяемые договором купли – продажи, но </w:t>
      </w:r>
      <w:r>
        <w:rPr>
          <w:rFonts w:ascii="PT Astra Serif" w:hAnsi="PT Astra Serif"/>
          <w:spacing w:val="-6"/>
          <w:sz w:val="24"/>
          <w:szCs w:val="24"/>
        </w:rPr>
        <w:t>не позднее</w:t>
      </w:r>
      <w:r>
        <w:rPr>
          <w:rFonts w:ascii="PT Astra Serif" w:hAnsi="PT Astra Serif"/>
          <w:color w:val="000000"/>
          <w:spacing w:val="-6"/>
          <w:sz w:val="24"/>
          <w:szCs w:val="24"/>
        </w:rPr>
        <w:t xml:space="preserve"> 20 дней, следующих за днем заключения договора. </w:t>
      </w:r>
    </w:p>
    <w:p>
      <w:pPr>
        <w:pStyle w:val="Normal"/>
        <w:spacing w:before="0" w:after="0"/>
        <w:ind w:left="0" w:right="283" w:hanging="0"/>
        <w:jc w:val="both"/>
        <w:rPr/>
      </w:pPr>
      <w:r>
        <w:rPr>
          <w:rFonts w:ascii="PT Astra Serif" w:hAnsi="PT Astra Serif"/>
          <w:b/>
          <w:sz w:val="24"/>
          <w:szCs w:val="24"/>
        </w:rPr>
        <w:t>Настоящим Претендент удостоверяет, что ознакомлен с состоянием предмета торгов и согласен с условиями продажи</w:t>
      </w:r>
      <w:r>
        <w:rPr>
          <w:rFonts w:ascii="PT Astra Serif" w:hAnsi="PT Astra Serif"/>
          <w:sz w:val="24"/>
          <w:szCs w:val="24"/>
        </w:rPr>
        <w:t xml:space="preserve">. </w:t>
      </w:r>
    </w:p>
    <w:p>
      <w:pPr>
        <w:pStyle w:val="Normal"/>
        <w:spacing w:before="0" w:after="0"/>
        <w:ind w:left="0" w:right="283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Поданная заявка является поступившим предложением (офертой) претендента, выражающим его намерение считать себя заключившим с продавцом договор купли-продажи по предлагаемой претендентом цене приобретения.</w:t>
      </w:r>
    </w:p>
    <w:p>
      <w:pPr>
        <w:pStyle w:val="Normal"/>
        <w:spacing w:before="0" w:after="0"/>
        <w:ind w:left="0" w:right="283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Одновременно с заявкой предоставляются документы согласно перечня содержащиеся в информационном сообщении о проведении продажи. </w:t>
      </w:r>
    </w:p>
    <w:p>
      <w:pPr>
        <w:pStyle w:val="Normal"/>
        <w:spacing w:before="0" w:after="0"/>
        <w:ind w:left="0" w:right="283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Уплата НДС осуществляется Покупателем (Продавцом, в случае если Покупателем является физическое лицо, не являющееся индивидуальным предпринимателем) согласно пункту 3 статьи 161 Налогового кодекса Российской Федерации.</w:t>
      </w:r>
    </w:p>
    <w:p>
      <w:pPr>
        <w:pStyle w:val="Normal"/>
        <w:spacing w:before="0" w:after="0"/>
        <w:ind w:left="0" w:right="283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Заявитель подтверждает, что ознакомлен с положениями Федерального закона от 27.07.2006 № 152-ФЗ                                         «О персональных данных», права и обязанности в области защиты персональных данных ему разъяснены.</w:t>
      </w:r>
    </w:p>
    <w:p>
      <w:pPr>
        <w:pStyle w:val="Normal"/>
        <w:spacing w:before="0" w:after="0"/>
        <w:ind w:left="0" w:right="283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>
      <w:pPr>
        <w:pStyle w:val="Normal"/>
        <w:spacing w:before="0" w:after="0"/>
        <w:ind w:left="-284" w:right="-165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before="0" w:after="0"/>
        <w:ind w:left="-284" w:right="-165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>Подпись Претендента (его полномочного представителя).</w:t>
      </w:r>
    </w:p>
    <w:p>
      <w:pPr>
        <w:pStyle w:val="Normal"/>
        <w:spacing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                          __________________________________________</w:t>
      </w:r>
    </w:p>
    <w:p>
      <w:pPr>
        <w:pStyle w:val="Normal"/>
        <w:spacing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(подпись)                                                                                            (расшифровка подписи)</w:t>
      </w:r>
    </w:p>
    <w:p>
      <w:pPr>
        <w:pStyle w:val="Normal"/>
        <w:spacing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М.П.                                              "_____" ____________ 20__ г.</w:t>
      </w:r>
      <w:r>
        <w:br w:type="page"/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ind w:left="4646" w:right="0" w:hanging="0"/>
        <w:jc w:val="right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 информационному сообщению</w:t>
      </w:r>
    </w:p>
    <w:p>
      <w:pPr>
        <w:pStyle w:val="Normal"/>
        <w:spacing w:lineRule="auto" w:line="240" w:before="0" w:after="0"/>
        <w:ind w:left="4646" w:right="0" w:hanging="0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646" w:right="0" w:hanging="0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ОПИСЬ</w:t>
      </w:r>
    </w:p>
    <w:p>
      <w:pPr>
        <w:pStyle w:val="Normal"/>
        <w:spacing w:lineRule="auto" w:line="240" w:before="53" w:after="0"/>
        <w:ind w:left="2731" w:right="0" w:hanging="0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документов на участие в продаже имущества</w:t>
      </w:r>
    </w:p>
    <w:p>
      <w:pPr>
        <w:pStyle w:val="Normal"/>
        <w:spacing w:lineRule="auto" w:line="240" w:before="0" w:after="0"/>
        <w:ind w:left="0" w:right="1152" w:firstLine="2741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ind w:left="0" w:right="-1" w:hanging="0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10206" w:leader="underscore"/>
        </w:tabs>
        <w:spacing w:lineRule="auto" w:line="240" w:before="48" w:after="0"/>
        <w:ind w:left="0" w:right="-1" w:firstLine="2741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(наименование и адрес местонахождения имущества)     </w:t>
      </w:r>
    </w:p>
    <w:p>
      <w:pPr>
        <w:pStyle w:val="Normal"/>
        <w:tabs>
          <w:tab w:val="clear" w:pos="708"/>
          <w:tab w:val="left" w:pos="10206" w:leader="underscore"/>
        </w:tabs>
        <w:spacing w:lineRule="auto" w:line="240" w:before="48" w:after="0"/>
        <w:ind w:left="0" w:right="-1" w:hanging="0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представленных</w:t>
        <w:tab/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</w:t>
      </w:r>
    </w:p>
    <w:p>
      <w:pPr>
        <w:pStyle w:val="Normal"/>
        <w:spacing w:lineRule="auto" w:line="240" w:before="43" w:after="0"/>
        <w:ind w:left="245" w:right="0" w:hanging="0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tbl>
      <w:tblPr>
        <w:tblW w:w="9896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614"/>
        <w:gridCol w:w="2647"/>
        <w:gridCol w:w="2098"/>
      </w:tblGrid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ind w:left="4646" w:right="0" w:hanging="0"/>
        <w:jc w:val="right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 информационному сообщению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Договор №_________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купли-продажи движимого имущества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(примерный)</w:t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35"/>
        <w:gridCol w:w="3513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пгт. Октябрьское                                                       </w:t>
            </w:r>
          </w:p>
        </w:tc>
        <w:tc>
          <w:tcPr>
            <w:tcW w:w="343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51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«____»__________20___ года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Муниципальное образование Октябрьский район Ханты-Мансийского автономного округа - Югры, представляемое Комитетом по управлению муниципальной собственностью администрации Октябрьского района, именуемый в дальнейшем Продавец, в лице ____________, действующего на основании _________, с одной стороны, и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______________________________, именуемый в дальнейшем Покупатель, в лице _________________,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действующего на основании ________, с другой стороны, совместно именуемые Стороны, на основании решения _____ комиссии __________________ (протокол _____________ от __ ______ 20__ года № _____), заключили настоящий договор (далее – договор) о нижеследующем: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  <w:tab w:val="left" w:pos="3969" w:leader="none"/>
        </w:tabs>
        <w:spacing w:lineRule="auto" w:line="240" w:before="0" w:after="0"/>
        <w:contextualSpacing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Предмет договора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08"/>
          <w:tab w:val="left" w:pos="142" w:leader="none"/>
          <w:tab w:val="left" w:pos="851" w:leader="none"/>
        </w:tabs>
        <w:spacing w:lineRule="auto" w:line="240" w:before="0" w:after="0"/>
        <w:ind w:left="0" w:right="0" w:firstLine="426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Продавец обязуется передать в собственность Покупателя, а Покупатель обязуется принять транспортное средство ________________________ года изготовления (далее – имущество):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851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Данные транспортного средства в соответствии с паспортом транспортного средства __________________, выданным ____________________________: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номер (VIN)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Марка, модель ТС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Категория ТС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Год изготовления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Модель, № двигателя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Шасси (рама) №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Кузов (прицеп) №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 кузова (кабины)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Организация-изготовитель ТС (страна)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Свидетельство о регистрации ТС – _________________________________________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Регистрационный знак – __________________________________________________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Имущество входит в состав казны муниципального образования Октябрьский район Ханты-Мансийского автономного округа – Югры. 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1.2. На момент заключения договора имущество не заложено, не арестовано, не передано в аренду или безвозмездное пользование, не обременено иными правами третьих лиц.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1.3. 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righ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contextualSpacing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 Цена и порядок расчетов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 Цена имущества составляет ______________ (_____________) рублей, в том числе НДС в размере ____%, что составляет _________(__________) рублей.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Уплата НДС осуществляется Покупателем (Продавцом, в случае если Покупателем является физическое лицо) согласно пункту 3 статьи 161 Налогового кодекса Российской Федерации (абзац включается в случае, если сделка с объектом облагается НДС).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 Задаток, полученный от Покупателя, на основании договора о задатке от ____ года №___, в размере _____________ (___________) рублей, засчитывается в счет оплаты имущества.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2.3. Покупатель перечисляет подлежащую оплате сумму, указанную в пункте 2.1 договора, за вычетом задатка и без учета НДС, не позднее 20 дней, следующих за днем заключения договора, по следующим реквизитам: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Получатель: р/с 40101810565770510001 в РКЦ г. Ханты-Мансийска УФК по ХМАО-Югре БИК 047162000, получатель ИНН 8614001650 КПП 861401001 (Комитет по управлению муниципальной собственностью) КБК 070 114 02053 05 0000 410 ОКТМО 71821000; назначение платежа: «Договор купли-продажи от _____________ № ______ Ф.И.О. (наименование) плательщика».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2.4. Обязательство Покупателя по оплате имущества считается исполненным со дня зачисления денежных средств в полном объеме на счет, указанный в пункте 2.3 договора.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Ответственность Сторон и порядок урегулирования споров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законодательством Российской Федерации.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3.2. В случае неисполнения Покупателем обязанности по оплате цены имущества в срок, установленный пунктом 2.3 договора, договор считается расторгнутым со дня, следующего за днем окончания такого срока. В данном случае задаток, полученный Продавцом от Покупателя, в соответствии с пунктом 2 статьи 381 Гражданского кодекса Российской Федерации не возвращается.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3.3. За нарушение срока исполнения обязательства, предусмотренного пунктом 4.4 договора, Покупатель уплачивает Продавцу штраф в размере 50% (пятьдесят процентов) от цены имущества.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3.4. Споры между Сторонами подлежат разрешению в суде.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Заключительные положения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4.1. Договор вступает в силу со дня его подписания Сторонами и действует до полного исполнения ими принятых на себя обязательств.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4.2. Все изменения к договору действительны, если они оформлены в письменном виде и подписаны Сторонами.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4.3. Передача имущества Продавцом и принятие его Покупателем осуществляется по передаточному акту, подписываемому Сторонами, не позднее 5 рабочих дней со дня зачисления цены имущества на расчетный счет Продавца.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момента подписания настоящего договора Покупатель ознакомился с состоянием имущества и технической документацией к нему.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4.4. Покупатель обязуется обеспечить прекращение действующей регистрации имущества в срок не позднее 10 дней со дня подписания передаточного акта.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4.5. В остальном, что не предусмотрено договором, Стороны руководствуются законодательством Российской Федерации.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4.6. Договор составлен в двух экземплярах: по одному для каждой из Сторон.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Реквизиты и подписи Сторон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720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8"/>
        <w:gridCol w:w="717"/>
        <w:gridCol w:w="4685"/>
      </w:tblGrid>
      <w:tr>
        <w:trPr/>
        <w:tc>
          <w:tcPr>
            <w:tcW w:w="4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7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Покупатель:</w:t>
            </w:r>
          </w:p>
        </w:tc>
      </w:tr>
      <w:tr>
        <w:trPr/>
        <w:tc>
          <w:tcPr>
            <w:tcW w:w="4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71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</w:t>
            </w:r>
          </w:p>
        </w:tc>
      </w:tr>
      <w:tr>
        <w:trPr/>
        <w:tc>
          <w:tcPr>
            <w:tcW w:w="4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Юридический адрес: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628100, Россия, Тюменская область, ХМАО-Югра,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пгт. Октябрьское, ул. Ленина, д.42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Банковские реквизиты: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ИНН/КПП 8614001650/861401001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р/сч. 4010181090000010001 РКЦ Ханты-Мансийск, БИК 047162000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71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35" w:leader="none"/>
              </w:tabs>
              <w:spacing w:lineRule="auto" w:line="240" w:before="0" w:after="0"/>
              <w:ind w:left="12" w:right="0" w:hanging="12"/>
              <w:rPr/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Заместитель главы Октябрьского района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вопросам муниципальной собственности, недропользования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 председатель Комитета по управлению муниципальной собственностью администрации Октябрьского района</w:t>
            </w:r>
          </w:p>
        </w:tc>
        <w:tc>
          <w:tcPr>
            <w:tcW w:w="71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75" w:leader="none"/>
              </w:tabs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_____________________/______________/</w:t>
            </w:r>
          </w:p>
          <w:p>
            <w:pPr>
              <w:pStyle w:val="Normal"/>
              <w:tabs>
                <w:tab w:val="clear" w:pos="708"/>
                <w:tab w:val="left" w:pos="4575" w:leader="none"/>
              </w:tabs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М.П.     </w:t>
            </w:r>
          </w:p>
        </w:tc>
        <w:tc>
          <w:tcPr>
            <w:tcW w:w="717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__________________  /______________/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 приема - передачи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договору купли-продажи от «___» «__________» № «_____________»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292"/>
        <w:gridCol w:w="3656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пгт. Октябрьское                                                       </w:t>
            </w:r>
          </w:p>
        </w:tc>
        <w:tc>
          <w:tcPr>
            <w:tcW w:w="329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65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«____»__________20___ года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Муниципальное образование Октябрьский район Ханты-Мансийского автономного округа - Югры, представляемое Комитетом по управлению муниципальной собственностью администрации Октябрьского района, именуемый в дальнейшем Продавец, в лице ____________, действующего на основании _________, с одной стороны, и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______________________________, именуемый в дальнейшем Покупатель, в лице _________________,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действующего на основании ________, с другой стороны, совместно именуемые Стороны, на основании решения _____ комиссии __________________ (протокол _____________ от __ ______ 20__ года № _____), составили настоящий акт о нижеследующем: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ascii="PT Astra Serif" w:hAnsi="PT Astra Serif"/>
          <w:sz w:val="24"/>
          <w:szCs w:val="24"/>
        </w:rPr>
        <w:t xml:space="preserve">По настоящему акту Продавец передает, а Покупатель принимает в соответствии с договором купли-продажи от «____» № «__________» </w:t>
      </w:r>
      <w:r>
        <w:rPr>
          <w:rFonts w:ascii="PT Astra Serif" w:hAnsi="PT Astra Serif"/>
          <w:sz w:val="24"/>
          <w:szCs w:val="24"/>
          <w:lang w:eastAsia="ru-RU"/>
        </w:rPr>
        <w:t>транспортное средство ________________________ года изготовления (далее – имущество):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Данные транспортного средства в соответствии с паспортом транспортного средства __________________, выданным ____________________________: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Идентификационный номер (VIN)</w:t>
        <w:tab/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Марка, модель ТС</w:t>
        <w:tab/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Наименование</w:t>
        <w:tab/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Категория ТС</w:t>
        <w:tab/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Год изготовления</w:t>
        <w:tab/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Модель, № двигателя</w:t>
        <w:tab/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Шасси (рама) №</w:t>
        <w:tab/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Кузов (прицеп) №</w:t>
        <w:tab/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Цвет кузова (кабины)</w:t>
        <w:tab/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Организация-изготовитель ТС (страна)</w:t>
        <w:tab/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Свидетельство о регистрации ТС – _________________________________________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Регистрационный знак – __________________________________________________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Претензий «Покупатель» по приобретенному имуществу не имеет.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Настоящий акт составлен и подписан в двух экземплярах, имеющих равную юридическую силу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Продавец: 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Покупатель: 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right="0" w:firstLine="426"/>
        <w:jc w:val="both"/>
        <w:rPr/>
      </w:pPr>
      <w:r>
        <w:rPr/>
      </w:r>
    </w:p>
    <w:sectPr>
      <w:type w:val="nextPage"/>
      <w:pgSz w:w="11906" w:h="16838"/>
      <w:pgMar w:left="1134" w:right="567" w:header="0" w:top="709" w:footer="0" w:bottom="568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25" w:hanging="420"/>
      </w:pPr>
      <w:rPr>
        <w:sz w:val="24"/>
        <w:b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1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cs="Times New Roman"/>
      </w:rPr>
    </w:lvl>
  </w:abstractNum>
  <w:abstractNum w:abstractNumId="2">
    <w:lvl w:ilvl="0">
      <w:start w:val="1"/>
      <w:numFmt w:val="decimal"/>
      <w:lvlText w:val="2.%1."/>
      <w:lvlJc w:val="left"/>
      <w:pPr>
        <w:ind w:left="0" w:hanging="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945" w:hanging="945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sz w:val="24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23" w:hanging="9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86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FooterChar">
    <w:name w:val="Footer Char"/>
    <w:basedOn w:val="DefaultParagraphFont"/>
    <w:qFormat/>
    <w:rPr>
      <w:rFonts w:ascii="Calibri" w:hAnsi="Calibri" w:eastAsia="Times New Roman" w:cs="Times New Roman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4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HeaderChar">
    <w:name w:val="Header Char"/>
    <w:basedOn w:val="DefaultParagraphFont"/>
    <w:qFormat/>
    <w:rPr>
      <w:rFonts w:ascii="Calibri" w:hAnsi="Calibri" w:eastAsia="Times New Roman" w:cs="Times New Roman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ascii="Times New Roman" w:hAnsi="Times New Roman" w:cs="Times New Roman"/>
      <w:sz w:val="24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ascii="Times New Roman" w:hAnsi="Times New Roman" w:cs="Times New Roman"/>
      <w:sz w:val="24"/>
    </w:rPr>
  </w:style>
  <w:style w:type="character" w:styleId="ListLabel28">
    <w:name w:val="ListLabel 28"/>
    <w:qFormat/>
    <w:rPr>
      <w:rFonts w:ascii="Times New Roman" w:hAnsi="Times New Roman"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  <w:sz w:val="24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ascii="Times New Roman" w:hAnsi="Times New Roman"/>
      <w:color w:val="0000FF"/>
      <w:sz w:val="24"/>
      <w:szCs w:val="24"/>
      <w:u w:val="single"/>
      <w:lang w:eastAsia="ru-RU"/>
    </w:rPr>
  </w:style>
  <w:style w:type="character" w:styleId="ListLabel46">
    <w:name w:val="ListLabel 46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styleId="ListLabel47">
    <w:name w:val="ListLabel 47"/>
    <w:qFormat/>
    <w:rPr>
      <w:rFonts w:ascii="Times New Roman" w:hAnsi="Times New Roman"/>
      <w:sz w:val="24"/>
      <w:szCs w:val="24"/>
      <w:u w:val="single"/>
      <w:lang w:eastAsia="ru-RU"/>
    </w:rPr>
  </w:style>
  <w:style w:type="character" w:styleId="ListLabel48">
    <w:name w:val="ListLabel 48"/>
    <w:qFormat/>
    <w:rPr>
      <w:rFonts w:ascii="Times New Roman" w:hAnsi="Times New Roman"/>
      <w:color w:val="0000FF"/>
      <w:sz w:val="24"/>
      <w:szCs w:val="24"/>
      <w:u w:val="single"/>
      <w:lang w:val="en-US" w:eastAsia="ru-RU"/>
    </w:rPr>
  </w:style>
  <w:style w:type="character" w:styleId="ListLabel49">
    <w:name w:val="ListLabel 49"/>
    <w:qFormat/>
    <w:rPr>
      <w:rFonts w:ascii="Times New Roman" w:hAnsi="Times New Roman"/>
      <w:sz w:val="24"/>
      <w:szCs w:val="24"/>
      <w:lang w:eastAsia="ru-RU"/>
    </w:rPr>
  </w:style>
  <w:style w:type="character" w:styleId="ListLabel50">
    <w:name w:val="ListLabel 50"/>
    <w:qFormat/>
    <w:rPr>
      <w:rFonts w:ascii="Times New Roman" w:hAnsi="Times New Roman"/>
      <w:sz w:val="24"/>
      <w:szCs w:val="24"/>
      <w:lang w:eastAsia="ru-RU"/>
    </w:rPr>
  </w:style>
  <w:style w:type="character" w:styleId="ListLabel51">
    <w:name w:val="ListLabel 51"/>
    <w:qFormat/>
    <w:rPr>
      <w:rFonts w:ascii="Times New Roman" w:hAnsi="Times New Roman"/>
      <w:sz w:val="20"/>
      <w:szCs w:val="20"/>
      <w:lang w:val="en-US"/>
    </w:rPr>
  </w:style>
  <w:style w:type="character" w:styleId="ListLabel52">
    <w:name w:val="ListLabel 52"/>
    <w:qFormat/>
    <w:rPr>
      <w:rFonts w:ascii="Times New Roman" w:hAnsi="Times New Roman"/>
      <w:sz w:val="20"/>
      <w:szCs w:val="20"/>
    </w:rPr>
  </w:style>
  <w:style w:type="character" w:styleId="ListLabel53">
    <w:name w:val="ListLabel 53"/>
    <w:qFormat/>
    <w:rPr>
      <w:rFonts w:ascii="Times New Roman" w:hAnsi="Times New Roman"/>
      <w:color w:val="0000FF"/>
      <w:u w:val="single"/>
      <w:lang w:val="en-US" w:eastAsia="ru-RU"/>
    </w:rPr>
  </w:style>
  <w:style w:type="character" w:styleId="ListLabel54">
    <w:name w:val="ListLabel 54"/>
    <w:qFormat/>
    <w:rPr>
      <w:rFonts w:ascii="Times New Roman" w:hAnsi="Times New Roman"/>
      <w:color w:val="0000FF"/>
      <w:u w:val="single"/>
      <w:lang w:eastAsia="ru-RU"/>
    </w:rPr>
  </w:style>
  <w:style w:type="character" w:styleId="ListLabel55">
    <w:name w:val="ListLabel 55"/>
    <w:qFormat/>
    <w:rPr>
      <w:rFonts w:ascii="Times New Roman" w:hAnsi="Times New Roman" w:cs="Times New Roman"/>
      <w:b/>
      <w:sz w:val="24"/>
    </w:rPr>
  </w:style>
  <w:style w:type="character" w:styleId="ListLabel56">
    <w:name w:val="ListLabel 56"/>
    <w:qFormat/>
    <w:rPr>
      <w:rFonts w:ascii="Times New Roman" w:hAnsi="Times New Roman" w:cs="Times New Roman"/>
      <w:b/>
      <w:sz w:val="24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4"/>
    </w:rPr>
  </w:style>
  <w:style w:type="character" w:styleId="ListLabel65">
    <w:name w:val="ListLabel 65"/>
    <w:qFormat/>
    <w:rPr>
      <w:rFonts w:ascii="Times New Roman" w:hAnsi="Times New Roman" w:cs="Times New Roman"/>
      <w:sz w:val="24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Times New Roman" w:hAnsi="Times New Roman" w:cs="Times New Roman"/>
      <w:sz w:val="24"/>
    </w:rPr>
  </w:style>
  <w:style w:type="character" w:styleId="ListLabel75">
    <w:name w:val="ListLabel 75"/>
    <w:qFormat/>
    <w:rPr>
      <w:rFonts w:ascii="Times New Roman" w:hAnsi="Times New Roman" w:cs="Times New Roman"/>
      <w:sz w:val="24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  <w:sz w:val="24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ascii="PT Astra Serif" w:hAnsi="PT Astra Serif"/>
      <w:color w:val="0000FF"/>
      <w:sz w:val="24"/>
      <w:szCs w:val="24"/>
      <w:u w:val="single"/>
      <w:lang w:eastAsia="ru-RU"/>
    </w:rPr>
  </w:style>
  <w:style w:type="character" w:styleId="ListLabel93">
    <w:name w:val="ListLabel 93"/>
    <w:qFormat/>
    <w:rPr>
      <w:rFonts w:ascii="PT Astra Serif" w:hAnsi="PT Astra Serif"/>
      <w:sz w:val="24"/>
      <w:szCs w:val="24"/>
      <w:u w:val="single"/>
      <w:lang w:val="en-US" w:eastAsia="ru-RU"/>
    </w:rPr>
  </w:style>
  <w:style w:type="character" w:styleId="ListLabel94">
    <w:name w:val="ListLabel 94"/>
    <w:qFormat/>
    <w:rPr>
      <w:rFonts w:ascii="PT Astra Serif" w:hAnsi="PT Astra Serif"/>
      <w:sz w:val="24"/>
      <w:szCs w:val="24"/>
      <w:u w:val="single"/>
      <w:lang w:eastAsia="ru-RU"/>
    </w:rPr>
  </w:style>
  <w:style w:type="character" w:styleId="ListLabel95">
    <w:name w:val="ListLabel 95"/>
    <w:qFormat/>
    <w:rPr>
      <w:rFonts w:ascii="PT Astra Serif" w:hAnsi="PT Astra Serif"/>
      <w:color w:val="0000FF"/>
      <w:sz w:val="24"/>
      <w:szCs w:val="24"/>
      <w:u w:val="single"/>
      <w:lang w:val="en-US" w:eastAsia="ru-RU"/>
    </w:rPr>
  </w:style>
  <w:style w:type="character" w:styleId="ListLabel96">
    <w:name w:val="ListLabel 96"/>
    <w:qFormat/>
    <w:rPr>
      <w:rFonts w:ascii="PT Astra Serif" w:hAnsi="PT Astra Serif"/>
      <w:sz w:val="24"/>
      <w:szCs w:val="24"/>
      <w:lang w:eastAsia="ru-RU"/>
    </w:rPr>
  </w:style>
  <w:style w:type="character" w:styleId="ListLabel97">
    <w:name w:val="ListLabel 97"/>
    <w:qFormat/>
    <w:rPr>
      <w:rFonts w:ascii="PT Astra Serif" w:hAnsi="PT Astra Serif"/>
      <w:sz w:val="24"/>
      <w:szCs w:val="24"/>
      <w:lang w:eastAsia="ru-RU"/>
    </w:rPr>
  </w:style>
  <w:style w:type="character" w:styleId="ListLabel98">
    <w:name w:val="ListLabel 98"/>
    <w:qFormat/>
    <w:rPr>
      <w:rFonts w:ascii="PT Astra Serif" w:hAnsi="PT Astra Serif"/>
      <w:sz w:val="24"/>
      <w:szCs w:val="24"/>
      <w:lang w:val="en-US"/>
    </w:rPr>
  </w:style>
  <w:style w:type="character" w:styleId="ListLabel99">
    <w:name w:val="ListLabel 99"/>
    <w:qFormat/>
    <w:rPr>
      <w:rFonts w:ascii="PT Astra Serif" w:hAnsi="PT Astra Serif"/>
      <w:sz w:val="24"/>
      <w:szCs w:val="24"/>
    </w:rPr>
  </w:style>
  <w:style w:type="character" w:styleId="ListLabel100">
    <w:name w:val="ListLabel 100"/>
    <w:qFormat/>
    <w:rPr>
      <w:rFonts w:ascii="PT Astra Serif" w:hAnsi="PT Astra Serif"/>
      <w:color w:val="0000FF"/>
      <w:sz w:val="24"/>
      <w:szCs w:val="24"/>
      <w:u w:val="single"/>
      <w:lang w:val="en-US" w:eastAsia="ru-RU"/>
    </w:rPr>
  </w:style>
  <w:style w:type="character" w:styleId="ListLabel101">
    <w:name w:val="ListLabel 101"/>
    <w:qFormat/>
    <w:rPr>
      <w:rFonts w:ascii="PT Astra Serif" w:hAnsi="PT Astra Serif"/>
      <w:color w:val="0000FF"/>
      <w:sz w:val="24"/>
      <w:szCs w:val="24"/>
      <w:u w:val="single"/>
      <w:lang w:eastAsia="ru-RU"/>
    </w:rPr>
  </w:style>
  <w:style w:type="character" w:styleId="ListLabel102">
    <w:name w:val="ListLabel 102"/>
    <w:qFormat/>
    <w:rPr>
      <w:rFonts w:ascii="Times New Roman" w:hAnsi="Times New Roman" w:cs="Times New Roman"/>
      <w:b/>
      <w:sz w:val="24"/>
    </w:rPr>
  </w:style>
  <w:style w:type="character" w:styleId="ListLabel103">
    <w:name w:val="ListLabel 103"/>
    <w:qFormat/>
    <w:rPr>
      <w:rFonts w:ascii="Times New Roman" w:hAnsi="Times New Roman" w:cs="Times New Roman"/>
      <w:b/>
      <w:sz w:val="24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  <w:sz w:val="24"/>
    </w:rPr>
  </w:style>
  <w:style w:type="character" w:styleId="ListLabel112">
    <w:name w:val="ListLabel 112"/>
    <w:qFormat/>
    <w:rPr>
      <w:rFonts w:ascii="Times New Roman" w:hAnsi="Times New Roman" w:cs="Times New Roman"/>
      <w:sz w:val="24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ascii="Times New Roman" w:hAnsi="Times New Roman" w:cs="Times New Roman"/>
      <w:sz w:val="24"/>
    </w:rPr>
  </w:style>
  <w:style w:type="character" w:styleId="ListLabel122">
    <w:name w:val="ListLabel 122"/>
    <w:qFormat/>
    <w:rPr>
      <w:rFonts w:ascii="Times New Roman" w:hAnsi="Times New Roman" w:cs="Times New Roman"/>
      <w:sz w:val="24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  <w:sz w:val="24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ascii="PT Astra Serif" w:hAnsi="PT Astra Serif"/>
      <w:color w:val="0000FF"/>
      <w:sz w:val="24"/>
      <w:szCs w:val="24"/>
      <w:u w:val="single"/>
      <w:lang w:eastAsia="ru-RU"/>
    </w:rPr>
  </w:style>
  <w:style w:type="character" w:styleId="ListLabel140">
    <w:name w:val="ListLabel 140"/>
    <w:qFormat/>
    <w:rPr>
      <w:rFonts w:ascii="PT Astra Serif" w:hAnsi="PT Astra Serif"/>
      <w:sz w:val="24"/>
      <w:szCs w:val="24"/>
      <w:u w:val="single"/>
      <w:lang w:val="en-US" w:eastAsia="ru-RU"/>
    </w:rPr>
  </w:style>
  <w:style w:type="character" w:styleId="ListLabel141">
    <w:name w:val="ListLabel 141"/>
    <w:qFormat/>
    <w:rPr>
      <w:rFonts w:ascii="PT Astra Serif" w:hAnsi="PT Astra Serif"/>
      <w:sz w:val="24"/>
      <w:szCs w:val="24"/>
      <w:u w:val="single"/>
      <w:lang w:eastAsia="ru-RU"/>
    </w:rPr>
  </w:style>
  <w:style w:type="character" w:styleId="ListLabel142">
    <w:name w:val="ListLabel 142"/>
    <w:qFormat/>
    <w:rPr>
      <w:rFonts w:ascii="PT Astra Serif" w:hAnsi="PT Astra Serif"/>
      <w:color w:val="0000FF"/>
      <w:sz w:val="24"/>
      <w:szCs w:val="24"/>
      <w:u w:val="single"/>
      <w:lang w:val="en-US" w:eastAsia="ru-RU"/>
    </w:rPr>
  </w:style>
  <w:style w:type="character" w:styleId="ListLabel143">
    <w:name w:val="ListLabel 143"/>
    <w:qFormat/>
    <w:rPr>
      <w:rFonts w:ascii="PT Astra Serif" w:hAnsi="PT Astra Serif"/>
      <w:sz w:val="24"/>
      <w:szCs w:val="24"/>
      <w:lang w:eastAsia="ru-RU"/>
    </w:rPr>
  </w:style>
  <w:style w:type="character" w:styleId="ListLabel144">
    <w:name w:val="ListLabel 144"/>
    <w:qFormat/>
    <w:rPr>
      <w:rFonts w:ascii="PT Astra Serif" w:hAnsi="PT Astra Serif"/>
      <w:sz w:val="24"/>
      <w:szCs w:val="24"/>
      <w:lang w:eastAsia="ru-RU"/>
    </w:rPr>
  </w:style>
  <w:style w:type="character" w:styleId="ListLabel145">
    <w:name w:val="ListLabel 145"/>
    <w:qFormat/>
    <w:rPr>
      <w:rFonts w:ascii="PT Astra Serif" w:hAnsi="PT Astra Serif"/>
      <w:sz w:val="24"/>
      <w:szCs w:val="24"/>
      <w:lang w:val="en-US"/>
    </w:rPr>
  </w:style>
  <w:style w:type="character" w:styleId="ListLabel146">
    <w:name w:val="ListLabel 146"/>
    <w:qFormat/>
    <w:rPr>
      <w:rFonts w:ascii="PT Astra Serif" w:hAnsi="PT Astra Serif"/>
      <w:sz w:val="24"/>
      <w:szCs w:val="24"/>
    </w:rPr>
  </w:style>
  <w:style w:type="character" w:styleId="ListLabel147">
    <w:name w:val="ListLabel 147"/>
    <w:qFormat/>
    <w:rPr>
      <w:rFonts w:ascii="PT Astra Serif" w:hAnsi="PT Astra Serif"/>
      <w:color w:val="0000FF"/>
      <w:sz w:val="24"/>
      <w:szCs w:val="24"/>
      <w:u w:val="single"/>
      <w:lang w:val="en-US" w:eastAsia="ru-RU"/>
    </w:rPr>
  </w:style>
  <w:style w:type="character" w:styleId="ListLabel148">
    <w:name w:val="ListLabel 148"/>
    <w:qFormat/>
    <w:rPr>
      <w:rFonts w:ascii="PT Astra Serif" w:hAnsi="PT Astra Serif"/>
      <w:color w:val="0000FF"/>
      <w:sz w:val="24"/>
      <w:szCs w:val="24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32">
    <w:name w:val="Style32"/>
    <w:basedOn w:val="Normal"/>
    <w:qFormat/>
    <w:pPr>
      <w:widowControl w:val="false"/>
      <w:spacing w:lineRule="exact" w:line="254" w:before="0" w:after="0"/>
      <w:ind w:left="0" w:right="0" w:firstLine="57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31">
    <w:name w:val="Style13"/>
    <w:basedOn w:val="Normal"/>
    <w:qFormat/>
    <w:pPr>
      <w:widowControl w:val="false"/>
      <w:spacing w:lineRule="exact" w:line="250" w:before="0" w:after="0"/>
      <w:ind w:left="0" w:right="0" w:firstLine="571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berbank-ast.ru/" TargetMode="External"/><Relationship Id="rId4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6" Type="http://schemas.openxmlformats.org/officeDocument/2006/relationships/hyperlink" Target="http://www.sberbank-ast.ru/" TargetMode="External"/><Relationship Id="rId7" Type="http://schemas.openxmlformats.org/officeDocument/2006/relationships/hyperlink" Target="http://www.sberbank-ast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15" Type="http://schemas.openxmlformats.org/officeDocument/2006/relationships/hyperlink" Target="http://www.torgi.gov.ru/" TargetMode="External"/><Relationship Id="rId16" Type="http://schemas.openxmlformats.org/officeDocument/2006/relationships/hyperlink" Target="http://www.oktregion.ru/" TargetMode="External"/><Relationship Id="rId17" Type="http://schemas.openxmlformats.org/officeDocument/2006/relationships/hyperlink" Target="http://www.oktregion.ru/" TargetMode="External"/><Relationship Id="rId18" Type="http://schemas.openxmlformats.org/officeDocument/2006/relationships/hyperlink" Target="http://www.sberbank-ast.ru/" TargetMode="External"/><Relationship Id="rId19" Type="http://schemas.openxmlformats.org/officeDocument/2006/relationships/hyperlink" Target="mailto:kums@oktregion.ru" TargetMode="External"/><Relationship Id="rId20" Type="http://schemas.openxmlformats.org/officeDocument/2006/relationships/hyperlink" Target="http://www.torgi.gov.ru/" TargetMode="External"/><Relationship Id="rId21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Relationship Id="rId23" Type="http://schemas.openxmlformats.org/officeDocument/2006/relationships/hyperlink" Target="http://www.torgi.gov.ru/" TargetMode="External"/><Relationship Id="rId24" Type="http://schemas.openxmlformats.org/officeDocument/2006/relationships/hyperlink" Target="http://www.torgi.gov.ru/" TargetMode="External"/><Relationship Id="rId25" Type="http://schemas.openxmlformats.org/officeDocument/2006/relationships/hyperlink" Target="http://www.torgi.gov.ru/" TargetMode="External"/><Relationship Id="rId26" Type="http://schemas.openxmlformats.org/officeDocument/2006/relationships/hyperlink" Target="http://www.torgi.gov.ru/" TargetMode="External"/><Relationship Id="rId27" Type="http://schemas.openxmlformats.org/officeDocument/2006/relationships/hyperlink" Target="http://www.oktregion.ru/" TargetMode="External"/><Relationship Id="rId28" Type="http://schemas.openxmlformats.org/officeDocument/2006/relationships/hyperlink" Target="http://www.oktregion.ru/" TargetMode="Externa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Application>LibreOffice/6.2.7.1$Linux_X86_64 LibreOffice_project/20$Build-1</Application>
  <Pages>10</Pages>
  <Words>2393</Words>
  <Characters>19511</Characters>
  <CharactersWithSpaces>22610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2019-11-26T07:07:00Z</dcterms:created>
  <dc:creator>KovrigoKN</dc:creator>
  <dc:description/>
  <dc:language>ru-RU</dc:language>
  <cp:lastModifiedBy/>
  <cp:lastPrinted>2020-08-10T14:32:26Z</cp:lastPrinted>
  <dcterms:modified xsi:type="dcterms:W3CDTF">2020-11-10T09:14:08Z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