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hd w:fill="FFFFFF" w:val="clear"/>
        <w:rPr>
          <w:b/>
          <w:b/>
          <w:sz w:val="28"/>
          <w:szCs w:val="28"/>
        </w:rPr>
      </w:pPr>
      <w:r>
        <w:rPr>
          <w:b/>
          <w:sz w:val="28"/>
          <w:szCs w:val="28"/>
        </w:rPr>
      </w:r>
    </w:p>
    <w:tbl>
      <w:tblPr>
        <w:tblW w:w="10401" w:type="dxa"/>
        <w:jc w:val="left"/>
        <w:tblInd w:w="0" w:type="dxa"/>
        <w:tblCellMar>
          <w:top w:w="0" w:type="dxa"/>
          <w:left w:w="108" w:type="dxa"/>
          <w:bottom w:w="0" w:type="dxa"/>
          <w:right w:w="108" w:type="dxa"/>
        </w:tblCellMar>
        <w:tblLook w:val="01e0" w:noVBand="0" w:noHBand="0" w:firstRow="1" w:lastRow="1" w:firstColumn="1" w:lastColumn="1"/>
      </w:tblPr>
      <w:tblGrid>
        <w:gridCol w:w="5353"/>
        <w:gridCol w:w="5047"/>
      </w:tblGrid>
      <w:tr>
        <w:trPr>
          <w:trHeight w:val="2048" w:hRule="atLeast"/>
        </w:trPr>
        <w:tc>
          <w:tcPr>
            <w:tcW w:w="5353" w:type="dxa"/>
            <w:tcBorders/>
          </w:tcPr>
          <w:p>
            <w:pPr>
              <w:pStyle w:val="Normal"/>
              <w:tabs>
                <w:tab w:val="left" w:pos="708" w:leader="none"/>
              </w:tabs>
              <w:rPr>
                <w:bCs/>
                <w:sz w:val="28"/>
                <w:szCs w:val="28"/>
                <w:lang w:eastAsia="en-US"/>
              </w:rPr>
            </w:pPr>
            <w:r>
              <w:rPr>
                <w:bCs/>
                <w:sz w:val="28"/>
                <w:szCs w:val="28"/>
                <w:lang w:eastAsia="en-US"/>
              </w:rPr>
            </w:r>
          </w:p>
          <w:p>
            <w:pPr>
              <w:pStyle w:val="BodyText2"/>
              <w:tabs>
                <w:tab w:val="clear" w:pos="1418"/>
                <w:tab w:val="left" w:pos="708" w:leader="none"/>
              </w:tabs>
              <w:spacing w:before="0" w:after="0"/>
              <w:ind w:left="0" w:hanging="0"/>
              <w:jc w:val="left"/>
              <w:rPr>
                <w:bCs/>
                <w:sz w:val="28"/>
                <w:szCs w:val="28"/>
              </w:rPr>
            </w:pPr>
            <w:r>
              <w:rPr>
                <w:bCs/>
                <w:sz w:val="28"/>
                <w:szCs w:val="28"/>
              </w:rPr>
            </w:r>
          </w:p>
          <w:p>
            <w:pPr>
              <w:pStyle w:val="BodyText2"/>
              <w:tabs>
                <w:tab w:val="clear" w:pos="1418"/>
                <w:tab w:val="left" w:pos="708" w:leader="none"/>
              </w:tabs>
              <w:spacing w:before="0" w:after="0"/>
              <w:ind w:left="0" w:hanging="0"/>
              <w:jc w:val="left"/>
              <w:rPr>
                <w:bCs/>
                <w:sz w:val="28"/>
                <w:szCs w:val="28"/>
              </w:rPr>
            </w:pPr>
            <w:r>
              <w:rPr>
                <w:bCs/>
                <w:sz w:val="28"/>
                <w:szCs w:val="28"/>
              </w:rPr>
            </w:r>
          </w:p>
          <w:p>
            <w:pPr>
              <w:pStyle w:val="Style20"/>
              <w:shd w:fill="FFFFFF" w:val="clear"/>
              <w:jc w:val="left"/>
              <w:rPr>
                <w:sz w:val="28"/>
                <w:szCs w:val="28"/>
                <w:lang w:eastAsia="en-US"/>
              </w:rPr>
            </w:pPr>
            <w:r>
              <w:rPr>
                <w:sz w:val="28"/>
                <w:szCs w:val="28"/>
                <w:lang w:eastAsia="en-US"/>
              </w:rPr>
            </w:r>
          </w:p>
        </w:tc>
        <w:tc>
          <w:tcPr>
            <w:tcW w:w="5047" w:type="dxa"/>
            <w:tcBorders/>
          </w:tcPr>
          <w:p>
            <w:pPr>
              <w:pStyle w:val="Normal"/>
              <w:jc w:val="left"/>
              <w:rPr>
                <w:sz w:val="28"/>
                <w:szCs w:val="28"/>
                <w:lang w:eastAsia="en-US"/>
              </w:rPr>
            </w:pPr>
            <w:r>
              <w:rPr>
                <w:sz w:val="28"/>
                <w:szCs w:val="28"/>
                <w:lang w:eastAsia="en-US"/>
              </w:rPr>
              <w:t>УТВЕРЖДАЮ</w:t>
            </w:r>
          </w:p>
          <w:p>
            <w:pPr>
              <w:pStyle w:val="BodyText2"/>
              <w:tabs>
                <w:tab w:val="clear" w:pos="1418"/>
                <w:tab w:val="left" w:pos="708" w:leader="none"/>
              </w:tabs>
              <w:spacing w:before="0" w:after="0"/>
              <w:ind w:left="0" w:hanging="0"/>
              <w:jc w:val="left"/>
              <w:rPr>
                <w:bCs/>
                <w:sz w:val="28"/>
                <w:szCs w:val="28"/>
              </w:rPr>
            </w:pPr>
            <w:r>
              <w:rPr>
                <w:bCs/>
                <w:sz w:val="28"/>
                <w:szCs w:val="28"/>
              </w:rPr>
              <w:t>Руководитель  заказчика</w:t>
            </w:r>
          </w:p>
          <w:p>
            <w:pPr>
              <w:pStyle w:val="Normal"/>
              <w:jc w:val="left"/>
              <w:rPr>
                <w:sz w:val="28"/>
                <w:szCs w:val="28"/>
                <w:lang w:eastAsia="en-US"/>
              </w:rPr>
            </w:pPr>
            <w:r>
              <w:rPr>
                <w:i/>
                <w:sz w:val="28"/>
                <w:szCs w:val="28"/>
                <w:lang w:eastAsia="en-US"/>
              </w:rPr>
              <w:t>(иное должностное лицо, ответственное за осуществление закупки)</w:t>
            </w:r>
          </w:p>
          <w:p>
            <w:pPr>
              <w:pStyle w:val="BodyText2"/>
              <w:tabs>
                <w:tab w:val="clear" w:pos="1418"/>
                <w:tab w:val="left" w:pos="708" w:leader="none"/>
              </w:tabs>
              <w:spacing w:before="0" w:after="0"/>
              <w:ind w:left="0" w:hanging="0"/>
              <w:jc w:val="left"/>
              <w:rPr>
                <w:bCs/>
                <w:sz w:val="28"/>
                <w:szCs w:val="28"/>
              </w:rPr>
            </w:pPr>
            <w:r>
              <w:rPr>
                <w:bCs/>
                <w:sz w:val="28"/>
                <w:szCs w:val="28"/>
              </w:rPr>
            </w:r>
          </w:p>
          <w:p>
            <w:pPr>
              <w:pStyle w:val="BodyText2"/>
              <w:tabs>
                <w:tab w:val="clear" w:pos="1418"/>
                <w:tab w:val="left" w:pos="708" w:leader="none"/>
              </w:tabs>
              <w:spacing w:before="0" w:after="0"/>
              <w:ind w:left="0" w:hanging="0"/>
              <w:jc w:val="left"/>
              <w:rPr>
                <w:bCs/>
                <w:sz w:val="28"/>
                <w:szCs w:val="28"/>
              </w:rPr>
            </w:pPr>
            <w:r>
              <w:rPr>
                <w:sz w:val="28"/>
                <w:szCs w:val="28"/>
              </w:rPr>
              <w:t>_________________________ ФИО</w:t>
            </w:r>
          </w:p>
          <w:p>
            <w:pPr>
              <w:pStyle w:val="Style20"/>
              <w:shd w:fill="FFFFFF" w:val="clear"/>
              <w:jc w:val="left"/>
              <w:rPr>
                <w:sz w:val="28"/>
                <w:szCs w:val="28"/>
                <w:lang w:eastAsia="en-US"/>
              </w:rPr>
            </w:pPr>
            <w:r>
              <w:rPr>
                <w:sz w:val="28"/>
                <w:szCs w:val="28"/>
                <w:lang w:eastAsia="en-US"/>
              </w:rPr>
              <w:t xml:space="preserve">                       </w:t>
            </w:r>
            <w:r>
              <w:rPr>
                <w:sz w:val="28"/>
                <w:szCs w:val="28"/>
                <w:lang w:eastAsia="en-US"/>
              </w:rPr>
              <w:t>м.п.</w:t>
            </w:r>
          </w:p>
        </w:tc>
      </w:tr>
    </w:tbl>
    <w:p>
      <w:pPr>
        <w:pStyle w:val="Style20"/>
        <w:shd w:fill="FFFFFF" w:val="clear"/>
        <w:rPr>
          <w:b/>
          <w:b/>
          <w:sz w:val="28"/>
          <w:szCs w:val="28"/>
        </w:rPr>
      </w:pPr>
      <w:r>
        <w:rPr>
          <w:b/>
          <w:sz w:val="28"/>
          <w:szCs w:val="28"/>
        </w:rPr>
      </w:r>
    </w:p>
    <w:p>
      <w:pPr>
        <w:pStyle w:val="Style20"/>
        <w:shd w:fill="FFFFFF" w:val="clear"/>
        <w:rPr>
          <w:b/>
          <w:b/>
          <w:sz w:val="28"/>
          <w:szCs w:val="28"/>
        </w:rPr>
      </w:pPr>
      <w:r>
        <w:rPr>
          <w:b/>
          <w:sz w:val="28"/>
          <w:szCs w:val="28"/>
        </w:rPr>
        <w:tab/>
        <w:tab/>
        <w:t xml:space="preserve">                                              «</w:t>
      </w:r>
      <w:r>
        <w:rPr>
          <w:sz w:val="28"/>
          <w:szCs w:val="28"/>
          <w:u w:val="single"/>
        </w:rPr>
        <w:t xml:space="preserve">      </w:t>
      </w:r>
      <w:r>
        <w:rPr>
          <w:b/>
          <w:sz w:val="28"/>
          <w:szCs w:val="28"/>
        </w:rPr>
        <w:t xml:space="preserve">» </w:t>
      </w:r>
      <w:r>
        <w:rPr>
          <w:sz w:val="28"/>
          <w:szCs w:val="28"/>
          <w:u w:val="single"/>
        </w:rPr>
        <w:t xml:space="preserve">                         </w:t>
      </w:r>
      <w:r>
        <w:rPr>
          <w:b/>
          <w:sz w:val="28"/>
          <w:szCs w:val="28"/>
        </w:rPr>
        <w:t xml:space="preserve">20 </w:t>
      </w:r>
      <w:r>
        <w:rPr>
          <w:sz w:val="28"/>
          <w:szCs w:val="28"/>
          <w:u w:val="single"/>
        </w:rPr>
        <w:t xml:space="preserve">     </w:t>
      </w:r>
      <w:r>
        <w:rPr>
          <w:b/>
          <w:sz w:val="28"/>
          <w:szCs w:val="28"/>
        </w:rPr>
        <w:t xml:space="preserve"> г.</w:t>
      </w:r>
    </w:p>
    <w:p>
      <w:pPr>
        <w:pStyle w:val="Style20"/>
        <w:shd w:fill="FFFFFF" w:val="clear"/>
        <w:rPr>
          <w:b/>
          <w:b/>
          <w:sz w:val="28"/>
          <w:szCs w:val="28"/>
        </w:rPr>
      </w:pPr>
      <w:r>
        <w:rPr>
          <w:b/>
          <w:sz w:val="28"/>
          <w:szCs w:val="28"/>
        </w:rPr>
      </w:r>
    </w:p>
    <w:p>
      <w:pPr>
        <w:pStyle w:val="Style20"/>
        <w:shd w:fill="FFFFFF" w:val="clear"/>
        <w:rPr>
          <w:b/>
          <w:b/>
          <w:sz w:val="28"/>
          <w:szCs w:val="28"/>
        </w:rPr>
      </w:pPr>
      <w:r>
        <w:rPr>
          <w:b/>
          <w:sz w:val="28"/>
          <w:szCs w:val="28"/>
        </w:rPr>
        <w:tab/>
        <w:tab/>
        <w:tab/>
        <w:tab/>
        <w:tab/>
        <w:tab/>
      </w:r>
    </w:p>
    <w:p>
      <w:pPr>
        <w:pStyle w:val="2"/>
        <w:numPr>
          <w:ilvl w:val="0"/>
          <w:numId w:val="0"/>
        </w:numPr>
        <w:ind w:left="360" w:hanging="0"/>
        <w:rPr>
          <w:sz w:val="28"/>
          <w:szCs w:val="28"/>
        </w:rPr>
      </w:pPr>
      <w:r>
        <w:rPr>
          <w:sz w:val="28"/>
          <w:szCs w:val="28"/>
        </w:rPr>
      </w:r>
    </w:p>
    <w:p>
      <w:pPr>
        <w:pStyle w:val="2"/>
        <w:numPr>
          <w:ilvl w:val="0"/>
          <w:numId w:val="0"/>
        </w:numPr>
        <w:ind w:left="360" w:hanging="0"/>
        <w:rPr>
          <w:sz w:val="28"/>
          <w:szCs w:val="28"/>
        </w:rPr>
      </w:pPr>
      <w:r>
        <w:rPr>
          <w:sz w:val="28"/>
          <w:szCs w:val="28"/>
        </w:rPr>
      </w:r>
    </w:p>
    <w:p>
      <w:pPr>
        <w:pStyle w:val="2"/>
        <w:numPr>
          <w:ilvl w:val="0"/>
          <w:numId w:val="0"/>
        </w:numPr>
        <w:ind w:left="360" w:hanging="0"/>
        <w:rPr>
          <w:sz w:val="28"/>
          <w:szCs w:val="28"/>
        </w:rPr>
      </w:pPr>
      <w:r>
        <w:rPr>
          <w:sz w:val="28"/>
          <w:szCs w:val="28"/>
        </w:rPr>
      </w:r>
    </w:p>
    <w:p>
      <w:pPr>
        <w:pStyle w:val="2"/>
        <w:numPr>
          <w:ilvl w:val="0"/>
          <w:numId w:val="0"/>
        </w:numPr>
        <w:ind w:left="360" w:hanging="0"/>
        <w:rPr>
          <w:sz w:val="28"/>
          <w:szCs w:val="28"/>
        </w:rPr>
      </w:pPr>
      <w:r>
        <w:rPr>
          <w:sz w:val="28"/>
          <w:szCs w:val="28"/>
        </w:rPr>
        <w:t>ДОКУМЕНТАЦИЯ ОБ ЭЛЕКТРОННОМ АУКЦИОНЕ №____</w:t>
      </w:r>
    </w:p>
    <w:p>
      <w:pPr>
        <w:pStyle w:val="Style15"/>
        <w:spacing w:before="0" w:after="0"/>
        <w:jc w:val="center"/>
        <w:rPr>
          <w:sz w:val="28"/>
          <w:szCs w:val="28"/>
        </w:rPr>
      </w:pPr>
      <w:r>
        <w:rPr>
          <w:sz w:val="28"/>
          <w:szCs w:val="28"/>
        </w:rPr>
        <w:t xml:space="preserve">на осуществление закупки </w:t>
      </w:r>
      <w:r>
        <w:rPr>
          <w:i/>
          <w:sz w:val="28"/>
          <w:szCs w:val="28"/>
        </w:rPr>
        <w:t>у субъектов малого предпринимательства, социально ориентированных некоммерческих организаций</w:t>
      </w:r>
    </w:p>
    <w:p>
      <w:pPr>
        <w:pStyle w:val="Style20"/>
        <w:shd w:fill="FFFFFF" w:val="clear"/>
        <w:rPr>
          <w:b/>
          <w:b/>
          <w:i/>
          <w:i/>
          <w:sz w:val="28"/>
          <w:szCs w:val="28"/>
        </w:rPr>
      </w:pPr>
      <w:r>
        <w:rPr>
          <w:sz w:val="28"/>
          <w:szCs w:val="28"/>
        </w:rPr>
        <w:t>на</w:t>
      </w:r>
      <w:r>
        <w:rPr>
          <w:sz w:val="28"/>
          <w:szCs w:val="28"/>
          <w:u w:val="single"/>
        </w:rPr>
        <w:t xml:space="preserve">                                                                                           </w:t>
      </w:r>
      <w:r>
        <w:rPr>
          <w:b/>
          <w:bCs w:val="false"/>
          <w:i/>
          <w:sz w:val="28"/>
          <w:szCs w:val="28"/>
        </w:rPr>
        <w:t>.</w:t>
      </w:r>
    </w:p>
    <w:p>
      <w:pPr>
        <w:pStyle w:val="Style15"/>
        <w:jc w:val="center"/>
        <w:rPr>
          <w:sz w:val="28"/>
          <w:szCs w:val="28"/>
        </w:rPr>
      </w:pPr>
      <w:r>
        <w:rPr>
          <w:sz w:val="28"/>
          <w:szCs w:val="28"/>
        </w:rPr>
        <w:t>(указывается объект закупки)</w:t>
      </w:r>
    </w:p>
    <w:p>
      <w:pPr>
        <w:pStyle w:val="Style15"/>
        <w:rPr>
          <w:sz w:val="28"/>
          <w:szCs w:val="28"/>
        </w:rPr>
      </w:pPr>
      <w:r>
        <w:rPr>
          <w:sz w:val="28"/>
          <w:szCs w:val="28"/>
        </w:rPr>
      </w:r>
    </w:p>
    <w:p>
      <w:pPr>
        <w:pStyle w:val="Style15"/>
        <w:rPr>
          <w:sz w:val="28"/>
          <w:szCs w:val="28"/>
        </w:rPr>
      </w:pPr>
      <w:r>
        <w:rPr>
          <w:sz w:val="28"/>
          <w:szCs w:val="28"/>
        </w:rPr>
      </w:r>
    </w:p>
    <w:p>
      <w:pPr>
        <w:pStyle w:val="Style15"/>
        <w:spacing w:before="0" w:after="0"/>
        <w:jc w:val="left"/>
        <w:rPr>
          <w:i/>
          <w:i/>
          <w:sz w:val="28"/>
          <w:szCs w:val="28"/>
        </w:rPr>
      </w:pPr>
      <w:r>
        <w:rPr>
          <w:i/>
          <w:sz w:val="28"/>
          <w:szCs w:val="28"/>
        </w:rPr>
      </w:r>
    </w:p>
    <w:p>
      <w:pPr>
        <w:pStyle w:val="Style15"/>
        <w:spacing w:before="0" w:after="0"/>
        <w:jc w:val="left"/>
        <w:rPr>
          <w:i/>
          <w:i/>
          <w:sz w:val="28"/>
          <w:szCs w:val="28"/>
        </w:rPr>
      </w:pPr>
      <w:r>
        <w:rPr>
          <w:i/>
          <w:sz w:val="28"/>
          <w:szCs w:val="28"/>
        </w:rPr>
      </w:r>
    </w:p>
    <w:p>
      <w:pPr>
        <w:pStyle w:val="Style15"/>
        <w:spacing w:before="0" w:after="0"/>
        <w:rPr>
          <w:i/>
          <w:i/>
        </w:rPr>
      </w:pPr>
      <w:r>
        <w:rPr>
          <w:i/>
        </w:rPr>
        <w:t>Ответственное лицо за документацию</w:t>
      </w:r>
    </w:p>
    <w:p>
      <w:pPr>
        <w:pStyle w:val="Style15"/>
        <w:spacing w:before="0" w:after="0"/>
        <w:rPr>
          <w:i/>
          <w:i/>
        </w:rPr>
      </w:pPr>
      <w:r>
        <w:rPr>
          <w:i/>
        </w:rPr>
        <w:t>об электронном аукционе, описание объекта закупки                     _________________ФИО</w:t>
      </w:r>
    </w:p>
    <w:p>
      <w:pPr>
        <w:pStyle w:val="Style15"/>
        <w:spacing w:before="0" w:after="0"/>
        <w:rPr>
          <w:i/>
          <w:i/>
        </w:rPr>
      </w:pPr>
      <w:r>
        <w:rPr>
          <w:i/>
        </w:rPr>
      </w:r>
    </w:p>
    <w:p>
      <w:pPr>
        <w:pStyle w:val="Style15"/>
        <w:spacing w:before="0" w:after="0"/>
        <w:rPr>
          <w:i/>
          <w:i/>
        </w:rPr>
      </w:pPr>
      <w:r>
        <w:rPr>
          <w:i/>
        </w:rPr>
        <w:t>Ответственное лицо за формирование проекта</w:t>
      </w:r>
    </w:p>
    <w:p>
      <w:pPr>
        <w:pStyle w:val="Style15"/>
        <w:spacing w:before="0" w:after="0"/>
        <w:rPr>
          <w:i/>
          <w:i/>
        </w:rPr>
      </w:pPr>
      <w:r>
        <w:rPr>
          <w:i/>
        </w:rPr>
        <w:t>муниципального контракта                                                                _________________ФИО</w:t>
      </w:r>
    </w:p>
    <w:p>
      <w:pPr>
        <w:pStyle w:val="Style15"/>
        <w:spacing w:before="0" w:after="0"/>
        <w:rPr>
          <w:i/>
          <w:i/>
        </w:rPr>
      </w:pPr>
      <w:r>
        <w:rPr>
          <w:i/>
        </w:rPr>
      </w:r>
    </w:p>
    <w:p>
      <w:pPr>
        <w:pStyle w:val="Style15"/>
        <w:spacing w:before="0" w:after="0"/>
        <w:rPr>
          <w:i/>
          <w:i/>
        </w:rPr>
      </w:pPr>
      <w:r>
        <w:rPr>
          <w:i/>
        </w:rPr>
        <w:t xml:space="preserve">Ответственное лицо за обоснование расчета </w:t>
      </w:r>
    </w:p>
    <w:p>
      <w:pPr>
        <w:pStyle w:val="Style15"/>
        <w:spacing w:before="0" w:after="0"/>
        <w:rPr>
          <w:i/>
          <w:i/>
        </w:rPr>
      </w:pPr>
      <w:r>
        <w:rPr>
          <w:i/>
        </w:rPr>
        <w:t>цены контракта, цены единицы товара, работы, услуги               _________________ФИО</w:t>
      </w:r>
    </w:p>
    <w:p>
      <w:pPr>
        <w:pStyle w:val="Style15"/>
        <w:spacing w:before="0" w:after="0"/>
        <w:rPr>
          <w:i/>
          <w:i/>
        </w:rPr>
      </w:pPr>
      <w:r>
        <w:rPr>
          <w:i/>
        </w:rPr>
      </w:r>
    </w:p>
    <w:p>
      <w:pPr>
        <w:pStyle w:val="Normal"/>
        <w:spacing w:lineRule="auto" w:line="276" w:before="0" w:after="200"/>
        <w:jc w:val="left"/>
        <w:rPr>
          <w:sz w:val="28"/>
          <w:szCs w:val="28"/>
        </w:rPr>
      </w:pPr>
      <w:r>
        <w:rPr>
          <w:sz w:val="28"/>
          <w:szCs w:val="28"/>
        </w:rPr>
        <w:t xml:space="preserve">                                     </w:t>
      </w:r>
    </w:p>
    <w:p>
      <w:pPr>
        <w:pStyle w:val="Normal"/>
        <w:spacing w:lineRule="auto" w:line="276" w:before="0" w:after="200"/>
        <w:jc w:val="left"/>
        <w:rPr>
          <w:sz w:val="28"/>
          <w:szCs w:val="28"/>
        </w:rPr>
      </w:pPr>
      <w:r>
        <w:rPr>
          <w:sz w:val="28"/>
          <w:szCs w:val="28"/>
        </w:rPr>
      </w:r>
    </w:p>
    <w:p>
      <w:pPr>
        <w:pStyle w:val="Normal"/>
        <w:spacing w:lineRule="auto" w:line="276" w:before="0" w:after="200"/>
        <w:jc w:val="left"/>
        <w:rPr>
          <w:sz w:val="28"/>
          <w:szCs w:val="28"/>
        </w:rPr>
      </w:pPr>
      <w:r>
        <w:rPr>
          <w:sz w:val="28"/>
          <w:szCs w:val="28"/>
        </w:rPr>
      </w:r>
    </w:p>
    <w:p>
      <w:pPr>
        <w:pStyle w:val="Normal"/>
        <w:spacing w:lineRule="auto" w:line="276" w:before="0" w:after="200"/>
        <w:jc w:val="left"/>
        <w:rPr>
          <w:sz w:val="28"/>
          <w:szCs w:val="28"/>
        </w:rPr>
      </w:pPr>
      <w:r>
        <w:rPr>
          <w:sz w:val="28"/>
          <w:szCs w:val="28"/>
        </w:rPr>
      </w:r>
    </w:p>
    <w:p>
      <w:pPr>
        <w:pStyle w:val="Normal"/>
        <w:spacing w:lineRule="auto" w:line="276" w:before="0" w:after="200"/>
        <w:jc w:val="left"/>
        <w:rPr>
          <w:sz w:val="28"/>
          <w:szCs w:val="28"/>
        </w:rPr>
      </w:pPr>
      <w:r>
        <w:rPr>
          <w:sz w:val="28"/>
          <w:szCs w:val="28"/>
        </w:rPr>
      </w:r>
    </w:p>
    <w:p>
      <w:pPr>
        <w:pStyle w:val="Normal"/>
        <w:spacing w:lineRule="auto" w:line="276" w:before="0" w:after="200"/>
        <w:jc w:val="center"/>
        <w:rPr>
          <w:b/>
          <w:b/>
          <w:sz w:val="28"/>
          <w:szCs w:val="28"/>
        </w:rPr>
      </w:pPr>
      <w:r>
        <w:rPr>
          <w:sz w:val="28"/>
          <w:szCs w:val="28"/>
        </w:rPr>
        <w:t>20___ год.</w:t>
      </w:r>
      <w:r>
        <w:br w:type="page"/>
      </w:r>
    </w:p>
    <w:p>
      <w:pPr>
        <w:pStyle w:val="ConsPlusNormal1"/>
        <w:widowControl/>
        <w:numPr>
          <w:ilvl w:val="1"/>
          <w:numId w:val="3"/>
        </w:numPr>
        <w:tabs>
          <w:tab w:val="clear" w:pos="708"/>
          <w:tab w:val="left" w:pos="360" w:leader="none"/>
        </w:tabs>
        <w:spacing w:before="120" w:after="120"/>
        <w:ind w:left="0" w:hanging="0"/>
        <w:jc w:val="center"/>
        <w:rPr>
          <w:rFonts w:ascii="Times New Roman" w:hAnsi="Times New Roman" w:cs="Times New Roman"/>
          <w:b/>
          <w:b/>
          <w:bCs/>
          <w:sz w:val="24"/>
          <w:szCs w:val="24"/>
        </w:rPr>
      </w:pPr>
      <w:bookmarkStart w:id="0" w:name="_Ref248571702"/>
      <w:r>
        <w:rPr>
          <w:rFonts w:cs="Times New Roman" w:ascii="Times New Roman" w:hAnsi="Times New Roman"/>
          <w:b/>
          <w:bCs/>
          <w:sz w:val="24"/>
          <w:szCs w:val="24"/>
        </w:rPr>
        <w:t>СВЕДЕНИЯ О ПРОВОДИМОМ АУКЦИОНЕ В ЭЛЕКТРОННОЙ ФОРМЕ</w:t>
      </w:r>
      <w:bookmarkEnd w:id="0"/>
    </w:p>
    <w:p>
      <w:pPr>
        <w:pStyle w:val="ConsPlusNormal1"/>
        <w:widowControl/>
        <w:tabs>
          <w:tab w:val="clear" w:pos="708"/>
          <w:tab w:val="left" w:pos="360" w:leader="none"/>
        </w:tabs>
        <w:ind w:left="-992" w:firstLine="709"/>
        <w:jc w:val="both"/>
        <w:rPr>
          <w:rFonts w:ascii="Times New Roman" w:hAnsi="Times New Roman" w:cs="Times New Roman"/>
          <w:bCs/>
          <w:sz w:val="24"/>
          <w:szCs w:val="24"/>
        </w:rPr>
      </w:pPr>
      <w:bookmarkStart w:id="1" w:name="_Ref119427085"/>
      <w:r>
        <w:rPr>
          <w:rFonts w:cs="Times New Roman" w:ascii="Times New Roman" w:hAnsi="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cs="Times New Roman" w:ascii="Times New Roman" w:hAnsi="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636" w:type="dxa"/>
        <w:jc w:val="left"/>
        <w:tblInd w:w="-885" w:type="dxa"/>
        <w:tblCellMar>
          <w:top w:w="0" w:type="dxa"/>
          <w:left w:w="108" w:type="dxa"/>
          <w:bottom w:w="0" w:type="dxa"/>
          <w:right w:w="108" w:type="dxa"/>
        </w:tblCellMar>
        <w:tblLook w:val="0080" w:noVBand="0" w:noHBand="0" w:lastColumn="0" w:firstColumn="1" w:lastRow="0" w:firstRow="0"/>
      </w:tblPr>
      <w:tblGrid>
        <w:gridCol w:w="566"/>
        <w:gridCol w:w="4539"/>
        <w:gridCol w:w="5531"/>
      </w:tblGrid>
      <w:tr>
        <w:trPr/>
        <w:tc>
          <w:tcPr>
            <w:tcW w:w="56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keepNext w:val="true"/>
              <w:keepLines/>
              <w:widowControl w:val="false"/>
              <w:suppressLineNumbers/>
              <w:suppressAutoHyphens w:val="true"/>
              <w:jc w:val="center"/>
              <w:rPr>
                <w:bCs/>
                <w:sz w:val="20"/>
                <w:szCs w:val="20"/>
                <w:lang w:eastAsia="en-US"/>
              </w:rPr>
            </w:pPr>
            <w:bookmarkStart w:id="2" w:name="_Toc377034056"/>
            <w:bookmarkEnd w:id="2"/>
            <w:r>
              <w:rPr>
                <w:bCs/>
                <w:sz w:val="20"/>
                <w:szCs w:val="20"/>
                <w:lang w:eastAsia="en-US"/>
              </w:rPr>
              <w:t xml:space="preserve">№ </w:t>
            </w:r>
            <w:r>
              <w:rPr>
                <w:bCs/>
                <w:sz w:val="20"/>
                <w:szCs w:val="20"/>
                <w:lang w:eastAsia="en-US"/>
              </w:rPr>
              <w:t>пп</w:t>
            </w:r>
          </w:p>
        </w:tc>
        <w:tc>
          <w:tcPr>
            <w:tcW w:w="453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sz w:val="20"/>
                <w:szCs w:val="20"/>
                <w:lang w:eastAsia="en-US"/>
              </w:rPr>
            </w:pPr>
            <w:r>
              <w:rPr>
                <w:bCs/>
                <w:sz w:val="20"/>
                <w:szCs w:val="20"/>
                <w:lang w:eastAsia="en-US"/>
              </w:rPr>
              <w:t>Содержание пункта</w:t>
            </w:r>
          </w:p>
        </w:tc>
        <w:tc>
          <w:tcPr>
            <w:tcW w:w="55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sz w:val="20"/>
                <w:szCs w:val="20"/>
                <w:lang w:eastAsia="en-US"/>
              </w:rPr>
            </w:pPr>
            <w:r>
              <w:rPr>
                <w:bCs/>
                <w:sz w:val="20"/>
                <w:szCs w:val="20"/>
                <w:lang w:eastAsia="en-US"/>
              </w:rPr>
              <w:t>Информация</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eastAsia="en-US"/>
              </w:rPr>
            </w:pPr>
            <w:r>
              <w:rPr>
                <w:sz w:val="20"/>
                <w:szCs w:val="20"/>
                <w:lang w:eastAsia="en-US"/>
              </w:rPr>
              <w:t>1.</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18"/>
                <w:szCs w:val="18"/>
                <w:lang w:eastAsia="en-US"/>
              </w:rPr>
            </w:pPr>
            <w:r>
              <w:rPr>
                <w:sz w:val="20"/>
                <w:szCs w:val="20"/>
                <w:lang w:eastAsia="en-US"/>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31"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bCs/>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9" w:hanging="0"/>
              <w:jc w:val="center"/>
              <w:rPr>
                <w:sz w:val="20"/>
                <w:szCs w:val="20"/>
                <w:lang w:eastAsia="en-US"/>
              </w:rPr>
            </w:pPr>
            <w:r>
              <w:rPr>
                <w:sz w:val="20"/>
                <w:szCs w:val="20"/>
                <w:lang w:eastAsia="en-US"/>
              </w:rPr>
              <w:t>2.</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rFonts w:eastAsia="Calibri" w:eastAsiaTheme="minorHAnsi"/>
                <w:sz w:val="20"/>
                <w:szCs w:val="20"/>
                <w:lang w:eastAsia="en-US"/>
              </w:rPr>
              <w:t>Информация о контрактной службе, контрактном управляющем, ответственных за заключение контракта</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9" w:hanging="5"/>
              <w:jc w:val="center"/>
              <w:rPr>
                <w:sz w:val="20"/>
                <w:szCs w:val="20"/>
                <w:lang w:eastAsia="en-US"/>
              </w:rPr>
            </w:pPr>
            <w:r>
              <w:rPr>
                <w:sz w:val="20"/>
                <w:szCs w:val="20"/>
                <w:lang w:eastAsia="en-US"/>
              </w:rPr>
              <w:t>3.</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Наименование уполномоченного органа, контактная информация</w:t>
            </w:r>
          </w:p>
        </w:tc>
        <w:tc>
          <w:tcPr>
            <w:tcW w:w="5531" w:type="dxa"/>
            <w:tcBorders>
              <w:top w:val="single" w:sz="4" w:space="0" w:color="000000"/>
              <w:left w:val="single" w:sz="4" w:space="0" w:color="000000"/>
              <w:bottom w:val="single" w:sz="4" w:space="0" w:color="000000"/>
              <w:right w:val="single" w:sz="4" w:space="0" w:color="000000"/>
            </w:tcBorders>
          </w:tcPr>
          <w:p>
            <w:pPr>
              <w:pStyle w:val="Normal"/>
              <w:rPr>
                <w:color w:val="000000"/>
                <w:sz w:val="20"/>
                <w:szCs w:val="20"/>
              </w:rPr>
            </w:pPr>
            <w:r>
              <w:rPr>
                <w:b/>
                <w:i/>
                <w:color w:val="000000"/>
                <w:sz w:val="20"/>
                <w:szCs w:val="20"/>
              </w:rPr>
              <w:t>Управление экономического развития администрации Октябрьского района</w:t>
            </w:r>
            <w:r>
              <w:rPr>
                <w:color w:val="000000"/>
                <w:sz w:val="20"/>
                <w:szCs w:val="20"/>
              </w:rPr>
              <w:t xml:space="preserve">, 682100, </w:t>
            </w:r>
            <w:r>
              <w:rPr>
                <w:sz w:val="20"/>
                <w:szCs w:val="20"/>
              </w:rPr>
              <w:t>Тюменская область, Ханты-Мансийский автономный округ-Югры, Октябрьский район, пгт. Октябрьское, ул. Калинина, д.39.</w:t>
            </w:r>
          </w:p>
          <w:p>
            <w:pPr>
              <w:pStyle w:val="Normal"/>
              <w:keepNext w:val="true"/>
              <w:keepLines/>
              <w:widowControl w:val="false"/>
              <w:suppressLineNumbers/>
              <w:suppressAutoHyphens w:val="true"/>
              <w:rPr>
                <w:sz w:val="20"/>
                <w:szCs w:val="20"/>
              </w:rPr>
            </w:pPr>
            <w:r>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Pr>
                <w:sz w:val="20"/>
                <w:szCs w:val="20"/>
                <w:lang w:val="en-US"/>
              </w:rPr>
              <w:t>e</w:t>
            </w:r>
            <w:r>
              <w:rPr>
                <w:sz w:val="20"/>
                <w:szCs w:val="20"/>
              </w:rPr>
              <w:t>-</w:t>
            </w:r>
            <w:r>
              <w:rPr>
                <w:sz w:val="20"/>
                <w:szCs w:val="20"/>
                <w:lang w:val="en-US"/>
              </w:rPr>
              <w:t>mail</w:t>
            </w:r>
            <w:r>
              <w:rPr>
                <w:sz w:val="20"/>
                <w:szCs w:val="20"/>
              </w:rPr>
              <w:t xml:space="preserve">: </w:t>
            </w:r>
            <w:hyperlink r:id="rId2">
              <w:r>
                <w:rPr>
                  <w:rFonts w:eastAsia="Calibri"/>
                  <w:sz w:val="20"/>
                  <w:szCs w:val="20"/>
                  <w:lang w:val="en-US"/>
                </w:rPr>
                <w:t>concurs</w:t>
              </w:r>
              <w:r>
                <w:rPr>
                  <w:rFonts w:eastAsia="Calibri"/>
                  <w:sz w:val="20"/>
                  <w:szCs w:val="20"/>
                </w:rPr>
                <w:t>@</w:t>
              </w:r>
              <w:r>
                <w:rPr>
                  <w:rFonts w:eastAsia="Calibri"/>
                  <w:sz w:val="20"/>
                  <w:szCs w:val="20"/>
                  <w:lang w:val="en-US"/>
                </w:rPr>
                <w:t>oktregion</w:t>
              </w:r>
              <w:r>
                <w:rPr>
                  <w:rFonts w:eastAsia="Calibri"/>
                  <w:sz w:val="20"/>
                  <w:szCs w:val="20"/>
                </w:rPr>
                <w:t>.</w:t>
              </w:r>
              <w:r>
                <w:rPr>
                  <w:rFonts w:eastAsia="Calibri"/>
                  <w:sz w:val="20"/>
                  <w:szCs w:val="20"/>
                  <w:lang w:val="en-US"/>
                </w:rPr>
                <w:t>ru</w:t>
              </w:r>
            </w:hyperlink>
            <w:r>
              <w:rPr>
                <w:sz w:val="20"/>
                <w:szCs w:val="20"/>
              </w:rPr>
              <w:t>, контактный телефон: (34678) 28-019.</w:t>
            </w:r>
          </w:p>
          <w:p>
            <w:pPr>
              <w:pStyle w:val="Normal"/>
              <w:rPr>
                <w:b/>
                <w:b/>
                <w:i/>
                <w:i/>
                <w:color w:val="000000"/>
                <w:sz w:val="20"/>
                <w:szCs w:val="20"/>
              </w:rPr>
            </w:pPr>
            <w:r>
              <w:rPr>
                <w:b/>
                <w:i/>
                <w:color w:val="000000"/>
                <w:sz w:val="20"/>
                <w:szCs w:val="20"/>
              </w:rPr>
              <w:t xml:space="preserve">Ответственный исполнитель: </w:t>
            </w:r>
            <w:r>
              <w:rPr>
                <w:color w:val="000000"/>
                <w:sz w:val="20"/>
                <w:szCs w:val="20"/>
              </w:rPr>
              <w:t>отдел муниципальных закупок Управления экономического развития администрации Октябрьского района.</w:t>
            </w:r>
          </w:p>
          <w:p>
            <w:pPr>
              <w:pStyle w:val="Normal"/>
              <w:keepNext w:val="true"/>
              <w:keepLines/>
              <w:widowControl w:val="false"/>
              <w:suppressLineNumbers/>
              <w:suppressAutoHyphens w:val="true"/>
              <w:rPr>
                <w:sz w:val="20"/>
                <w:szCs w:val="20"/>
              </w:rPr>
            </w:pPr>
            <w:r>
              <w:rPr>
                <w:b/>
                <w:sz w:val="20"/>
                <w:szCs w:val="20"/>
              </w:rPr>
              <w:t>Место нахождения/почтовый адрес:</w:t>
            </w:r>
            <w:r>
              <w:rPr>
                <w:sz w:val="20"/>
                <w:szCs w:val="20"/>
              </w:rPr>
              <w:t xml:space="preserve"> </w:t>
            </w:r>
            <w:r>
              <w:rPr>
                <w:color w:val="000000"/>
                <w:sz w:val="20"/>
                <w:szCs w:val="20"/>
              </w:rPr>
              <w:t xml:space="preserve">682100, </w:t>
            </w:r>
            <w:r>
              <w:rPr>
                <w:sz w:val="20"/>
                <w:szCs w:val="20"/>
              </w:rPr>
              <w:t xml:space="preserve">Тюменская область, Ханты-Мансийский автономный округ-Югры, Октябрьский район, пгт. Октябрьское, ул. Калинина, д.39, каб. 113, </w:t>
            </w:r>
            <w:r>
              <w:rPr>
                <w:sz w:val="20"/>
                <w:szCs w:val="20"/>
                <w:lang w:val="en-US"/>
              </w:rPr>
              <w:t>e</w:t>
            </w:r>
            <w:r>
              <w:rPr>
                <w:sz w:val="20"/>
                <w:szCs w:val="20"/>
              </w:rPr>
              <w:t>-</w:t>
            </w:r>
            <w:r>
              <w:rPr>
                <w:sz w:val="20"/>
                <w:szCs w:val="20"/>
                <w:lang w:val="en-US"/>
              </w:rPr>
              <w:t>mail</w:t>
            </w:r>
            <w:r>
              <w:rPr>
                <w:sz w:val="20"/>
                <w:szCs w:val="20"/>
              </w:rPr>
              <w:t xml:space="preserve">: </w:t>
            </w:r>
            <w:hyperlink r:id="rId3">
              <w:r>
                <w:rPr>
                  <w:rFonts w:eastAsia="Calibri"/>
                  <w:sz w:val="20"/>
                  <w:szCs w:val="20"/>
                  <w:lang w:val="en-US"/>
                </w:rPr>
                <w:t>concurs</w:t>
              </w:r>
              <w:r>
                <w:rPr>
                  <w:rFonts w:eastAsia="Calibri"/>
                  <w:sz w:val="20"/>
                  <w:szCs w:val="20"/>
                </w:rPr>
                <w:t>@</w:t>
              </w:r>
              <w:r>
                <w:rPr>
                  <w:rFonts w:eastAsia="Calibri"/>
                  <w:sz w:val="20"/>
                  <w:szCs w:val="20"/>
                  <w:lang w:val="en-US"/>
                </w:rPr>
                <w:t>oktregion</w:t>
              </w:r>
              <w:r>
                <w:rPr>
                  <w:rFonts w:eastAsia="Calibri"/>
                  <w:sz w:val="20"/>
                  <w:szCs w:val="20"/>
                </w:rPr>
                <w:t>.</w:t>
              </w:r>
              <w:r>
                <w:rPr>
                  <w:rFonts w:eastAsia="Calibri"/>
                  <w:sz w:val="20"/>
                  <w:szCs w:val="20"/>
                  <w:lang w:val="en-US"/>
                </w:rPr>
                <w:t>ru</w:t>
              </w:r>
            </w:hyperlink>
            <w:r>
              <w:rPr>
                <w:sz w:val="20"/>
                <w:szCs w:val="20"/>
              </w:rPr>
              <w:t xml:space="preserve">, контактный телефон: </w:t>
            </w:r>
          </w:p>
          <w:p>
            <w:pPr>
              <w:pStyle w:val="Normal"/>
              <w:keepNext w:val="true"/>
              <w:keepLines/>
              <w:widowControl w:val="false"/>
              <w:suppressLineNumbers/>
              <w:suppressAutoHyphens w:val="true"/>
              <w:rPr>
                <w:bCs/>
                <w:sz w:val="20"/>
                <w:szCs w:val="20"/>
              </w:rPr>
            </w:pPr>
            <w:r>
              <w:rPr>
                <w:bCs/>
                <w:i/>
                <w:sz w:val="20"/>
                <w:szCs w:val="20"/>
              </w:rPr>
              <w:t>Слепцова Антонина Александровна 8(34678) 28-050,</w:t>
            </w:r>
            <w:r>
              <w:rPr>
                <w:bCs/>
                <w:sz w:val="20"/>
                <w:szCs w:val="20"/>
              </w:rPr>
              <w:t xml:space="preserve"> </w:t>
            </w:r>
          </w:p>
          <w:p>
            <w:pPr>
              <w:pStyle w:val="Normal"/>
              <w:keepNext w:val="true"/>
              <w:keepLines/>
              <w:widowControl w:val="false"/>
              <w:suppressLineNumbers/>
              <w:suppressAutoHyphens w:val="true"/>
              <w:rPr>
                <w:bCs/>
                <w:sz w:val="20"/>
                <w:szCs w:val="20"/>
              </w:rPr>
            </w:pPr>
            <w:r>
              <w:rPr>
                <w:bCs/>
                <w:i/>
                <w:sz w:val="20"/>
                <w:szCs w:val="20"/>
              </w:rPr>
              <w:t>Кажаева Елена Петровна 8(34678) 28-122,</w:t>
            </w:r>
          </w:p>
          <w:p>
            <w:pPr>
              <w:pStyle w:val="Normal"/>
              <w:keepNext w:val="true"/>
              <w:keepLines/>
              <w:widowControl w:val="false"/>
              <w:suppressLineNumbers/>
              <w:suppressAutoHyphens w:val="true"/>
              <w:rPr>
                <w:bCs/>
                <w:i/>
                <w:i/>
                <w:sz w:val="20"/>
                <w:szCs w:val="20"/>
              </w:rPr>
            </w:pPr>
            <w:r>
              <w:rPr>
                <w:bCs/>
                <w:i/>
                <w:sz w:val="20"/>
                <w:szCs w:val="20"/>
              </w:rPr>
              <w:t>Козырчикова Елена Сергеевна 8(34678) 28-127,</w:t>
            </w:r>
          </w:p>
          <w:p>
            <w:pPr>
              <w:pStyle w:val="Normal"/>
              <w:keepNext w:val="true"/>
              <w:keepLines/>
              <w:widowControl w:val="false"/>
              <w:suppressLineNumbers/>
              <w:suppressAutoHyphens w:val="true"/>
              <w:rPr>
                <w:sz w:val="20"/>
                <w:szCs w:val="20"/>
                <w:lang w:eastAsia="en-US"/>
              </w:rPr>
            </w:pPr>
            <w:r>
              <w:rPr>
                <w:i/>
                <w:sz w:val="20"/>
                <w:szCs w:val="20"/>
              </w:rPr>
              <w:t xml:space="preserve">Пономарева Гульнара Алянуровна </w:t>
            </w:r>
            <w:r>
              <w:rPr>
                <w:bCs/>
                <w:i/>
                <w:sz w:val="20"/>
                <w:szCs w:val="20"/>
              </w:rPr>
              <w:t>8(34678) 28-034.</w:t>
            </w:r>
          </w:p>
        </w:tc>
      </w:tr>
      <w:tr>
        <w:trPr/>
        <w:tc>
          <w:tcPr>
            <w:tcW w:w="566" w:type="dxa"/>
            <w:tcBorders>
              <w:top w:val="single" w:sz="4" w:space="0" w:color="000000"/>
              <w:left w:val="single" w:sz="4" w:space="0" w:color="000000"/>
              <w:bottom w:val="single" w:sz="4" w:space="0" w:color="000000"/>
              <w:right w:val="single" w:sz="4" w:space="0" w:color="000000"/>
            </w:tcBorders>
          </w:tcPr>
          <w:p>
            <w:pPr>
              <w:pStyle w:val="ListParagraph"/>
              <w:ind w:left="39" w:hanging="5"/>
              <w:jc w:val="center"/>
              <w:rPr>
                <w:sz w:val="20"/>
                <w:szCs w:val="20"/>
                <w:lang w:eastAsia="en-US"/>
              </w:rPr>
            </w:pPr>
            <w:r>
              <w:rPr>
                <w:sz w:val="20"/>
                <w:szCs w:val="20"/>
                <w:lang w:eastAsia="en-US"/>
              </w:rPr>
              <w:t>4.</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Наименование специализированной организации, контактная информация</w:t>
            </w:r>
          </w:p>
        </w:tc>
        <w:tc>
          <w:tcPr>
            <w:tcW w:w="5531"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Не привлекается</w:t>
            </w:r>
          </w:p>
        </w:tc>
      </w:tr>
      <w:tr>
        <w:trPr/>
        <w:tc>
          <w:tcPr>
            <w:tcW w:w="566" w:type="dxa"/>
            <w:tcBorders>
              <w:top w:val="single" w:sz="4" w:space="0" w:color="000000"/>
              <w:left w:val="single" w:sz="4" w:space="0" w:color="000000"/>
              <w:bottom w:val="single" w:sz="4" w:space="0" w:color="000000"/>
              <w:right w:val="single" w:sz="4" w:space="0" w:color="000000"/>
            </w:tcBorders>
          </w:tcPr>
          <w:p>
            <w:pPr>
              <w:pStyle w:val="ListParagraph"/>
              <w:ind w:left="39" w:hanging="5"/>
              <w:jc w:val="center"/>
              <w:rPr>
                <w:sz w:val="20"/>
                <w:szCs w:val="20"/>
                <w:lang w:eastAsia="en-US"/>
              </w:rPr>
            </w:pPr>
            <w:r>
              <w:rPr>
                <w:sz w:val="20"/>
                <w:szCs w:val="20"/>
                <w:lang w:eastAsia="en-US"/>
              </w:rPr>
              <w:t>5.</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Наименование оператора электронной площадки</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Наименование: Закрытое акционерное общество «Сбербанк –</w:t>
            </w:r>
          </w:p>
          <w:p>
            <w:pPr>
              <w:pStyle w:val="Normal"/>
              <w:rPr>
                <w:bCs/>
                <w:sz w:val="20"/>
                <w:szCs w:val="20"/>
                <w:lang w:eastAsia="en-US"/>
              </w:rPr>
            </w:pPr>
            <w:r>
              <w:rPr>
                <w:bCs/>
                <w:sz w:val="20"/>
                <w:szCs w:val="20"/>
                <w:lang w:eastAsia="en-US"/>
              </w:rPr>
              <w:t xml:space="preserve">Автоматизированная система торгов» </w:t>
            </w:r>
          </w:p>
          <w:p>
            <w:pPr>
              <w:pStyle w:val="Normal"/>
              <w:rPr>
                <w:bCs/>
                <w:sz w:val="20"/>
                <w:szCs w:val="20"/>
                <w:lang w:eastAsia="en-US"/>
              </w:rPr>
            </w:pPr>
            <w:r>
              <w:rPr>
                <w:bCs/>
                <w:sz w:val="20"/>
                <w:szCs w:val="20"/>
                <w:lang w:eastAsia="en-US"/>
              </w:rPr>
              <w:t>Наименование: Акционерное общество «Единая электронная торговая площадка»</w:t>
            </w:r>
          </w:p>
          <w:p>
            <w:pPr>
              <w:pStyle w:val="Normal"/>
              <w:rPr>
                <w:bCs/>
                <w:sz w:val="20"/>
                <w:szCs w:val="20"/>
                <w:lang w:eastAsia="en-US"/>
              </w:rPr>
            </w:pPr>
            <w:r>
              <w:rPr>
                <w:bCs/>
                <w:sz w:val="20"/>
                <w:szCs w:val="20"/>
                <w:lang w:eastAsia="en-US"/>
              </w:rPr>
              <w:t>Наименование: Акционерное общество "Электронные торговые системы"</w:t>
            </w:r>
          </w:p>
          <w:p>
            <w:pPr>
              <w:pStyle w:val="Normal"/>
              <w:rPr>
                <w:bCs/>
                <w:sz w:val="20"/>
                <w:szCs w:val="20"/>
                <w:lang w:eastAsia="en-US"/>
              </w:rPr>
            </w:pPr>
            <w:r>
              <w:rPr>
                <w:bCs/>
                <w:sz w:val="20"/>
                <w:szCs w:val="20"/>
                <w:lang w:eastAsia="en-US"/>
              </w:rPr>
              <w:t>Наименование: Общество с ограниченной ответственностью «РТС-тендер»</w:t>
            </w:r>
          </w:p>
          <w:p>
            <w:pPr>
              <w:pStyle w:val="Normal"/>
              <w:rPr>
                <w:bCs/>
                <w:sz w:val="20"/>
                <w:szCs w:val="20"/>
                <w:lang w:eastAsia="en-US"/>
              </w:rPr>
            </w:pPr>
            <w:r>
              <w:rPr>
                <w:bCs/>
                <w:sz w:val="20"/>
                <w:szCs w:val="20"/>
                <w:lang w:eastAsia="en-US"/>
              </w:rPr>
              <w:t>Наименование: ГУП Агентство по госзаказу Республики Татарстан</w:t>
            </w:r>
          </w:p>
          <w:p>
            <w:pPr>
              <w:pStyle w:val="Normal"/>
              <w:rPr>
                <w:bCs/>
                <w:sz w:val="20"/>
                <w:szCs w:val="20"/>
                <w:lang w:eastAsia="en-US"/>
              </w:rPr>
            </w:pPr>
            <w:r>
              <w:rPr>
                <w:bCs/>
                <w:sz w:val="20"/>
                <w:szCs w:val="20"/>
                <w:lang w:eastAsia="en-US"/>
              </w:rPr>
              <w:t>Наименование: Акционерное общество «Российский аукционный дом»</w:t>
            </w:r>
          </w:p>
          <w:p>
            <w:pPr>
              <w:pStyle w:val="Normal"/>
              <w:rPr>
                <w:bCs/>
                <w:sz w:val="20"/>
                <w:szCs w:val="20"/>
                <w:lang w:eastAsia="en-US"/>
              </w:rPr>
            </w:pPr>
            <w:r>
              <w:rPr>
                <w:bCs/>
                <w:sz w:val="20"/>
                <w:szCs w:val="20"/>
                <w:lang w:eastAsia="en-US"/>
              </w:rPr>
              <w:t>Наименование: Акционерное общество «ТЭК-Торг»</w:t>
            </w:r>
          </w:p>
          <w:p>
            <w:pPr>
              <w:pStyle w:val="Normal"/>
              <w:rPr>
                <w:sz w:val="20"/>
                <w:szCs w:val="20"/>
                <w:lang w:eastAsia="en-US"/>
              </w:rPr>
            </w:pPr>
            <w:r>
              <w:rPr>
                <w:bCs/>
                <w:sz w:val="20"/>
                <w:szCs w:val="20"/>
                <w:lang w:eastAsia="en-US"/>
              </w:rPr>
              <w:t xml:space="preserve">Наименование: Общество с ограниченной ответственностью "Электронная торговая площадка ГПБ" </w:t>
            </w:r>
            <w:r>
              <w:rPr>
                <w:b/>
                <w:bCs/>
                <w:sz w:val="20"/>
                <w:szCs w:val="20"/>
                <w:lang w:eastAsia="en-US"/>
              </w:rPr>
              <w:t>(выбрать нужное)</w:t>
            </w:r>
          </w:p>
        </w:tc>
      </w:tr>
      <w:tr>
        <w:trPr/>
        <w:tc>
          <w:tcPr>
            <w:tcW w:w="566" w:type="dxa"/>
            <w:tcBorders>
              <w:top w:val="single" w:sz="4" w:space="0" w:color="000000"/>
              <w:left w:val="single" w:sz="4" w:space="0" w:color="000000"/>
              <w:bottom w:val="single" w:sz="4" w:space="0" w:color="000000"/>
              <w:right w:val="single" w:sz="4" w:space="0" w:color="000000"/>
            </w:tcBorders>
          </w:tcPr>
          <w:p>
            <w:pPr>
              <w:pStyle w:val="ListParagraph"/>
              <w:ind w:left="39" w:hanging="5"/>
              <w:jc w:val="center"/>
              <w:rPr>
                <w:sz w:val="20"/>
                <w:szCs w:val="20"/>
                <w:lang w:eastAsia="en-US"/>
              </w:rPr>
            </w:pPr>
            <w:r>
              <w:rPr>
                <w:sz w:val="20"/>
                <w:szCs w:val="20"/>
                <w:lang w:eastAsia="en-US"/>
              </w:rPr>
              <w:t>6.</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Адрес электронной площадки в информационно-телекоммуникационной сети «Интернет»</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hyperlink r:id="rId4">
              <w:r>
                <w:rPr>
                  <w:bCs/>
                  <w:sz w:val="20"/>
                  <w:szCs w:val="20"/>
                  <w:lang w:eastAsia="en-US"/>
                </w:rPr>
                <w:t>http://www.sberbank-ast.ru</w:t>
              </w:r>
            </w:hyperlink>
            <w:r>
              <w:rPr>
                <w:bCs/>
                <w:sz w:val="20"/>
                <w:szCs w:val="20"/>
                <w:lang w:eastAsia="en-US"/>
              </w:rPr>
              <w:t xml:space="preserve"> </w:t>
            </w:r>
          </w:p>
          <w:p>
            <w:pPr>
              <w:pStyle w:val="Normal"/>
              <w:rPr>
                <w:bCs/>
                <w:sz w:val="20"/>
                <w:szCs w:val="20"/>
                <w:lang w:eastAsia="en-US"/>
              </w:rPr>
            </w:pPr>
            <w:hyperlink r:id="rId5">
              <w:r>
                <w:rPr>
                  <w:bCs/>
                  <w:sz w:val="20"/>
                  <w:szCs w:val="20"/>
                  <w:lang w:eastAsia="en-US"/>
                </w:rPr>
                <w:t>http://etp.roseltorg.ru</w:t>
              </w:r>
            </w:hyperlink>
            <w:r>
              <w:rPr>
                <w:bCs/>
                <w:sz w:val="20"/>
                <w:szCs w:val="20"/>
                <w:lang w:eastAsia="en-US"/>
              </w:rPr>
              <w:t xml:space="preserve"> </w:t>
            </w:r>
          </w:p>
          <w:p>
            <w:pPr>
              <w:pStyle w:val="Normal"/>
              <w:rPr>
                <w:bCs/>
                <w:sz w:val="20"/>
                <w:szCs w:val="20"/>
                <w:lang w:eastAsia="en-US"/>
              </w:rPr>
            </w:pPr>
            <w:hyperlink r:id="rId6">
              <w:r>
                <w:rPr>
                  <w:bCs/>
                  <w:sz w:val="20"/>
                  <w:szCs w:val="20"/>
                  <w:lang w:eastAsia="en-US"/>
                </w:rPr>
                <w:t>http://etp-ets.ru</w:t>
              </w:r>
            </w:hyperlink>
            <w:r>
              <w:rPr>
                <w:bCs/>
                <w:sz w:val="20"/>
                <w:szCs w:val="20"/>
                <w:lang w:eastAsia="en-US"/>
              </w:rPr>
              <w:t xml:space="preserve"> </w:t>
            </w:r>
          </w:p>
          <w:p>
            <w:pPr>
              <w:pStyle w:val="Normal"/>
              <w:rPr>
                <w:bCs/>
                <w:sz w:val="20"/>
                <w:szCs w:val="20"/>
                <w:lang w:eastAsia="en-US"/>
              </w:rPr>
            </w:pPr>
            <w:hyperlink r:id="rId7">
              <w:r>
                <w:rPr>
                  <w:bCs/>
                  <w:sz w:val="20"/>
                  <w:szCs w:val="20"/>
                  <w:lang w:eastAsia="en-US"/>
                </w:rPr>
                <w:t>http://rts-tender.ru</w:t>
              </w:r>
            </w:hyperlink>
            <w:r>
              <w:rPr>
                <w:bCs/>
                <w:sz w:val="20"/>
                <w:szCs w:val="20"/>
                <w:lang w:eastAsia="en-US"/>
              </w:rPr>
              <w:t xml:space="preserve"> </w:t>
            </w:r>
          </w:p>
          <w:p>
            <w:pPr>
              <w:pStyle w:val="Normal"/>
              <w:rPr>
                <w:bCs/>
                <w:sz w:val="20"/>
                <w:szCs w:val="20"/>
                <w:lang w:eastAsia="en-US"/>
              </w:rPr>
            </w:pPr>
            <w:hyperlink r:id="rId8">
              <w:r>
                <w:rPr>
                  <w:bCs/>
                  <w:sz w:val="20"/>
                  <w:szCs w:val="20"/>
                  <w:lang w:eastAsia="en-US"/>
                </w:rPr>
                <w:t>http://etp.zakazrf.ru/</w:t>
              </w:r>
            </w:hyperlink>
            <w:r>
              <w:rPr>
                <w:bCs/>
                <w:sz w:val="20"/>
                <w:szCs w:val="20"/>
                <w:lang w:eastAsia="en-US"/>
              </w:rPr>
              <w:t xml:space="preserve"> </w:t>
            </w:r>
          </w:p>
          <w:p>
            <w:pPr>
              <w:pStyle w:val="Normal"/>
              <w:rPr>
                <w:bCs/>
                <w:sz w:val="20"/>
                <w:szCs w:val="20"/>
                <w:lang w:eastAsia="en-US"/>
              </w:rPr>
            </w:pPr>
            <w:hyperlink r:id="rId9">
              <w:r>
                <w:rPr>
                  <w:bCs/>
                  <w:sz w:val="20"/>
                  <w:szCs w:val="20"/>
                  <w:lang w:eastAsia="en-US"/>
                </w:rPr>
                <w:t>http://lot-online.ru/</w:t>
              </w:r>
            </w:hyperlink>
            <w:r>
              <w:rPr>
                <w:bCs/>
                <w:sz w:val="20"/>
                <w:szCs w:val="20"/>
                <w:lang w:eastAsia="en-US"/>
              </w:rPr>
              <w:t xml:space="preserve"> </w:t>
            </w:r>
          </w:p>
          <w:p>
            <w:pPr>
              <w:pStyle w:val="Normal"/>
              <w:rPr>
                <w:bCs/>
                <w:sz w:val="20"/>
                <w:szCs w:val="20"/>
                <w:lang w:eastAsia="en-US"/>
              </w:rPr>
            </w:pPr>
            <w:hyperlink r:id="rId10">
              <w:r>
                <w:rPr>
                  <w:bCs/>
                  <w:sz w:val="20"/>
                  <w:szCs w:val="20"/>
                  <w:lang w:eastAsia="en-US"/>
                </w:rPr>
                <w:t>http://www.tektorg.ru/</w:t>
              </w:r>
            </w:hyperlink>
            <w:r>
              <w:rPr>
                <w:bCs/>
                <w:sz w:val="20"/>
                <w:szCs w:val="20"/>
                <w:lang w:eastAsia="en-US"/>
              </w:rPr>
              <w:t xml:space="preserve"> </w:t>
            </w:r>
          </w:p>
          <w:p>
            <w:pPr>
              <w:pStyle w:val="Normal"/>
              <w:rPr>
                <w:bCs/>
                <w:sz w:val="20"/>
                <w:szCs w:val="20"/>
                <w:lang w:eastAsia="en-US"/>
              </w:rPr>
            </w:pPr>
            <w:hyperlink r:id="rId11">
              <w:r>
                <w:rPr>
                  <w:bCs/>
                  <w:sz w:val="20"/>
                  <w:szCs w:val="20"/>
                  <w:lang w:eastAsia="en-US"/>
                </w:rPr>
                <w:t>https://etpgpb.ru/</w:t>
              </w:r>
            </w:hyperlink>
            <w:r>
              <w:rPr>
                <w:bCs/>
                <w:sz w:val="20"/>
                <w:szCs w:val="20"/>
                <w:lang w:eastAsia="en-US"/>
              </w:rPr>
              <w:t xml:space="preserve"> </w:t>
            </w:r>
            <w:r>
              <w:rPr>
                <w:b/>
                <w:bCs/>
                <w:sz w:val="20"/>
                <w:szCs w:val="20"/>
                <w:lang w:eastAsia="en-US"/>
              </w:rPr>
              <w:t>(выбрать нужное)</w:t>
            </w:r>
          </w:p>
        </w:tc>
      </w:tr>
      <w:tr>
        <w:trPr/>
        <w:tc>
          <w:tcPr>
            <w:tcW w:w="566" w:type="dxa"/>
            <w:tcBorders>
              <w:top w:val="single" w:sz="4" w:space="0" w:color="000000"/>
              <w:left w:val="single" w:sz="4" w:space="0" w:color="000000"/>
              <w:bottom w:val="single" w:sz="4" w:space="0" w:color="000000"/>
              <w:right w:val="single" w:sz="4" w:space="0" w:color="000000"/>
            </w:tcBorders>
          </w:tcPr>
          <w:p>
            <w:pPr>
              <w:pStyle w:val="ListParagraph"/>
              <w:ind w:left="39" w:hanging="5"/>
              <w:jc w:val="center"/>
              <w:rPr>
                <w:sz w:val="20"/>
                <w:szCs w:val="20"/>
                <w:lang w:eastAsia="en-US"/>
              </w:rPr>
            </w:pPr>
            <w:r>
              <w:rPr>
                <w:sz w:val="20"/>
                <w:szCs w:val="20"/>
                <w:lang w:eastAsia="en-US"/>
              </w:rPr>
              <w:t>7.</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Способ определения поставщика (подрядчика, исполнителя)</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
                <w:bCs/>
                <w:i/>
                <w:color w:val="0000FF"/>
                <w:sz w:val="20"/>
                <w:szCs w:val="20"/>
                <w:lang w:eastAsia="en-US"/>
              </w:rPr>
              <w:t>Электронный аукцион / Электронный аукцион у субъектов малого предпринимательства, социально ориентированных некоммерческих организаций</w:t>
            </w:r>
            <w:r>
              <w:rPr>
                <w:bCs/>
                <w:sz w:val="20"/>
                <w:szCs w:val="20"/>
                <w:lang w:eastAsia="en-US"/>
              </w:rPr>
              <w:t xml:space="preserve"> </w:t>
            </w:r>
            <w:r>
              <w:rPr>
                <w:b/>
                <w:bCs/>
                <w:sz w:val="20"/>
                <w:szCs w:val="20"/>
                <w:lang w:eastAsia="en-US"/>
              </w:rPr>
              <w:t>(выбрать нужное)</w:t>
            </w:r>
          </w:p>
        </w:tc>
      </w:tr>
      <w:tr>
        <w:trPr/>
        <w:tc>
          <w:tcPr>
            <w:tcW w:w="566" w:type="dxa"/>
            <w:tcBorders>
              <w:top w:val="single" w:sz="4" w:space="0" w:color="000000"/>
              <w:left w:val="single" w:sz="4" w:space="0" w:color="000000"/>
              <w:bottom w:val="single" w:sz="4" w:space="0" w:color="000000"/>
              <w:right w:val="single" w:sz="4" w:space="0" w:color="000000"/>
            </w:tcBorders>
          </w:tcPr>
          <w:p>
            <w:pPr>
              <w:pStyle w:val="ListParagraph"/>
              <w:ind w:left="39" w:hanging="5"/>
              <w:jc w:val="center"/>
              <w:rPr>
                <w:sz w:val="20"/>
                <w:szCs w:val="20"/>
                <w:lang w:eastAsia="en-US"/>
              </w:rPr>
            </w:pPr>
            <w:r>
              <w:rPr>
                <w:sz w:val="20"/>
                <w:szCs w:val="20"/>
                <w:lang w:eastAsia="en-US"/>
              </w:rPr>
              <w:t>8.</w:t>
            </w:r>
          </w:p>
        </w:tc>
        <w:tc>
          <w:tcPr>
            <w:tcW w:w="4539" w:type="dxa"/>
            <w:tcBorders>
              <w:top w:val="single" w:sz="4" w:space="0" w:color="000000"/>
              <w:left w:val="single" w:sz="4" w:space="0" w:color="000000"/>
              <w:bottom w:val="single" w:sz="4" w:space="0" w:color="000000"/>
              <w:right w:val="single" w:sz="4" w:space="0" w:color="000000"/>
            </w:tcBorders>
          </w:tcPr>
          <w:p>
            <w:pPr>
              <w:pStyle w:val="ConsPlusNormal1"/>
              <w:ind w:hanging="0"/>
              <w:jc w:val="both"/>
              <w:rPr>
                <w:sz w:val="20"/>
                <w:szCs w:val="20"/>
              </w:rPr>
            </w:pPr>
            <w:r>
              <w:rPr>
                <w:rFonts w:cs="Times New Roman" w:ascii="Times New Roman" w:hAnsi="Times New Roman"/>
                <w:sz w:val="20"/>
                <w:szCs w:val="20"/>
              </w:rPr>
              <w:t>Идентификационный код закупки</w:t>
            </w:r>
          </w:p>
        </w:tc>
        <w:tc>
          <w:tcPr>
            <w:tcW w:w="5531"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9" w:hanging="5"/>
              <w:jc w:val="center"/>
              <w:rPr>
                <w:sz w:val="20"/>
                <w:szCs w:val="20"/>
                <w:lang w:eastAsia="en-US"/>
              </w:rPr>
            </w:pPr>
            <w:r>
              <w:rPr>
                <w:sz w:val="20"/>
                <w:szCs w:val="20"/>
                <w:lang w:eastAsia="en-US"/>
              </w:rPr>
              <w:t>9.</w:t>
            </w:r>
          </w:p>
        </w:tc>
        <w:tc>
          <w:tcPr>
            <w:tcW w:w="453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rPr>
                <w:sz w:val="20"/>
                <w:szCs w:val="20"/>
                <w:lang w:eastAsia="en-US"/>
              </w:rPr>
            </w:pPr>
            <w:r>
              <w:rPr>
                <w:sz w:val="20"/>
                <w:szCs w:val="20"/>
                <w:lang w:eastAsia="en-US"/>
              </w:rPr>
              <w:t>Наименование и описание объекта закупки, количество  поставляемого товара, объем выполняемых работ, оказываемых услуг</w:t>
            </w:r>
          </w:p>
        </w:tc>
        <w:tc>
          <w:tcPr>
            <w:tcW w:w="5531"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 xml:space="preserve">Указано в разделе II. «ОПИСАНИЕ ОБЪЕКТА ЗАКУПКИ» (ТЕХНИЧЕСКОЕ ЗАДАНИЕ) настоящей документации об аукционе </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9" w:hanging="0"/>
              <w:jc w:val="center"/>
              <w:rPr>
                <w:sz w:val="20"/>
                <w:szCs w:val="20"/>
                <w:lang w:eastAsia="en-US"/>
              </w:rPr>
            </w:pPr>
            <w:r>
              <w:rPr>
                <w:sz w:val="20"/>
                <w:szCs w:val="20"/>
                <w:lang w:eastAsia="en-US"/>
              </w:rPr>
              <w:t>10.</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5531" w:type="dxa"/>
            <w:tcBorders>
              <w:top w:val="single" w:sz="4" w:space="0" w:color="000000"/>
              <w:left w:val="single" w:sz="4" w:space="0" w:color="000000"/>
              <w:bottom w:val="single" w:sz="4" w:space="0" w:color="000000"/>
              <w:right w:val="single" w:sz="4" w:space="0" w:color="000000"/>
            </w:tcBorders>
          </w:tcPr>
          <w:p>
            <w:pPr>
              <w:pStyle w:val="Normal"/>
              <w:rPr>
                <w:color w:val="000000"/>
                <w:sz w:val="20"/>
                <w:szCs w:val="20"/>
                <w:lang w:eastAsia="en-US"/>
              </w:rPr>
            </w:pPr>
            <w:r>
              <w:rPr>
                <w:color w:val="000000"/>
                <w:sz w:val="20"/>
                <w:szCs w:val="20"/>
                <w:lang w:eastAsia="en-US"/>
              </w:rPr>
              <w:t>__________________________</w:t>
            </w:r>
          </w:p>
          <w:p>
            <w:pPr>
              <w:pStyle w:val="Normal"/>
              <w:jc w:val="left"/>
              <w:rPr>
                <w:color w:val="000000"/>
                <w:sz w:val="20"/>
                <w:szCs w:val="20"/>
                <w:lang w:eastAsia="en-US"/>
              </w:rPr>
            </w:pPr>
            <w:r>
              <w:rPr>
                <w:color w:val="000000"/>
                <w:sz w:val="20"/>
                <w:szCs w:val="20"/>
                <w:lang w:eastAsia="en-US"/>
              </w:rPr>
              <w:t>начальная (максимальная) цены контракта</w:t>
            </w:r>
          </w:p>
          <w:p>
            <w:pPr>
              <w:pStyle w:val="Normal"/>
              <w:rPr>
                <w:color w:val="000000"/>
                <w:sz w:val="20"/>
                <w:szCs w:val="20"/>
                <w:lang w:eastAsia="en-US"/>
              </w:rPr>
            </w:pPr>
            <w:r>
              <w:rPr>
                <w:color w:val="000000"/>
                <w:sz w:val="20"/>
                <w:szCs w:val="20"/>
                <w:lang w:eastAsia="en-US"/>
              </w:rPr>
            </w:r>
          </w:p>
          <w:p>
            <w:pPr>
              <w:pStyle w:val="Normal"/>
              <w:rPr>
                <w:color w:val="000000"/>
                <w:sz w:val="20"/>
                <w:szCs w:val="20"/>
                <w:lang w:eastAsia="en-US"/>
              </w:rPr>
            </w:pPr>
            <w:r>
              <w:rPr>
                <w:color w:val="000000"/>
                <w:sz w:val="20"/>
                <w:szCs w:val="20"/>
                <w:lang w:eastAsia="en-US"/>
              </w:rPr>
              <w:t xml:space="preserve">В случаях, установленных Правительством Российской Федерации в соответствии с </w:t>
            </w:r>
            <w:hyperlink r:id="rId12">
              <w:r>
                <w:rPr>
                  <w:color w:val="000000"/>
                  <w:sz w:val="20"/>
                  <w:lang w:eastAsia="en-US"/>
                </w:rPr>
                <w:t>частью 2 статьи 34</w:t>
              </w:r>
            </w:hyperlink>
            <w:r>
              <w:rPr>
                <w:color w:val="000000"/>
                <w:sz w:val="20"/>
                <w:szCs w:val="20"/>
                <w:lang w:eastAsia="en-US"/>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pPr>
              <w:pStyle w:val="Normal"/>
              <w:rPr>
                <w:color w:val="000000"/>
                <w:sz w:val="20"/>
                <w:szCs w:val="20"/>
                <w:lang w:eastAsia="en-US"/>
              </w:rPr>
            </w:pPr>
            <w:r>
              <w:rPr>
                <w:color w:val="000000"/>
                <w:sz w:val="20"/>
                <w:szCs w:val="20"/>
                <w:lang w:eastAsia="en-US"/>
              </w:rPr>
              <w:t xml:space="preserve">В случае, предусмотренном </w:t>
            </w:r>
            <w:hyperlink r:id="rId13">
              <w:r>
                <w:rPr>
                  <w:color w:val="000000"/>
                  <w:sz w:val="20"/>
                  <w:lang w:eastAsia="en-US"/>
                </w:rPr>
                <w:t>частью 24 статьи 22</w:t>
              </w:r>
            </w:hyperlink>
            <w:r>
              <w:rPr>
                <w:color w:val="000000"/>
                <w:sz w:val="20"/>
                <w:szCs w:val="20"/>
                <w:lang w:eastAsia="en-US"/>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80" w:type="dxa"/>
              <w:jc w:val="left"/>
              <w:tblInd w:w="0" w:type="dxa"/>
              <w:tblCellMar>
                <w:top w:w="0" w:type="dxa"/>
                <w:left w:w="108" w:type="dxa"/>
                <w:bottom w:w="0" w:type="dxa"/>
                <w:right w:w="108" w:type="dxa"/>
              </w:tblCellMar>
              <w:tblLook w:val="01e0" w:noVBand="0" w:noHBand="0" w:lastColumn="1" w:firstColumn="1" w:lastRow="1" w:firstRow="1"/>
            </w:tblPr>
            <w:tblGrid>
              <w:gridCol w:w="426"/>
              <w:gridCol w:w="1752"/>
              <w:gridCol w:w="3102"/>
            </w:tblGrid>
            <w:tr>
              <w:trPr/>
              <w:tc>
                <w:tcPr>
                  <w:tcW w:w="426"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t>№</w:t>
                  </w:r>
                </w:p>
              </w:tc>
              <w:tc>
                <w:tcPr>
                  <w:tcW w:w="175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t>Наименование единицы товара, работы, услуги</w:t>
                  </w:r>
                </w:p>
              </w:tc>
              <w:tc>
                <w:tcPr>
                  <w:tcW w:w="310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t>Начальная цена единицы товара, работы, услуги</w:t>
                  </w:r>
                </w:p>
              </w:tc>
            </w:tr>
            <w:tr>
              <w:trPr/>
              <w:tc>
                <w:tcPr>
                  <w:tcW w:w="426"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t>1</w:t>
                  </w:r>
                </w:p>
              </w:tc>
              <w:tc>
                <w:tcPr>
                  <w:tcW w:w="175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c>
                <w:tcPr>
                  <w:tcW w:w="310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t>2</w:t>
                  </w:r>
                </w:p>
              </w:tc>
              <w:tc>
                <w:tcPr>
                  <w:tcW w:w="175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c>
                <w:tcPr>
                  <w:tcW w:w="310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t>3</w:t>
                  </w:r>
                </w:p>
              </w:tc>
              <w:tc>
                <w:tcPr>
                  <w:tcW w:w="175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c>
                <w:tcPr>
                  <w:tcW w:w="310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t>…</w:t>
                  </w:r>
                </w:p>
              </w:tc>
              <w:tc>
                <w:tcPr>
                  <w:tcW w:w="175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c>
                <w:tcPr>
                  <w:tcW w:w="3102"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c>
                <w:tcPr>
                  <w:tcW w:w="4854" w:type="dxa"/>
                  <w:gridSpan w:val="2"/>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t>Начальная сумма цен указанных единиц</w:t>
                  </w:r>
                </w:p>
              </w:tc>
            </w:tr>
            <w:tr>
              <w:trPr/>
              <w:tc>
                <w:tcPr>
                  <w:tcW w:w="426" w:type="dxa"/>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r>
                </w:p>
              </w:tc>
              <w:tc>
                <w:tcPr>
                  <w:tcW w:w="4854" w:type="dxa"/>
                  <w:gridSpan w:val="2"/>
                  <w:tcBorders>
                    <w:top w:val="single" w:sz="4" w:space="0" w:color="000000"/>
                    <w:left w:val="single" w:sz="4" w:space="0" w:color="000000"/>
                    <w:bottom w:val="single" w:sz="4" w:space="0" w:color="000000"/>
                    <w:right w:val="single" w:sz="4" w:space="0" w:color="000000"/>
                  </w:tcBorders>
                </w:tcPr>
                <w:p>
                  <w:pPr>
                    <w:pStyle w:val="Normal"/>
                    <w:jc w:val="left"/>
                    <w:rPr>
                      <w:color w:val="000000"/>
                      <w:sz w:val="20"/>
                      <w:szCs w:val="20"/>
                      <w:lang w:eastAsia="en-US"/>
                    </w:rPr>
                  </w:pPr>
                  <w:r>
                    <w:rPr>
                      <w:color w:val="000000"/>
                      <w:sz w:val="20"/>
                      <w:szCs w:val="20"/>
                      <w:lang w:eastAsia="en-US"/>
                    </w:rPr>
                    <w:t>Максимальное значение цены контракта</w:t>
                  </w:r>
                </w:p>
              </w:tc>
            </w:tr>
          </w:tbl>
          <w:p>
            <w:pPr>
              <w:pStyle w:val="Normal"/>
              <w:rPr>
                <w:sz w:val="20"/>
                <w:szCs w:val="20"/>
                <w:lang w:eastAsia="en-US"/>
              </w:rPr>
            </w:pPr>
            <w:r>
              <w:rPr>
                <w:sz w:val="20"/>
                <w:szCs w:val="20"/>
                <w:lang w:eastAsia="en-US"/>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9" w:hanging="0"/>
              <w:jc w:val="center"/>
              <w:rPr>
                <w:sz w:val="20"/>
                <w:szCs w:val="20"/>
                <w:lang w:eastAsia="en-US"/>
              </w:rPr>
            </w:pPr>
            <w:r>
              <w:rPr>
                <w:sz w:val="20"/>
                <w:szCs w:val="20"/>
                <w:lang w:eastAsia="en-US"/>
              </w:rPr>
              <w:t>11.</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 xml:space="preserve">Выплата аванса:  </w:t>
            </w:r>
            <w:r>
              <w:rPr>
                <w:b/>
                <w:bCs/>
                <w:sz w:val="20"/>
                <w:szCs w:val="20"/>
                <w:lang w:eastAsia="en-US"/>
              </w:rPr>
              <w:t>предусмотрена/не предусмотрена</w:t>
            </w:r>
            <w:r>
              <w:rPr>
                <w:bCs/>
                <w:sz w:val="20"/>
                <w:szCs w:val="20"/>
                <w:lang w:eastAsia="en-US"/>
              </w:rPr>
              <w:t xml:space="preserve">                      (в случае, если предусмотрена выплата аванса указывается размер аванса (%)). </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12.</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sz w:val="20"/>
                <w:szCs w:val="20"/>
                <w:lang w:eastAsia="en-US"/>
              </w:rPr>
              <w:t>Обоснование начальной (максимальной) цены контракта, начальных цен единиц товара, работы, услуги</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Содержится в разделе IV «ОБОСНОВАНИЕ НАЧАЛЬНОЙ (МАКСИМАЛЬНОЙ) ЦЕНЫ КОНТРАКТА, НАЧАЛЬНЫХ ЦЕН ЕДИНИЦ ТОВАРА, РАБОТЫ, УСЛУГИ».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13.</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Источник финансирования</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14.</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Порядок формирования цены контракта, цены единицы товара, работы, услуги</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9" w:hanging="5"/>
              <w:jc w:val="center"/>
              <w:rPr>
                <w:sz w:val="20"/>
                <w:szCs w:val="20"/>
                <w:lang w:eastAsia="en-US"/>
              </w:rPr>
            </w:pPr>
            <w:r>
              <w:rPr>
                <w:sz w:val="20"/>
                <w:szCs w:val="20"/>
                <w:lang w:eastAsia="en-US"/>
              </w:rPr>
              <w:t>15.</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Место доставки товаров, выполнения работ, оказания услуг</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16.</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Сроки поставки товаров или завершения работ, либо график оказания услуг</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17.</w:t>
            </w:r>
          </w:p>
        </w:tc>
        <w:tc>
          <w:tcPr>
            <w:tcW w:w="453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rPr>
                <w:iCs/>
                <w:color w:val="000000"/>
                <w:sz w:val="20"/>
                <w:szCs w:val="20"/>
                <w:lang w:eastAsia="en-US"/>
              </w:rPr>
            </w:pPr>
            <w:r>
              <w:rPr>
                <w:color w:val="000000"/>
                <w:sz w:val="20"/>
                <w:szCs w:val="20"/>
                <w:lang w:eastAsia="en-US"/>
              </w:rPr>
              <w:t xml:space="preserve">Оплата </w:t>
            </w:r>
            <w:r>
              <w:rPr>
                <w:iCs/>
                <w:color w:val="000000"/>
                <w:sz w:val="20"/>
                <w:szCs w:val="20"/>
                <w:lang w:eastAsia="en-US"/>
              </w:rPr>
              <w:t>поставки товара, выполнения работы или оказания услуги по цене единицы товара, работы, услуги</w:t>
            </w:r>
          </w:p>
          <w:p>
            <w:pPr>
              <w:pStyle w:val="Normal"/>
              <w:keepNext w:val="true"/>
              <w:keepLines/>
              <w:widowControl w:val="false"/>
              <w:suppressLineNumbers/>
              <w:suppressAutoHyphens w:val="true"/>
              <w:spacing w:before="0" w:after="60"/>
              <w:rPr>
                <w:color w:val="000000"/>
                <w:sz w:val="20"/>
                <w:szCs w:val="20"/>
                <w:lang w:eastAsia="en-US"/>
              </w:rPr>
            </w:pPr>
            <w:r>
              <w:rPr>
                <w:color w:val="000000"/>
                <w:sz w:val="20"/>
                <w:szCs w:val="20"/>
                <w:lang w:eastAsia="en-US"/>
              </w:rPr>
            </w:r>
          </w:p>
        </w:tc>
        <w:tc>
          <w:tcPr>
            <w:tcW w:w="5531" w:type="dxa"/>
            <w:tcBorders>
              <w:top w:val="single" w:sz="4" w:space="0" w:color="000000"/>
              <w:left w:val="single" w:sz="4" w:space="0" w:color="000000"/>
              <w:bottom w:val="single" w:sz="4" w:space="0" w:color="000000"/>
              <w:right w:val="single" w:sz="4" w:space="0" w:color="000000"/>
            </w:tcBorders>
          </w:tcPr>
          <w:p>
            <w:pPr>
              <w:pStyle w:val="Normal"/>
              <w:rPr>
                <w:color w:val="000000"/>
                <w:sz w:val="20"/>
                <w:szCs w:val="20"/>
                <w:lang w:eastAsia="en-US"/>
              </w:rPr>
            </w:pPr>
            <w:r>
              <w:rPr>
                <w:b/>
                <w:color w:val="000000"/>
                <w:sz w:val="20"/>
                <w:szCs w:val="20"/>
                <w:lang w:eastAsia="en-US"/>
              </w:rPr>
              <w:t>Предусмотрена:</w:t>
            </w:r>
            <w:r>
              <w:rPr>
                <w:color w:val="000000"/>
                <w:sz w:val="20"/>
                <w:szCs w:val="20"/>
                <w:lang w:eastAsia="en-US"/>
              </w:rPr>
              <w:t xml:space="preserve"> </w:t>
            </w:r>
            <w:r>
              <w:rPr>
                <w:iCs/>
                <w:color w:val="000000"/>
                <w:sz w:val="20"/>
                <w:szCs w:val="20"/>
                <w:lang w:eastAsia="en-US"/>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pPr>
              <w:pStyle w:val="Normal"/>
              <w:rPr>
                <w:b/>
                <w:b/>
                <w:color w:val="000000"/>
                <w:sz w:val="20"/>
                <w:szCs w:val="20"/>
                <w:lang w:eastAsia="en-US"/>
              </w:rPr>
            </w:pPr>
            <w:r>
              <w:rPr>
                <w:b/>
                <w:color w:val="000000"/>
                <w:sz w:val="20"/>
                <w:szCs w:val="20"/>
                <w:lang w:eastAsia="en-US"/>
              </w:rPr>
              <w:t>/не предусмотрена</w:t>
            </w:r>
          </w:p>
          <w:p>
            <w:pPr>
              <w:pStyle w:val="Normal"/>
              <w:spacing w:before="0" w:after="60"/>
              <w:rPr>
                <w:i/>
                <w:i/>
                <w:color w:val="000000"/>
                <w:sz w:val="20"/>
                <w:szCs w:val="20"/>
                <w:lang w:eastAsia="en-US"/>
              </w:rPr>
            </w:pPr>
            <w:r>
              <w:rPr>
                <w:i/>
                <w:color w:val="000000"/>
                <w:sz w:val="20"/>
                <w:szCs w:val="20"/>
                <w:lang w:eastAsia="en-US"/>
              </w:rPr>
              <w:t>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18.</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Форма, срок и порядок оплаты (товаров, работ, услуг)</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19.</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Сведения о валюте, используемой для формирования начальной (максимальной) цены контракта, и расчетов с поставщиками (подрядчиками, исполнителями)</w:t>
            </w:r>
          </w:p>
        </w:tc>
        <w:tc>
          <w:tcPr>
            <w:tcW w:w="5531"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Российский рубль</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20.</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31"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Не применяется</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21.</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 xml:space="preserve">Ограничения участия в определении поставщика (подрядчика, исполнителя) </w:t>
            </w:r>
          </w:p>
        </w:tc>
        <w:tc>
          <w:tcPr>
            <w:tcW w:w="5531" w:type="dxa"/>
            <w:tcBorders>
              <w:top w:val="single" w:sz="4" w:space="0" w:color="000000"/>
              <w:left w:val="single" w:sz="4" w:space="0" w:color="000000"/>
              <w:bottom w:val="single" w:sz="4" w:space="0" w:color="000000"/>
              <w:right w:val="single" w:sz="4" w:space="0" w:color="000000"/>
            </w:tcBorders>
          </w:tcPr>
          <w:p>
            <w:pPr>
              <w:pStyle w:val="ConsPlusDocList"/>
              <w:keepNext w:val="true"/>
              <w:keepLines/>
              <w:widowControl/>
              <w:suppressAutoHyphens w:val="false"/>
              <w:snapToGrid w:val="false"/>
              <w:jc w:val="both"/>
              <w:rPr>
                <w:bCs/>
              </w:rPr>
            </w:pPr>
            <w:r>
              <w:rPr>
                <w:rFonts w:cs="Times New Roman" w:ascii="Times New Roman" w:hAnsi="Times New Roman"/>
                <w:b/>
                <w:bCs/>
                <w:lang w:eastAsia="en-US"/>
              </w:rPr>
              <w:t>Не установлено/ Установлено.</w:t>
            </w:r>
            <w:r>
              <w:rPr>
                <w:rFonts w:cs="Times New Roman" w:ascii="Times New Roman" w:hAnsi="Times New Roman"/>
                <w:bCs/>
                <w:lang w:eastAsia="en-US"/>
              </w:rPr>
              <w:t xml:space="preserve"> </w:t>
            </w:r>
            <w:r>
              <w:rPr>
                <w:rFonts w:cs="Times New Roman" w:ascii="Times New Roman" w:hAnsi="Times New Roman"/>
                <w:bCs/>
              </w:rPr>
              <w:t xml:space="preserve">Участниками закупки могут быть только </w:t>
            </w:r>
            <w:r>
              <w:rPr>
                <w:rFonts w:cs="Times New Roman" w:ascii="Times New Roman" w:hAnsi="Times New Roman"/>
                <w:bCs/>
                <w:u w:val="single"/>
              </w:rPr>
              <w:t>субъекты малого предпринимательства</w:t>
            </w:r>
            <w:r>
              <w:rPr>
                <w:rFonts w:cs="Times New Roman" w:ascii="Times New Roman" w:hAnsi="Times New Roman"/>
                <w:bCs/>
              </w:rPr>
              <w:t xml:space="preserve">, </w:t>
            </w:r>
            <w:r>
              <w:rPr>
                <w:rFonts w:cs="Times New Roman" w:ascii="Times New Roman" w:hAnsi="Times New Roman"/>
              </w:rPr>
              <w:t xml:space="preserve">соответствующие условиям, установленным статьи 4 Федерального закона от 24.07.2007 № 209-ФЗ «О развитии малого и среднего предпринимательства в Российской Федерации», </w:t>
            </w:r>
            <w:r>
              <w:rPr>
                <w:rFonts w:cs="Times New Roman" w:ascii="Times New Roman" w:hAnsi="Times New Roman"/>
                <w:bCs/>
                <w:u w:val="single"/>
              </w:rPr>
              <w:t>социально ориентированные некоммерческие организации</w:t>
            </w:r>
            <w:r>
              <w:rPr>
                <w:rFonts w:cs="Times New Roman" w:ascii="Times New Roman" w:hAnsi="Times New Roman"/>
                <w:bCs/>
              </w:rPr>
              <w:t>, соответствующие требованиям статьи 31.1  Федерального закона от 12.01.1996 № 7-ФЗ «О некоммерческих организациях»).</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22.</w:t>
            </w:r>
          </w:p>
        </w:tc>
        <w:tc>
          <w:tcPr>
            <w:tcW w:w="4539" w:type="dxa"/>
            <w:tcBorders>
              <w:top w:val="single" w:sz="4" w:space="0" w:color="000000"/>
              <w:left w:val="single" w:sz="4" w:space="0" w:color="000000"/>
              <w:bottom w:val="single" w:sz="4" w:space="0" w:color="000000"/>
              <w:right w:val="single" w:sz="4" w:space="0" w:color="000000"/>
            </w:tcBorders>
          </w:tcPr>
          <w:p>
            <w:pPr>
              <w:pStyle w:val="Style22"/>
              <w:jc w:val="both"/>
              <w:rPr>
                <w:sz w:val="20"/>
                <w:szCs w:val="20"/>
              </w:rPr>
            </w:pPr>
            <w:r>
              <w:rPr>
                <w:sz w:val="20"/>
                <w:szCs w:val="20"/>
              </w:rPr>
              <w:t xml:space="preserve">Преимущества, предоставляемые заказчиком в соответствии со статьей 28 и 29 Закона о контрактной системе </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i/>
                <w:i/>
                <w:sz w:val="20"/>
                <w:szCs w:val="20"/>
                <w:lang w:eastAsia="en-US"/>
              </w:rPr>
            </w:pPr>
            <w:r>
              <w:rPr>
                <w:bCs/>
                <w:sz w:val="20"/>
                <w:szCs w:val="20"/>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bCs/>
                <w:i/>
                <w:sz w:val="20"/>
                <w:szCs w:val="20"/>
                <w:lang w:eastAsia="en-US"/>
              </w:rPr>
              <w:t xml:space="preserve">предоставляются/не предоставляются. </w:t>
            </w:r>
          </w:p>
          <w:p>
            <w:pPr>
              <w:pStyle w:val="Normal"/>
              <w:rPr>
                <w:bCs/>
                <w:sz w:val="20"/>
                <w:szCs w:val="20"/>
                <w:lang w:eastAsia="en-US"/>
              </w:rPr>
            </w:pPr>
            <w:r>
              <w:rPr>
                <w:bCs/>
                <w:sz w:val="20"/>
                <w:szCs w:val="20"/>
                <w:lang w:eastAsia="en-US"/>
              </w:rPr>
              <w:t>Размер ___________% от цены контракта.</w:t>
            </w:r>
          </w:p>
          <w:p>
            <w:pPr>
              <w:pStyle w:val="Normal"/>
              <w:rPr>
                <w:bCs/>
                <w:sz w:val="20"/>
                <w:szCs w:val="20"/>
                <w:lang w:eastAsia="en-US"/>
              </w:rPr>
            </w:pPr>
            <w:r>
              <w:rPr>
                <w:bCs/>
                <w:sz w:val="20"/>
                <w:szCs w:val="20"/>
                <w:lang w:eastAsia="en-US"/>
              </w:rPr>
            </w:r>
          </w:p>
          <w:p>
            <w:pPr>
              <w:pStyle w:val="Normal"/>
              <w:rPr>
                <w:bCs/>
                <w:i/>
                <w:i/>
                <w:sz w:val="20"/>
                <w:szCs w:val="20"/>
                <w:lang w:eastAsia="en-US"/>
              </w:rPr>
            </w:pPr>
            <w:r>
              <w:rPr>
                <w:bCs/>
                <w:sz w:val="20"/>
                <w:szCs w:val="20"/>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bCs/>
                <w:i/>
                <w:sz w:val="20"/>
                <w:szCs w:val="20"/>
                <w:lang w:eastAsia="en-US"/>
              </w:rPr>
              <w:t xml:space="preserve">предоставляются/не предоставляются. </w:t>
            </w:r>
          </w:p>
          <w:p>
            <w:pPr>
              <w:pStyle w:val="Normal"/>
              <w:rPr>
                <w:sz w:val="20"/>
                <w:szCs w:val="20"/>
                <w:lang w:eastAsia="en-US"/>
              </w:rPr>
            </w:pPr>
            <w:r>
              <w:rPr>
                <w:bCs/>
                <w:sz w:val="20"/>
                <w:szCs w:val="20"/>
                <w:lang w:eastAsia="en-US"/>
              </w:rPr>
              <w:t xml:space="preserve">Размер ___________% от цены контракта. </w:t>
            </w:r>
          </w:p>
        </w:tc>
      </w:tr>
      <w:tr>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9" w:hanging="5"/>
              <w:jc w:val="center"/>
              <w:rPr>
                <w:sz w:val="20"/>
                <w:szCs w:val="20"/>
                <w:lang w:eastAsia="en-US"/>
              </w:rPr>
            </w:pPr>
            <w:r>
              <w:rPr>
                <w:sz w:val="20"/>
                <w:szCs w:val="20"/>
                <w:lang w:eastAsia="en-US"/>
              </w:rPr>
              <w:t>23.</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rFonts w:eastAsia="Calibri" w:eastAsiaTheme="minorHAnsi"/>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5531" w:type="dxa"/>
            <w:tcBorders>
              <w:top w:val="single" w:sz="4" w:space="0" w:color="000000"/>
              <w:left w:val="single" w:sz="4" w:space="0" w:color="000000"/>
              <w:bottom w:val="single" w:sz="4" w:space="0" w:color="000000"/>
              <w:right w:val="single" w:sz="4" w:space="0" w:color="000000"/>
            </w:tcBorders>
          </w:tcPr>
          <w:p>
            <w:pPr>
              <w:pStyle w:val="ConsPlusNormal1"/>
              <w:ind w:hanging="0"/>
              <w:jc w:val="both"/>
              <w:rPr>
                <w:rFonts w:ascii="Times New Roman" w:hAnsi="Times New Roman" w:cs="Times New Roman"/>
                <w:bCs/>
                <w:sz w:val="20"/>
                <w:szCs w:val="20"/>
              </w:rPr>
            </w:pPr>
            <w:r>
              <w:rPr>
                <w:rFonts w:cs="Times New Roman" w:ascii="Times New Roman" w:hAnsi="Times New Roman"/>
                <w:b/>
                <w:sz w:val="20"/>
                <w:szCs w:val="20"/>
              </w:rPr>
              <w:t>Не установлены/Установлены</w:t>
            </w:r>
            <w:r>
              <w:rPr>
                <w:rFonts w:cs="Times New Roman" w:ascii="Times New Roman" w:hAnsi="Times New Roman"/>
                <w:sz w:val="20"/>
                <w:szCs w:val="20"/>
              </w:rPr>
              <w:t xml:space="preserve"> </w:t>
            </w:r>
            <w:r>
              <w:rPr>
                <w:rFonts w:cs="Times New Roman" w:ascii="Times New Roman" w:hAnsi="Times New Roman"/>
                <w:i/>
                <w:sz w:val="20"/>
                <w:szCs w:val="20"/>
              </w:rPr>
              <w:t>(с указанием нормативного правового акта)</w:t>
            </w:r>
          </w:p>
        </w:tc>
      </w:tr>
      <w:tr>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9" w:hanging="5"/>
              <w:jc w:val="center"/>
              <w:rPr>
                <w:sz w:val="20"/>
                <w:szCs w:val="20"/>
                <w:lang w:eastAsia="en-US"/>
              </w:rPr>
            </w:pPr>
            <w:r>
              <w:rPr>
                <w:sz w:val="20"/>
                <w:szCs w:val="20"/>
                <w:lang w:eastAsia="en-US"/>
              </w:rPr>
              <w:t>24.</w:t>
            </w:r>
          </w:p>
        </w:tc>
        <w:tc>
          <w:tcPr>
            <w:tcW w:w="453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rPr>
                <w:sz w:val="20"/>
                <w:szCs w:val="20"/>
                <w:lang w:eastAsia="en-US"/>
              </w:rPr>
            </w:pPr>
            <w:r>
              <w:rPr>
                <w:sz w:val="20"/>
                <w:szCs w:val="20"/>
                <w:lang w:eastAsia="en-US"/>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5531" w:type="dxa"/>
            <w:tcBorders>
              <w:top w:val="single" w:sz="4" w:space="0" w:color="000000"/>
              <w:left w:val="single" w:sz="4" w:space="0" w:color="000000"/>
              <w:bottom w:val="single" w:sz="4" w:space="0" w:color="000000"/>
              <w:right w:val="single" w:sz="4" w:space="0" w:color="000000"/>
            </w:tcBorders>
          </w:tcPr>
          <w:p>
            <w:pPr>
              <w:pStyle w:val="Normal"/>
              <w:ind w:firstLine="54"/>
              <w:rPr>
                <w:b/>
                <w:b/>
                <w:sz w:val="20"/>
                <w:szCs w:val="20"/>
                <w:lang w:eastAsia="en-US"/>
              </w:rPr>
            </w:pPr>
            <w:r>
              <w:rPr>
                <w:b/>
                <w:sz w:val="20"/>
                <w:szCs w:val="20"/>
                <w:lang w:eastAsia="en-US"/>
              </w:rPr>
              <w:t>Установлено/не установлено.</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25.</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Требования, предъявляемые к участникам электронного аукциона</w:t>
            </w:r>
          </w:p>
        </w:tc>
        <w:tc>
          <w:tcPr>
            <w:tcW w:w="553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0"/>
                <w:szCs w:val="20"/>
                <w:lang w:eastAsia="en-US"/>
              </w:rPr>
            </w:pPr>
            <w:r>
              <w:rPr>
                <w:bCs/>
                <w:sz w:val="20"/>
                <w:szCs w:val="20"/>
                <w:lang w:eastAsia="en-US"/>
              </w:rPr>
              <w:t>В аукционе может участвовать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pPr>
              <w:pStyle w:val="Normal"/>
              <w:widowControl w:val="false"/>
              <w:rPr>
                <w:bCs/>
                <w:sz w:val="20"/>
                <w:szCs w:val="20"/>
                <w:lang w:eastAsia="en-US"/>
              </w:rPr>
            </w:pPr>
            <w:r>
              <w:rPr>
                <w:bCs/>
                <w:sz w:val="20"/>
                <w:szCs w:val="20"/>
                <w:lang w:eastAsia="en-US"/>
              </w:rPr>
              <w:t>Единые требования к участникам электронного аукциона:</w:t>
            </w:r>
          </w:p>
          <w:p>
            <w:pPr>
              <w:pStyle w:val="Normal"/>
              <w:widowControl w:val="false"/>
              <w:rPr>
                <w:bCs/>
                <w:sz w:val="20"/>
                <w:szCs w:val="20"/>
                <w:lang w:eastAsia="en-US"/>
              </w:rPr>
            </w:pPr>
            <w:r>
              <w:rPr>
                <w:bCs/>
                <w:sz w:val="20"/>
                <w:szCs w:val="20"/>
                <w:lang w:eastAsia="en-US"/>
              </w:rPr>
              <w:t>•</w:t>
            </w:r>
            <w:r>
              <w:rPr>
                <w:bCs/>
                <w:sz w:val="20"/>
                <w:szCs w:val="20"/>
                <w:lang w:eastAsia="en-US"/>
              </w:rPr>
              <w:tab/>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pPr>
              <w:pStyle w:val="Normal"/>
              <w:widowControl w:val="false"/>
              <w:rPr>
                <w:bCs/>
                <w:sz w:val="20"/>
                <w:szCs w:val="20"/>
                <w:lang w:eastAsia="en-US"/>
              </w:rPr>
            </w:pPr>
            <w:r>
              <w:rPr>
                <w:bCs/>
                <w:sz w:val="20"/>
                <w:szCs w:val="20"/>
                <w:lang w:eastAsia="en-US"/>
              </w:rPr>
              <w:t>•</w:t>
            </w:r>
            <w:r>
              <w:rPr>
                <w:bCs/>
                <w:sz w:val="20"/>
                <w:szCs w:val="20"/>
                <w:lang w:eastAsia="en-US"/>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widowControl w:val="false"/>
              <w:rPr>
                <w:bCs/>
                <w:sz w:val="20"/>
                <w:szCs w:val="20"/>
                <w:lang w:eastAsia="en-US"/>
              </w:rPr>
            </w:pPr>
            <w:r>
              <w:rPr>
                <w:bCs/>
                <w:sz w:val="20"/>
                <w:szCs w:val="20"/>
                <w:lang w:eastAsia="en-US"/>
              </w:rPr>
              <w:t>•</w:t>
            </w:r>
            <w:r>
              <w:rPr>
                <w:bCs/>
                <w:sz w:val="20"/>
                <w:szCs w:val="20"/>
                <w:lang w:eastAsia="en-US"/>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widowControl w:val="false"/>
              <w:rPr>
                <w:bCs/>
                <w:sz w:val="20"/>
                <w:szCs w:val="20"/>
                <w:lang w:eastAsia="en-US"/>
              </w:rPr>
            </w:pPr>
            <w:r>
              <w:rPr>
                <w:bCs/>
                <w:sz w:val="20"/>
                <w:szCs w:val="20"/>
                <w:lang w:eastAsia="en-US"/>
              </w:rPr>
              <w:t>•</w:t>
            </w:r>
            <w:r>
              <w:rPr>
                <w:bCs/>
                <w:sz w:val="20"/>
                <w:szCs w:val="20"/>
                <w:lang w:eastAsia="en-U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pPr>
              <w:pStyle w:val="Normal"/>
              <w:widowControl w:val="false"/>
              <w:rPr>
                <w:bCs/>
                <w:sz w:val="20"/>
                <w:szCs w:val="20"/>
                <w:lang w:eastAsia="en-US"/>
              </w:rPr>
            </w:pPr>
            <w:r>
              <w:rPr>
                <w:bCs/>
                <w:sz w:val="20"/>
                <w:szCs w:val="20"/>
                <w:lang w:eastAsia="en-US"/>
              </w:rPr>
              <w:t>•</w:t>
            </w:r>
            <w:r>
              <w:rPr>
                <w:bCs/>
                <w:sz w:val="20"/>
                <w:szCs w:val="20"/>
                <w:lang w:eastAsia="en-U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widowControl w:val="false"/>
              <w:rPr>
                <w:bCs/>
                <w:sz w:val="20"/>
                <w:szCs w:val="20"/>
                <w:lang w:eastAsia="en-US"/>
              </w:rPr>
            </w:pPr>
            <w:r>
              <w:rPr>
                <w:bCs/>
                <w:sz w:val="20"/>
                <w:szCs w:val="20"/>
                <w:lang w:eastAsia="en-US"/>
              </w:rPr>
              <w:t>•</w:t>
            </w:r>
            <w:r>
              <w:rPr>
                <w:bCs/>
                <w:sz w:val="20"/>
                <w:szCs w:val="20"/>
                <w:lang w:eastAsia="en-U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widowControl w:val="false"/>
              <w:rPr>
                <w:bCs/>
                <w:sz w:val="20"/>
                <w:szCs w:val="20"/>
                <w:lang w:eastAsia="en-US"/>
              </w:rPr>
            </w:pPr>
            <w:r>
              <w:rPr>
                <w:bCs/>
                <w:sz w:val="20"/>
                <w:szCs w:val="20"/>
                <w:lang w:eastAsia="en-US"/>
              </w:rPr>
              <w:t>•</w:t>
            </w:r>
            <w:r>
              <w:rPr>
                <w:bCs/>
                <w:sz w:val="20"/>
                <w:szCs w:val="20"/>
                <w:lang w:eastAsia="en-US"/>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pPr>
              <w:pStyle w:val="Normal"/>
              <w:widowControl w:val="false"/>
              <w:rPr>
                <w:bCs/>
                <w:sz w:val="20"/>
                <w:szCs w:val="20"/>
                <w:lang w:eastAsia="en-US"/>
              </w:rPr>
            </w:pPr>
            <w:r>
              <w:rPr>
                <w:bCs/>
                <w:sz w:val="20"/>
                <w:szCs w:val="20"/>
                <w:lang w:eastAsia="en-US"/>
              </w:rPr>
              <w:t>•</w:t>
            </w:r>
            <w:r>
              <w:rPr>
                <w:bCs/>
                <w:sz w:val="20"/>
                <w:szCs w:val="20"/>
                <w:lang w:eastAsia="en-US"/>
              </w:rPr>
              <w:tab/>
              <w:t>участник закупки не является офшорной компанией;</w:t>
            </w:r>
          </w:p>
          <w:p>
            <w:pPr>
              <w:pStyle w:val="Normal"/>
              <w:rPr>
                <w:bCs/>
                <w:sz w:val="20"/>
                <w:szCs w:val="20"/>
                <w:lang w:eastAsia="en-US"/>
              </w:rPr>
            </w:pPr>
            <w:r>
              <w:rPr>
                <w:bCs/>
                <w:sz w:val="20"/>
                <w:szCs w:val="20"/>
                <w:lang w:eastAsia="en-US"/>
              </w:rPr>
              <w:t>•</w:t>
            </w:r>
            <w:r>
              <w:rPr>
                <w:bCs/>
                <w:sz w:val="20"/>
                <w:szCs w:val="20"/>
                <w:lang w:eastAsia="en-US"/>
              </w:rPr>
              <w:tab/>
              <w:t xml:space="preserve">отсутствие у участника закупки ограничений для участия в закупках, установленных законодательством Российской Федерации. </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26.</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Требование об отсутствии сведений об участнике закупки в реестре недобросовестных поставщиков</w:t>
            </w:r>
          </w:p>
        </w:tc>
        <w:tc>
          <w:tcPr>
            <w:tcW w:w="553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Установлены:</w:t>
            </w:r>
          </w:p>
          <w:p>
            <w:pPr>
              <w:pStyle w:val="Normal"/>
              <w:rPr>
                <w:rFonts w:eastAsia="Calibri" w:eastAsiaTheme="minorHAnsi"/>
                <w:b/>
                <w:b/>
                <w:sz w:val="20"/>
                <w:szCs w:val="20"/>
                <w:lang w:eastAsia="en-US"/>
              </w:rPr>
            </w:pPr>
            <w:r>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27.</w:t>
            </w:r>
          </w:p>
        </w:tc>
        <w:tc>
          <w:tcPr>
            <w:tcW w:w="453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jc w:val="left"/>
              <w:rPr>
                <w:sz w:val="20"/>
                <w:szCs w:val="20"/>
                <w:lang w:eastAsia="en-US"/>
              </w:rPr>
            </w:pPr>
            <w:r>
              <w:rPr>
                <w:sz w:val="20"/>
                <w:szCs w:val="20"/>
                <w:lang w:eastAsia="en-US"/>
              </w:rPr>
              <w:t>Дополнительные требования к участникам закупки</w:t>
            </w:r>
          </w:p>
        </w:tc>
        <w:tc>
          <w:tcPr>
            <w:tcW w:w="5531" w:type="dxa"/>
            <w:tcBorders>
              <w:top w:val="single" w:sz="4" w:space="0" w:color="000000"/>
              <w:left w:val="single" w:sz="4" w:space="0" w:color="000000"/>
              <w:bottom w:val="single" w:sz="4" w:space="0" w:color="000000"/>
              <w:right w:val="single" w:sz="4" w:space="0" w:color="000000"/>
            </w:tcBorders>
          </w:tcPr>
          <w:p>
            <w:pPr>
              <w:pStyle w:val="ListParagraph"/>
              <w:ind w:left="0" w:hanging="0"/>
              <w:jc w:val="both"/>
              <w:rPr>
                <w:sz w:val="20"/>
                <w:szCs w:val="20"/>
                <w:lang w:eastAsia="en-US"/>
              </w:rPr>
            </w:pPr>
            <w:r>
              <w:rPr>
                <w:b/>
                <w:sz w:val="20"/>
                <w:szCs w:val="20"/>
                <w:lang w:eastAsia="en-US"/>
              </w:rPr>
              <w:t>Не установлено/ установлено</w:t>
            </w:r>
            <w:r>
              <w:rPr>
                <w:sz w:val="20"/>
                <w:szCs w:val="20"/>
                <w:lang w:eastAsia="en-US"/>
              </w:rPr>
              <w:t xml:space="preserve"> </w:t>
            </w:r>
            <w:r>
              <w:rPr>
                <w:i/>
                <w:sz w:val="20"/>
                <w:szCs w:val="20"/>
                <w:lang w:eastAsia="en-US"/>
              </w:rPr>
              <w:t>(с указанием нормативного правового акта)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28.</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sz w:val="20"/>
                <w:szCs w:val="20"/>
                <w:lang w:eastAsia="en-US"/>
              </w:rPr>
              <w:t xml:space="preserve">Исчерпывающий перечень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 </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rFonts w:eastAsia="Calibri" w:eastAsiaTheme="minorHAnsi"/>
                <w:sz w:val="20"/>
                <w:szCs w:val="20"/>
                <w:lang w:eastAsia="en-US"/>
              </w:rPr>
              <w:t xml:space="preserve">Устанавливаются в соответствии с </w:t>
            </w:r>
            <w:hyperlink r:id="rId14">
              <w:r>
                <w:rPr>
                  <w:rFonts w:eastAsia="Calibri" w:eastAsiaTheme="minorHAnsi"/>
                  <w:sz w:val="20"/>
                  <w:lang w:eastAsia="en-US"/>
                </w:rPr>
                <w:t>пунктом 1 части 1 статьи 31</w:t>
              </w:r>
            </w:hyperlink>
            <w:r>
              <w:rPr>
                <w:rFonts w:eastAsia="Calibri" w:eastAsiaTheme="minorHAnsi"/>
                <w:sz w:val="20"/>
                <w:szCs w:val="20"/>
                <w:lang w:eastAsia="en-US"/>
              </w:rPr>
              <w:t xml:space="preserve"> Закона о контрактной системе (при наличии такого требования)</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29.</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 xml:space="preserve">Исчерпывающий перечень документов, подтверждающих соответствие товара требованиям действующего законодательства </w:t>
            </w:r>
          </w:p>
        </w:tc>
        <w:tc>
          <w:tcPr>
            <w:tcW w:w="5531"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bCs/>
                <w:sz w:val="20"/>
                <w:szCs w:val="20"/>
                <w:lang w:eastAsia="en-US"/>
              </w:rPr>
              <w:t>Конкретизируется при проведении закупок товаров, работ, услуг</w:t>
            </w:r>
            <w:r>
              <w:rPr>
                <w:rFonts w:eastAsia="Calibri" w:eastAsiaTheme="minorHAnsi"/>
                <w:sz w:val="20"/>
                <w:szCs w:val="20"/>
                <w:lang w:eastAsia="en-US"/>
              </w:rPr>
              <w:t>.</w:t>
            </w:r>
          </w:p>
          <w:p>
            <w:pPr>
              <w:pStyle w:val="Normal"/>
              <w:rPr>
                <w:rFonts w:eastAsia="Calibri" w:eastAsiaTheme="minorHAnsi"/>
                <w:sz w:val="20"/>
                <w:szCs w:val="20"/>
                <w:lang w:eastAsia="en-US"/>
              </w:rPr>
            </w:pPr>
            <w:r>
              <w:rPr>
                <w:rFonts w:eastAsia="Calibri" w:eastAsiaTheme="minorHAnsi"/>
                <w:sz w:val="20"/>
                <w:szCs w:val="20"/>
                <w:lang w:eastAsia="en-US"/>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30.</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 xml:space="preserve">Исчерпывающий перечень документов, подтверждающих соответствие участников закупки дополнительным требованиям, установленным Постановлением Правительства РФ №99 от 04.02.2015 г. (Указанные документы, в соответствии с частью 8.2. статьи 66 Закона о контрактной системе, не включаются участником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 площадке). </w:t>
            </w:r>
          </w:p>
        </w:tc>
        <w:tc>
          <w:tcPr>
            <w:tcW w:w="5531"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bCs/>
                <w:sz w:val="20"/>
                <w:szCs w:val="20"/>
                <w:lang w:eastAsia="en-US"/>
              </w:rPr>
              <w:t>Конкретизируется при проведении закупок товаров, работ, услуг</w:t>
            </w:r>
          </w:p>
          <w:p>
            <w:pPr>
              <w:pStyle w:val="Normal"/>
              <w:rPr>
                <w:bCs/>
                <w:sz w:val="20"/>
                <w:szCs w:val="20"/>
                <w:lang w:eastAsia="en-US"/>
              </w:rPr>
            </w:pPr>
            <w:r>
              <w:rPr>
                <w:bCs/>
                <w:sz w:val="20"/>
                <w:szCs w:val="20"/>
                <w:lang w:eastAsia="en-US"/>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31.</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Срок,  место и порядок подачи заявок участников закупки</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sz w:val="20"/>
                <w:szCs w:val="20"/>
                <w:shd w:fill="FFFFFF" w:val="clear"/>
                <w:lang w:eastAsia="en-US"/>
              </w:rPr>
              <w:t>предусмотренных документацией о таком аукционе даты и времени окончания срока подачи на участие в таком аукционе заявок.</w:t>
            </w:r>
          </w:p>
          <w:p>
            <w:pPr>
              <w:pStyle w:val="Normal"/>
              <w:rPr>
                <w:bCs/>
                <w:sz w:val="20"/>
                <w:szCs w:val="20"/>
                <w:lang w:eastAsia="en-US"/>
              </w:rPr>
            </w:pPr>
            <w:r>
              <w:rPr>
                <w:bCs/>
                <w:sz w:val="20"/>
                <w:szCs w:val="20"/>
                <w:lang w:eastAsia="en-US"/>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 </w:t>
            </w:r>
          </w:p>
          <w:p>
            <w:pPr>
              <w:pStyle w:val="Normal"/>
              <w:rPr>
                <w:sz w:val="20"/>
                <w:szCs w:val="20"/>
                <w:highlight w:val="white"/>
                <w:lang w:eastAsia="en-US"/>
              </w:rPr>
            </w:pPr>
            <w:r>
              <w:rPr>
                <w:sz w:val="20"/>
                <w:szCs w:val="20"/>
                <w:shd w:fill="FFFFFF" w:val="clear"/>
                <w:lang w:eastAsia="en-US"/>
              </w:rPr>
              <w:t xml:space="preserve">Участник электронного аукциона вправе подать только одну заявку на участие в таком аукционе в отношении объекта закупки. </w:t>
            </w:r>
          </w:p>
          <w:p>
            <w:pPr>
              <w:pStyle w:val="Normal"/>
              <w:rPr>
                <w:sz w:val="20"/>
                <w:szCs w:val="20"/>
                <w:highlight w:val="white"/>
                <w:lang w:eastAsia="en-US"/>
              </w:rPr>
            </w:pPr>
            <w:r>
              <w:rPr>
                <w:sz w:val="20"/>
                <w:szCs w:val="20"/>
                <w:shd w:fill="FFFFFF" w:val="clear"/>
                <w:lang w:eastAsia="en-US"/>
              </w:rPr>
              <w:t xml:space="preserve">Заявка на участие в аукционе направляется участником аукциона оператору электронной площадки указанной в п. 5  </w:t>
            </w:r>
          </w:p>
          <w:p>
            <w:pPr>
              <w:pStyle w:val="Normal"/>
              <w:rPr>
                <w:sz w:val="20"/>
                <w:szCs w:val="20"/>
                <w:highlight w:val="white"/>
                <w:lang w:eastAsia="en-US"/>
              </w:rPr>
            </w:pPr>
            <w:r>
              <w:rPr>
                <w:sz w:val="20"/>
                <w:szCs w:val="20"/>
                <w:shd w:fill="FFFFFF" w:val="clear"/>
                <w:lang w:eastAsia="en-US"/>
              </w:rPr>
              <w:t xml:space="preserve">документации об аукционе в форме двух электронных документов. Обе части заявок подаются одновременно. </w:t>
            </w:r>
          </w:p>
          <w:p>
            <w:pPr>
              <w:pStyle w:val="Normal"/>
              <w:rPr>
                <w:sz w:val="20"/>
                <w:szCs w:val="20"/>
                <w:highlight w:val="white"/>
                <w:lang w:eastAsia="en-US"/>
              </w:rPr>
            </w:pPr>
            <w:r>
              <w:rPr>
                <w:sz w:val="20"/>
                <w:szCs w:val="20"/>
                <w:shd w:fill="FFFFFF" w:val="clear"/>
                <w:lang w:eastAsia="en-US"/>
              </w:rPr>
              <w:t xml:space="preserve">Требования к содержанию и составу заявки на участие в электронном аукционе указаны в п. 37 документации об аукционе. </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32.</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Порядок и срок отзыва заявок на участие в аукционе</w:t>
            </w:r>
          </w:p>
        </w:tc>
        <w:tc>
          <w:tcPr>
            <w:tcW w:w="5531"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Участник закупки вправе изменить или отозвать свою заявку до истечения срока подачи заявок. В этом случае участник закупки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33.</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Дата и время окончания срока подачи заявок на участие в аукционе</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
                <w:b/>
                <w:bCs/>
                <w:color w:val="FF0000"/>
                <w:sz w:val="20"/>
                <w:szCs w:val="20"/>
                <w:lang w:eastAsia="en-US"/>
              </w:rPr>
            </w:pPr>
            <w:r>
              <w:rPr>
                <w:b/>
                <w:color w:val="FF0000"/>
                <w:sz w:val="20"/>
                <w:szCs w:val="20"/>
                <w:lang w:eastAsia="en-US"/>
              </w:rPr>
              <w:t>«___» _________ 20_</w:t>
            </w:r>
            <w:r>
              <w:rPr>
                <w:b/>
                <w:color w:val="FF0000"/>
                <w:sz w:val="20"/>
                <w:szCs w:val="20"/>
                <w:lang w:val="en-US" w:eastAsia="en-US"/>
              </w:rPr>
              <w:t>_</w:t>
            </w:r>
            <w:r>
              <w:rPr>
                <w:b/>
                <w:color w:val="FF0000"/>
                <w:sz w:val="20"/>
                <w:szCs w:val="20"/>
                <w:lang w:eastAsia="en-US"/>
              </w:rPr>
              <w:t xml:space="preserve"> года</w:t>
            </w:r>
            <w:r>
              <w:rPr>
                <w:b/>
                <w:bCs/>
                <w:color w:val="FF0000"/>
                <w:sz w:val="20"/>
                <w:szCs w:val="20"/>
                <w:lang w:eastAsia="en-US"/>
              </w:rPr>
              <w:t xml:space="preserve"> до __ часов __ минут</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34.</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 xml:space="preserve">Дата окончания срока рассмотрения первых частей заявок на участие в аукционе </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
                <w:b/>
                <w:bCs/>
                <w:color w:val="FF0000"/>
                <w:sz w:val="20"/>
                <w:szCs w:val="20"/>
                <w:lang w:eastAsia="en-US"/>
              </w:rPr>
            </w:pPr>
            <w:r>
              <w:rPr>
                <w:b/>
                <w:color w:val="FF0000"/>
                <w:sz w:val="20"/>
                <w:szCs w:val="20"/>
                <w:lang w:eastAsia="en-US"/>
              </w:rPr>
              <w:t>«___» _________ 20_</w:t>
            </w:r>
            <w:r>
              <w:rPr>
                <w:b/>
                <w:color w:val="FF0000"/>
                <w:sz w:val="20"/>
                <w:szCs w:val="20"/>
                <w:lang w:val="en-US" w:eastAsia="en-US"/>
              </w:rPr>
              <w:t>_</w:t>
            </w:r>
            <w:r>
              <w:rPr>
                <w:b/>
                <w:color w:val="FF0000"/>
                <w:sz w:val="20"/>
                <w:szCs w:val="20"/>
                <w:lang w:eastAsia="en-US"/>
              </w:rPr>
              <w:t xml:space="preserve"> года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35.</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Дата проведения аукциона</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
                <w:b/>
                <w:bCs/>
                <w:color w:val="FF0000"/>
                <w:sz w:val="20"/>
                <w:szCs w:val="20"/>
                <w:lang w:eastAsia="en-US"/>
              </w:rPr>
            </w:pPr>
            <w:r>
              <w:rPr>
                <w:b/>
                <w:color w:val="FF0000"/>
                <w:sz w:val="20"/>
                <w:szCs w:val="20"/>
                <w:lang w:eastAsia="en-US"/>
              </w:rPr>
              <w:t>«___» _________ 20_</w:t>
            </w:r>
            <w:r>
              <w:rPr>
                <w:b/>
                <w:color w:val="FF0000"/>
                <w:sz w:val="20"/>
                <w:szCs w:val="20"/>
                <w:lang w:val="en-US" w:eastAsia="en-US"/>
              </w:rPr>
              <w:t>_</w:t>
            </w:r>
            <w:r>
              <w:rPr>
                <w:b/>
                <w:color w:val="FF0000"/>
                <w:sz w:val="20"/>
                <w:szCs w:val="20"/>
                <w:lang w:eastAsia="en-US"/>
              </w:rPr>
              <w:t xml:space="preserve"> года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36.</w:t>
            </w:r>
          </w:p>
        </w:tc>
        <w:tc>
          <w:tcPr>
            <w:tcW w:w="4539" w:type="dxa"/>
            <w:tcBorders>
              <w:top w:val="single" w:sz="4" w:space="0" w:color="000000"/>
              <w:left w:val="single" w:sz="4" w:space="0" w:color="000000"/>
              <w:bottom w:val="single" w:sz="4" w:space="0" w:color="000000"/>
              <w:right w:val="single" w:sz="4" w:space="0" w:color="000000"/>
            </w:tcBorders>
          </w:tcPr>
          <w:p>
            <w:pPr>
              <w:pStyle w:val="Normal"/>
              <w:keepNext w:val="true"/>
              <w:tabs>
                <w:tab w:val="clear" w:pos="708"/>
                <w:tab w:val="left" w:pos="142" w:leader="none"/>
              </w:tabs>
              <w:rPr>
                <w:sz w:val="20"/>
                <w:szCs w:val="20"/>
                <w:highlight w:val="white"/>
                <w:lang w:eastAsia="en-US"/>
              </w:rPr>
            </w:pPr>
            <w:r>
              <w:rPr>
                <w:bCs/>
                <w:sz w:val="20"/>
                <w:szCs w:val="20"/>
                <w:shd w:fill="FFFFFF" w:val="clear"/>
                <w:lang w:eastAsia="en-US"/>
              </w:rPr>
              <w:t>Инструкция по заполнению заявки на участие в аукционе</w:t>
            </w:r>
          </w:p>
          <w:p>
            <w:pPr>
              <w:pStyle w:val="Normal"/>
              <w:rPr>
                <w:rFonts w:eastAsia="Calibri" w:eastAsiaTheme="minorHAnsi"/>
                <w:sz w:val="20"/>
                <w:szCs w:val="20"/>
                <w:lang w:eastAsia="en-US"/>
              </w:rPr>
            </w:pPr>
            <w:r>
              <w:rPr>
                <w:rFonts w:eastAsia="Calibri" w:eastAsiaTheme="minorHAnsi"/>
                <w:sz w:val="20"/>
                <w:szCs w:val="20"/>
                <w:lang w:eastAsia="en-US"/>
              </w:rPr>
            </w:r>
          </w:p>
        </w:tc>
        <w:tc>
          <w:tcPr>
            <w:tcW w:w="553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LineNumbers/>
              <w:suppressAutoHyphens w:val="true"/>
              <w:rPr>
                <w:sz w:val="20"/>
                <w:szCs w:val="20"/>
                <w:lang w:eastAsia="en-US"/>
              </w:rPr>
            </w:pPr>
            <w:r>
              <w:rPr>
                <w:sz w:val="20"/>
                <w:szCs w:val="20"/>
                <w:lang w:eastAsia="en-US"/>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pPr>
              <w:pStyle w:val="Normal"/>
              <w:keepNext w:val="true"/>
              <w:keepLines/>
              <w:widowControl w:val="false"/>
              <w:suppressLineNumbers/>
              <w:suppressAutoHyphens w:val="true"/>
              <w:rPr>
                <w:sz w:val="20"/>
                <w:szCs w:val="20"/>
                <w:lang w:eastAsia="en-US"/>
              </w:rPr>
            </w:pPr>
            <w:r>
              <w:rPr>
                <w:sz w:val="20"/>
                <w:szCs w:val="20"/>
                <w:lang w:eastAsia="en-US"/>
              </w:rPr>
              <w:t>Участник закупки вправе подать только одну заявку на участие в электронном аукционе.</w:t>
            </w:r>
          </w:p>
          <w:p>
            <w:pPr>
              <w:pStyle w:val="Normal"/>
              <w:keepNext w:val="true"/>
              <w:keepLines/>
              <w:widowControl w:val="false"/>
              <w:suppressLineNumbers/>
              <w:suppressAutoHyphens w:val="true"/>
              <w:rPr>
                <w:sz w:val="20"/>
                <w:szCs w:val="20"/>
                <w:lang w:eastAsia="en-US"/>
              </w:rPr>
            </w:pPr>
            <w:r>
              <w:rPr>
                <w:sz w:val="20"/>
                <w:szCs w:val="20"/>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37 настоящей документацией об аукционе части заявки. Обе части заявок на участие в электронном аукционе подаются одновременно.</w:t>
            </w:r>
          </w:p>
          <w:p>
            <w:pPr>
              <w:pStyle w:val="Normal"/>
              <w:keepNext w:val="true"/>
              <w:keepLines/>
              <w:widowControl w:val="false"/>
              <w:suppressLineNumbers/>
              <w:suppressAutoHyphens w:val="true"/>
              <w:rPr>
                <w:sz w:val="20"/>
                <w:szCs w:val="20"/>
                <w:lang w:eastAsia="en-US"/>
              </w:rPr>
            </w:pPr>
            <w:r>
              <w:rPr>
                <w:sz w:val="20"/>
                <w:szCs w:val="20"/>
                <w:lang w:eastAsia="en-US"/>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pStyle w:val="Normal"/>
              <w:keepNext w:val="true"/>
              <w:keepLines/>
              <w:widowControl w:val="false"/>
              <w:suppressLineNumbers/>
              <w:suppressAutoHyphens w:val="true"/>
              <w:rPr>
                <w:sz w:val="20"/>
                <w:szCs w:val="20"/>
                <w:lang w:eastAsia="en-US"/>
              </w:rPr>
            </w:pPr>
            <w:r>
              <w:rPr>
                <w:sz w:val="20"/>
                <w:szCs w:val="20"/>
                <w:lang w:eastAsia="en-US"/>
              </w:rPr>
              <w:t>Все документы, входящие в состав заявки на участие в электронном аукционе, должны иметь четко читаемый текст.</w:t>
            </w:r>
          </w:p>
          <w:p>
            <w:pPr>
              <w:pStyle w:val="Normal"/>
              <w:keepNext w:val="true"/>
              <w:keepLines/>
              <w:widowControl w:val="false"/>
              <w:suppressLineNumbers/>
              <w:suppressAutoHyphens w:val="true"/>
              <w:rPr>
                <w:sz w:val="20"/>
                <w:szCs w:val="20"/>
                <w:lang w:eastAsia="en-US"/>
              </w:rPr>
            </w:pPr>
            <w:r>
              <w:rPr>
                <w:sz w:val="20"/>
                <w:szCs w:val="20"/>
                <w:lang w:eastAsia="en-US"/>
              </w:rPr>
              <w:t>Сведения, содержащиеся в заявке на участие в электронном аукционе, не должны допускать двусмысленных толкований.</w:t>
            </w:r>
          </w:p>
          <w:p>
            <w:pPr>
              <w:pStyle w:val="Normal"/>
              <w:keepNext w:val="true"/>
              <w:keepLines/>
              <w:widowControl w:val="false"/>
              <w:suppressLineNumbers/>
              <w:suppressAutoHyphens w:val="true"/>
              <w:rPr>
                <w:i/>
                <w:i/>
                <w:sz w:val="20"/>
                <w:szCs w:val="20"/>
                <w:lang w:eastAsia="en-US"/>
              </w:rPr>
            </w:pPr>
            <w:r>
              <w:rPr>
                <w:b/>
                <w:i/>
                <w:color w:val="FF0000"/>
                <w:sz w:val="20"/>
                <w:szCs w:val="20"/>
                <w:lang w:eastAsia="en-US"/>
              </w:rPr>
              <w:t>Инструкция заполнения первой части заявок</w:t>
            </w:r>
            <w:r>
              <w:rPr>
                <w:color w:val="FF0000"/>
                <w:sz w:val="20"/>
                <w:szCs w:val="20"/>
                <w:lang w:eastAsia="en-US"/>
              </w:rPr>
              <w:t xml:space="preserve"> </w:t>
            </w:r>
            <w:r>
              <w:rPr>
                <w:i/>
                <w:sz w:val="20"/>
                <w:szCs w:val="20"/>
                <w:lang w:eastAsia="en-US"/>
              </w:rPr>
              <w:t>(за исключением случая, предусмотренного частью 8.1 статьи 66 Закона о контрактной системе):</w:t>
            </w:r>
          </w:p>
          <w:p>
            <w:pPr>
              <w:pStyle w:val="Normal"/>
              <w:spacing w:lineRule="auto" w:line="276"/>
              <w:rPr>
                <w:sz w:val="20"/>
                <w:szCs w:val="20"/>
                <w:lang w:eastAsia="en-US"/>
              </w:rPr>
            </w:pPr>
            <w:r>
              <w:rPr>
                <w:sz w:val="20"/>
                <w:szCs w:val="20"/>
                <w:lang w:eastAsia="en-US"/>
              </w:rPr>
              <w:t xml:space="preserve">Первая части заявки должна содержать информацию, предусмотренную частью 3 статьи 66 Закона о контрактной системе. </w:t>
            </w:r>
          </w:p>
          <w:p>
            <w:pPr>
              <w:pStyle w:val="Normal"/>
              <w:spacing w:lineRule="auto" w:line="276"/>
              <w:rPr>
                <w:sz w:val="20"/>
                <w:szCs w:val="20"/>
                <w:lang w:eastAsia="en-US"/>
              </w:rPr>
            </w:pPr>
            <w:r>
              <w:rPr>
                <w:sz w:val="20"/>
                <w:szCs w:val="20"/>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«ТЕХНИЧЕСКОЕ ЗАДАНИЕ».</w:t>
            </w:r>
          </w:p>
          <w:p>
            <w:pPr>
              <w:pStyle w:val="Normal"/>
              <w:spacing w:lineRule="auto" w:line="276"/>
              <w:rPr>
                <w:sz w:val="20"/>
                <w:szCs w:val="20"/>
                <w:lang w:eastAsia="en-US"/>
              </w:rPr>
            </w:pPr>
            <w:r>
              <w:rPr>
                <w:sz w:val="20"/>
                <w:szCs w:val="20"/>
                <w:lang w:eastAsia="en-US"/>
              </w:rPr>
              <w:t>В случае если в приложении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pPr>
              <w:pStyle w:val="Normal"/>
              <w:spacing w:lineRule="auto" w:line="276"/>
              <w:rPr>
                <w:sz w:val="20"/>
                <w:szCs w:val="20"/>
                <w:lang w:eastAsia="en-US"/>
              </w:rPr>
            </w:pPr>
            <w:r>
              <w:rPr>
                <w:sz w:val="20"/>
                <w:szCs w:val="20"/>
                <w:lang w:eastAsia="en-US"/>
              </w:rPr>
              <w:t xml:space="preserve"> </w:t>
            </w:r>
            <w:r>
              <w:rPr>
                <w:sz w:val="20"/>
                <w:szCs w:val="20"/>
                <w:lang w:eastAsia="en-US"/>
              </w:rPr>
              <w:t>Раздел I «конкретные значения»</w:t>
            </w:r>
          </w:p>
          <w:p>
            <w:pPr>
              <w:pStyle w:val="Normal"/>
              <w:spacing w:lineRule="auto" w:line="276"/>
              <w:rPr>
                <w:sz w:val="20"/>
                <w:szCs w:val="20"/>
                <w:lang w:eastAsia="en-US"/>
              </w:rPr>
            </w:pPr>
            <w:r>
              <w:rPr>
                <w:sz w:val="20"/>
                <w:szCs w:val="20"/>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pPr>
              <w:pStyle w:val="Normal"/>
              <w:spacing w:lineRule="auto" w:line="276"/>
              <w:rPr>
                <w:sz w:val="20"/>
                <w:szCs w:val="20"/>
                <w:lang w:eastAsia="en-US"/>
              </w:rPr>
            </w:pPr>
            <w:r>
              <w:rPr>
                <w:sz w:val="20"/>
                <w:szCs w:val="20"/>
                <w:lang w:eastAsia="en-US"/>
              </w:rPr>
              <w:t xml:space="preserve">- слов «не менее», «не ниже» - участником предоставляется значение равное или превышающее указанное; </w:t>
            </w:r>
          </w:p>
          <w:p>
            <w:pPr>
              <w:pStyle w:val="Normal"/>
              <w:spacing w:lineRule="auto" w:line="276"/>
              <w:rPr>
                <w:sz w:val="20"/>
                <w:szCs w:val="20"/>
                <w:lang w:eastAsia="en-US"/>
              </w:rPr>
            </w:pPr>
            <w:r>
              <w:rPr>
                <w:sz w:val="20"/>
                <w:szCs w:val="20"/>
                <w:lang w:eastAsia="en-US"/>
              </w:rPr>
              <w:t xml:space="preserve">- слов «не более», «не выше» - участником предоставляется значение равное или менее указанного; </w:t>
            </w:r>
          </w:p>
          <w:p>
            <w:pPr>
              <w:pStyle w:val="Normal"/>
              <w:spacing w:lineRule="auto" w:line="276"/>
              <w:rPr>
                <w:sz w:val="20"/>
                <w:szCs w:val="20"/>
                <w:lang w:eastAsia="en-US"/>
              </w:rPr>
            </w:pPr>
            <w:r>
              <w:rPr>
                <w:sz w:val="20"/>
                <w:szCs w:val="20"/>
                <w:lang w:eastAsia="en-US"/>
              </w:rPr>
              <w:t>- слов «менее», «ниже» - участником предоставляется значение меньше указанного;</w:t>
            </w:r>
          </w:p>
          <w:p>
            <w:pPr>
              <w:pStyle w:val="Normal"/>
              <w:spacing w:lineRule="auto" w:line="276"/>
              <w:rPr>
                <w:sz w:val="20"/>
                <w:szCs w:val="20"/>
                <w:lang w:eastAsia="en-US"/>
              </w:rPr>
            </w:pPr>
            <w:r>
              <w:rPr>
                <w:sz w:val="20"/>
                <w:szCs w:val="20"/>
                <w:lang w:eastAsia="en-US"/>
              </w:rPr>
              <w:t xml:space="preserve">- слов «более», «выше», «свыше» - участником предоставляется значение превышающее указанное; </w:t>
            </w:r>
          </w:p>
          <w:p>
            <w:pPr>
              <w:pStyle w:val="Normal"/>
              <w:spacing w:lineRule="auto" w:line="276"/>
              <w:rPr>
                <w:sz w:val="20"/>
                <w:szCs w:val="20"/>
                <w:lang w:eastAsia="en-US"/>
              </w:rPr>
            </w:pPr>
            <w:r>
              <w:rPr>
                <w:sz w:val="20"/>
                <w:szCs w:val="20"/>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pPr>
              <w:pStyle w:val="Normal"/>
              <w:spacing w:lineRule="auto" w:line="276"/>
              <w:rPr>
                <w:sz w:val="20"/>
                <w:szCs w:val="20"/>
                <w:lang w:eastAsia="en-US"/>
              </w:rPr>
            </w:pPr>
            <w:r>
              <w:rPr>
                <w:sz w:val="20"/>
                <w:szCs w:val="20"/>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pPr>
              <w:pStyle w:val="Normal"/>
              <w:spacing w:lineRule="auto" w:line="276"/>
              <w:rPr>
                <w:sz w:val="20"/>
                <w:szCs w:val="20"/>
                <w:lang w:eastAsia="en-US"/>
              </w:rPr>
            </w:pPr>
            <w:r>
              <w:rPr>
                <w:sz w:val="20"/>
                <w:szCs w:val="20"/>
                <w:lang w:eastAsia="en-US"/>
              </w:rPr>
              <w:t>- слов «от» - участником предоставляется указанное значение или превышающее его;</w:t>
            </w:r>
          </w:p>
          <w:p>
            <w:pPr>
              <w:pStyle w:val="Normal"/>
              <w:spacing w:lineRule="auto" w:line="276"/>
              <w:rPr>
                <w:sz w:val="20"/>
                <w:szCs w:val="20"/>
                <w:lang w:eastAsia="en-US"/>
              </w:rPr>
            </w:pPr>
            <w:r>
              <w:rPr>
                <w:sz w:val="20"/>
                <w:szCs w:val="20"/>
                <w:lang w:eastAsia="en-US"/>
              </w:rPr>
              <w:t>- слов «от… до…» - участником предоставляется одно конкретное значение в рамках значений;</w:t>
            </w:r>
          </w:p>
          <w:p>
            <w:pPr>
              <w:pStyle w:val="Normal"/>
              <w:spacing w:lineRule="auto" w:line="276"/>
              <w:rPr>
                <w:sz w:val="20"/>
                <w:szCs w:val="20"/>
                <w:lang w:eastAsia="en-US"/>
              </w:rPr>
            </w:pPr>
            <w:r>
              <w:rPr>
                <w:sz w:val="20"/>
                <w:szCs w:val="20"/>
                <w:lang w:eastAsia="en-US"/>
              </w:rPr>
              <w:t>- со знаком «+/-» (например - погрешность) - участником предоставляется конкретное  значение с указанием знака «+/-»;</w:t>
            </w:r>
          </w:p>
          <w:p>
            <w:pPr>
              <w:pStyle w:val="Normal"/>
              <w:spacing w:lineRule="auto" w:line="276"/>
              <w:rPr>
                <w:sz w:val="20"/>
                <w:szCs w:val="20"/>
                <w:lang w:eastAsia="en-US"/>
              </w:rPr>
            </w:pPr>
            <w:r>
              <w:rPr>
                <w:sz w:val="20"/>
                <w:szCs w:val="20"/>
                <w:lang w:eastAsia="en-US"/>
              </w:rPr>
              <w:t xml:space="preserve">- знака «-» - участником предоставляется конкретное  значение в рамках значений; </w:t>
            </w:r>
          </w:p>
          <w:p>
            <w:pPr>
              <w:pStyle w:val="Normal"/>
              <w:spacing w:lineRule="auto" w:line="276"/>
              <w:rPr>
                <w:sz w:val="20"/>
                <w:szCs w:val="20"/>
                <w:lang w:eastAsia="en-US"/>
              </w:rPr>
            </w:pPr>
            <w:r>
              <w:rPr>
                <w:sz w:val="20"/>
                <w:szCs w:val="20"/>
                <w:lang w:eastAsia="en-US"/>
              </w:rPr>
              <w:t xml:space="preserve">- знака «&gt;» - участником предоставляется конкретное  значение превышающее указанное, «&gt;=» - равное или превышающее указанное; </w:t>
            </w:r>
          </w:p>
          <w:p>
            <w:pPr>
              <w:pStyle w:val="Normal"/>
              <w:spacing w:lineRule="auto" w:line="276"/>
              <w:rPr>
                <w:sz w:val="20"/>
                <w:szCs w:val="20"/>
                <w:lang w:eastAsia="en-US"/>
              </w:rPr>
            </w:pPr>
            <w:r>
              <w:rPr>
                <w:sz w:val="20"/>
                <w:szCs w:val="20"/>
                <w:lang w:eastAsia="en-US"/>
              </w:rPr>
              <w:t xml:space="preserve">- знака «&lt;» - участником предоставляется конкретное  значение менее указанного, «&lt;=» - равное или менее указанного; </w:t>
            </w:r>
          </w:p>
          <w:p>
            <w:pPr>
              <w:pStyle w:val="Normal"/>
              <w:spacing w:lineRule="auto" w:line="276"/>
              <w:rPr>
                <w:sz w:val="20"/>
                <w:szCs w:val="20"/>
                <w:lang w:eastAsia="en-US"/>
              </w:rPr>
            </w:pPr>
            <w:r>
              <w:rPr>
                <w:sz w:val="20"/>
                <w:szCs w:val="20"/>
                <w:lang w:eastAsia="en-US"/>
              </w:rPr>
              <w:t xml:space="preserve">- знаков «&gt;= и &lt;» - участником предоставляется конкретное  значение равное или превышающее левое значение и менее правого значения; </w:t>
            </w:r>
          </w:p>
          <w:p>
            <w:pPr>
              <w:pStyle w:val="Normal"/>
              <w:spacing w:lineRule="auto" w:line="276"/>
              <w:rPr>
                <w:sz w:val="20"/>
                <w:szCs w:val="20"/>
                <w:lang w:eastAsia="en-US"/>
              </w:rPr>
            </w:pPr>
            <w:r>
              <w:rPr>
                <w:sz w:val="20"/>
                <w:szCs w:val="20"/>
                <w:lang w:eastAsia="en-US"/>
              </w:rPr>
              <w:t xml:space="preserve">- знаков «&gt; и &lt;=» - участником предоставляется конкретное значение превышающее левое значение и равное или менее правого значения; </w:t>
            </w:r>
          </w:p>
          <w:p>
            <w:pPr>
              <w:pStyle w:val="Normal"/>
              <w:spacing w:lineRule="auto" w:line="276"/>
              <w:rPr>
                <w:sz w:val="20"/>
                <w:szCs w:val="20"/>
                <w:lang w:eastAsia="en-US"/>
              </w:rPr>
            </w:pPr>
            <w:r>
              <w:rPr>
                <w:sz w:val="20"/>
                <w:szCs w:val="20"/>
                <w:lang w:eastAsia="en-US"/>
              </w:rPr>
              <w:t xml:space="preserve">- знаков «&gt; и &lt;» - участником предоставляется конкретное значение превышающее левое значение и менее правого значения. </w:t>
            </w:r>
          </w:p>
          <w:p>
            <w:pPr>
              <w:pStyle w:val="Normal"/>
              <w:spacing w:lineRule="auto" w:line="276"/>
              <w:rPr>
                <w:sz w:val="20"/>
                <w:szCs w:val="20"/>
                <w:lang w:eastAsia="en-US"/>
              </w:rPr>
            </w:pPr>
            <w:r>
              <w:rPr>
                <w:sz w:val="20"/>
                <w:szCs w:val="20"/>
                <w:lang w:eastAsia="en-US"/>
              </w:rPr>
            </w:r>
          </w:p>
          <w:p>
            <w:pPr>
              <w:pStyle w:val="Normal"/>
              <w:spacing w:lineRule="auto" w:line="276"/>
              <w:rPr>
                <w:sz w:val="20"/>
                <w:szCs w:val="20"/>
                <w:lang w:eastAsia="en-US"/>
              </w:rPr>
            </w:pPr>
            <w:r>
              <w:rPr>
                <w:sz w:val="20"/>
                <w:szCs w:val="20"/>
                <w:lang w:eastAsia="en-US"/>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pPr>
              <w:pStyle w:val="Normal"/>
              <w:spacing w:lineRule="auto" w:line="276"/>
              <w:rPr>
                <w:sz w:val="20"/>
                <w:szCs w:val="20"/>
                <w:lang w:eastAsia="en-US"/>
              </w:rPr>
            </w:pPr>
            <w:r>
              <w:rPr>
                <w:sz w:val="20"/>
                <w:szCs w:val="20"/>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pPr>
              <w:pStyle w:val="Normal"/>
              <w:spacing w:lineRule="auto" w:line="276"/>
              <w:rPr>
                <w:sz w:val="20"/>
                <w:szCs w:val="20"/>
                <w:lang w:eastAsia="en-US"/>
              </w:rPr>
            </w:pPr>
            <w:r>
              <w:rPr>
                <w:sz w:val="20"/>
                <w:szCs w:val="20"/>
                <w:lang w:eastAsia="en-US"/>
              </w:rPr>
              <w:t>В случае применение заказчиком в техническом задании знака</w:t>
            </w:r>
            <w:r>
              <w:rPr>
                <w:sz w:val="20"/>
                <w:szCs w:val="20"/>
              </w:rPr>
              <w:t xml:space="preserve">  «( )» означает уточнение или дополнение, и не требует конкретизации.</w:t>
            </w:r>
          </w:p>
          <w:p>
            <w:pPr>
              <w:pStyle w:val="Normal"/>
              <w:spacing w:lineRule="auto" w:line="276"/>
              <w:rPr>
                <w:sz w:val="20"/>
                <w:szCs w:val="20"/>
                <w:lang w:eastAsia="en-US"/>
              </w:rPr>
            </w:pPr>
            <w:r>
              <w:rPr>
                <w:sz w:val="20"/>
                <w:szCs w:val="20"/>
                <w:lang w:eastAsia="en-US"/>
              </w:rPr>
              <w:t xml:space="preserve"> </w:t>
            </w:r>
          </w:p>
          <w:p>
            <w:pPr>
              <w:pStyle w:val="Normal"/>
              <w:spacing w:lineRule="auto" w:line="276"/>
              <w:rPr>
                <w:sz w:val="20"/>
                <w:szCs w:val="20"/>
                <w:lang w:eastAsia="en-US"/>
              </w:rPr>
            </w:pPr>
            <w:r>
              <w:rPr>
                <w:sz w:val="20"/>
                <w:szCs w:val="20"/>
                <w:lang w:eastAsia="en-US"/>
              </w:rPr>
              <w:t>Раздел II «диапазонные значения»</w:t>
            </w:r>
          </w:p>
          <w:p>
            <w:pPr>
              <w:pStyle w:val="Normal"/>
              <w:spacing w:lineRule="auto" w:line="276"/>
              <w:rPr>
                <w:sz w:val="20"/>
                <w:szCs w:val="20"/>
                <w:lang w:eastAsia="en-US"/>
              </w:rPr>
            </w:pPr>
            <w:r>
              <w:rPr>
                <w:sz w:val="20"/>
                <w:szCs w:val="20"/>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pPr>
              <w:pStyle w:val="Normal"/>
              <w:spacing w:lineRule="auto" w:line="276"/>
              <w:rPr>
                <w:sz w:val="20"/>
                <w:szCs w:val="20"/>
                <w:lang w:eastAsia="en-US"/>
              </w:rPr>
            </w:pPr>
            <w:r>
              <w:rPr>
                <w:sz w:val="20"/>
                <w:szCs w:val="20"/>
                <w:lang w:eastAsia="en-US"/>
              </w:rPr>
              <w:t>В случае применения заказчиком в техническом задании при описании диапазона:</w:t>
            </w:r>
          </w:p>
          <w:p>
            <w:pPr>
              <w:pStyle w:val="Normal"/>
              <w:spacing w:lineRule="auto" w:line="276"/>
              <w:rPr>
                <w:sz w:val="20"/>
                <w:szCs w:val="20"/>
                <w:lang w:eastAsia="en-US"/>
              </w:rPr>
            </w:pPr>
            <w:r>
              <w:rPr>
                <w:sz w:val="20"/>
                <w:szCs w:val="20"/>
                <w:lang w:eastAsia="en-US"/>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pPr>
              <w:pStyle w:val="Normal"/>
              <w:spacing w:lineRule="auto" w:line="276"/>
              <w:rPr>
                <w:sz w:val="20"/>
                <w:szCs w:val="20"/>
                <w:lang w:eastAsia="en-US"/>
              </w:rPr>
            </w:pPr>
            <w:r>
              <w:rPr>
                <w:sz w:val="20"/>
                <w:szCs w:val="20"/>
                <w:lang w:eastAsia="en-US"/>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pPr>
              <w:pStyle w:val="Normal"/>
              <w:spacing w:lineRule="auto" w:line="276"/>
              <w:rPr>
                <w:sz w:val="20"/>
                <w:szCs w:val="20"/>
                <w:lang w:eastAsia="en-US"/>
              </w:rPr>
            </w:pPr>
            <w:r>
              <w:rPr>
                <w:sz w:val="20"/>
                <w:szCs w:val="20"/>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pPr>
              <w:pStyle w:val="Normal"/>
              <w:spacing w:lineRule="auto" w:line="276"/>
              <w:rPr>
                <w:sz w:val="20"/>
                <w:szCs w:val="20"/>
                <w:lang w:eastAsia="en-US"/>
              </w:rPr>
            </w:pPr>
            <w:r>
              <w:rPr>
                <w:sz w:val="20"/>
                <w:szCs w:val="20"/>
                <w:lang w:eastAsia="en-US"/>
              </w:rPr>
              <w:t>- при использовании в описании диапазона предлогов «от» и «до» предельные значения входят в диапазон, допускается использование знака «-».</w:t>
            </w:r>
          </w:p>
          <w:p>
            <w:pPr>
              <w:pStyle w:val="Normal"/>
              <w:spacing w:lineRule="auto" w:line="276"/>
              <w:rPr>
                <w:sz w:val="20"/>
                <w:szCs w:val="20"/>
                <w:lang w:eastAsia="en-US"/>
              </w:rPr>
            </w:pPr>
            <w:r>
              <w:rPr>
                <w:sz w:val="20"/>
                <w:szCs w:val="20"/>
                <w:lang w:eastAsia="en-US"/>
              </w:rPr>
              <w:t xml:space="preserve"> </w:t>
            </w:r>
          </w:p>
          <w:p>
            <w:pPr>
              <w:pStyle w:val="Normal"/>
              <w:spacing w:lineRule="auto" w:line="276"/>
              <w:rPr>
                <w:sz w:val="20"/>
                <w:szCs w:val="20"/>
                <w:lang w:eastAsia="en-US"/>
              </w:rPr>
            </w:pPr>
            <w:r>
              <w:rPr>
                <w:sz w:val="20"/>
                <w:szCs w:val="20"/>
                <w:lang w:eastAsia="en-US"/>
              </w:rPr>
              <w:t>Раздел III «общие сведения»</w:t>
            </w:r>
          </w:p>
          <w:p>
            <w:pPr>
              <w:pStyle w:val="Normal"/>
              <w:ind w:right="34" w:firstLine="709"/>
              <w:rPr/>
            </w:pPr>
            <w:r>
              <w:rPr>
                <w:sz w:val="20"/>
                <w:szCs w:val="20"/>
                <w:lang w:eastAsia="en-US"/>
              </w:rPr>
              <w:t xml:space="preserve">Если характеристики товара содержатся в колонке «Значения показателей, которые не могут изменяться (неизменяемое)» – участник дает свое согласия на поставку товара без изменения данной колонки. </w:t>
            </w:r>
          </w:p>
          <w:p>
            <w:pPr>
              <w:pStyle w:val="Normal"/>
              <w:ind w:right="34" w:firstLine="709"/>
              <w:rPr/>
            </w:pPr>
            <w:r>
              <w:rPr>
                <w:sz w:val="20"/>
                <w:szCs w:val="20"/>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w:t>
            </w:r>
          </w:p>
          <w:p>
            <w:pPr>
              <w:pStyle w:val="Normal"/>
              <w:spacing w:lineRule="auto" w:line="276"/>
              <w:rPr>
                <w:sz w:val="20"/>
                <w:szCs w:val="20"/>
                <w:lang w:eastAsia="en-US"/>
              </w:rPr>
            </w:pPr>
            <w:r>
              <w:rPr>
                <w:sz w:val="20"/>
                <w:szCs w:val="20"/>
                <w:lang w:eastAsia="en-US"/>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pPr>
              <w:pStyle w:val="Normal"/>
              <w:rPr>
                <w:b/>
                <w:b/>
                <w:color w:val="FF0000"/>
                <w:sz w:val="20"/>
                <w:szCs w:val="20"/>
                <w:lang w:eastAsia="en-US"/>
              </w:rPr>
            </w:pPr>
            <w:r>
              <w:rPr>
                <w:b/>
                <w:color w:val="FF0000"/>
                <w:sz w:val="20"/>
                <w:szCs w:val="20"/>
                <w:lang w:eastAsia="en-US"/>
              </w:rPr>
            </w:r>
          </w:p>
          <w:p>
            <w:pPr>
              <w:pStyle w:val="Normal"/>
              <w:rPr>
                <w:b/>
                <w:b/>
                <w:i/>
                <w:i/>
                <w:color w:val="FF0000"/>
                <w:sz w:val="20"/>
                <w:szCs w:val="20"/>
                <w:lang w:eastAsia="en-US"/>
              </w:rPr>
            </w:pPr>
            <w:r>
              <w:rPr>
                <w:b/>
                <w:i/>
                <w:color w:val="FF0000"/>
                <w:sz w:val="20"/>
                <w:szCs w:val="20"/>
                <w:lang w:eastAsia="en-US"/>
              </w:rPr>
              <w:t>Инструкция заполнения второй части заявки:</w:t>
            </w:r>
          </w:p>
          <w:p>
            <w:pPr>
              <w:pStyle w:val="NormalWeb"/>
              <w:spacing w:beforeAutospacing="0" w:before="0" w:afterAutospacing="0" w:after="0"/>
              <w:jc w:val="both"/>
              <w:rPr>
                <w:rFonts w:eastAsia="Calibri" w:eastAsiaTheme="minorHAnsi"/>
                <w:sz w:val="20"/>
                <w:szCs w:val="20"/>
                <w:lang w:eastAsia="en-US"/>
              </w:rPr>
            </w:pPr>
            <w:r>
              <w:rPr>
                <w:sz w:val="20"/>
                <w:szCs w:val="20"/>
                <w:lang w:eastAsia="en-US"/>
              </w:rPr>
              <w:t xml:space="preserve">Вторая часть заявки на участие в аукционе должна содержать документы и сведения, предусмотренные часть 5 статьи 66 </w:t>
            </w:r>
            <w:r>
              <w:rPr>
                <w:rFonts w:eastAsia="Calibri" w:eastAsiaTheme="minorHAnsi"/>
                <w:sz w:val="20"/>
                <w:szCs w:val="20"/>
                <w:lang w:eastAsia="en-US"/>
              </w:rPr>
              <w:t>Закона о контрактной системе</w:t>
            </w:r>
            <w:r>
              <w:rPr>
                <w:sz w:val="20"/>
                <w:szCs w:val="20"/>
                <w:lang w:eastAsia="en-US"/>
              </w:rPr>
              <w:t xml:space="preserve"> и настоящей документацией электронного аукциона. Участник несет все расходы, связанные с подготовкой и подачей заявки, участием в аукционе и заключением контракта.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37.</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Требования к содержанию, составу заявки на участие в электронном аукционе</w:t>
            </w:r>
          </w:p>
        </w:tc>
        <w:tc>
          <w:tcPr>
            <w:tcW w:w="5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sz w:val="20"/>
                <w:szCs w:val="20"/>
                <w:lang w:eastAsia="en-US"/>
              </w:rPr>
            </w:pPr>
            <w:r>
              <w:rPr>
                <w:rFonts w:eastAsia="Calibri"/>
                <w:sz w:val="20"/>
                <w:szCs w:val="20"/>
                <w:lang w:eastAsia="en-US"/>
              </w:rPr>
              <w:t>Заявка на участие в электронном аукционе состоит из двух частей.</w:t>
            </w:r>
          </w:p>
          <w:p>
            <w:pPr>
              <w:pStyle w:val="Normal"/>
              <w:widowControl w:val="false"/>
              <w:rPr>
                <w:rFonts w:eastAsia="Calibri"/>
                <w:b/>
                <w:b/>
                <w:i/>
                <w:i/>
                <w:color w:val="FF0000"/>
                <w:sz w:val="20"/>
                <w:szCs w:val="20"/>
                <w:lang w:eastAsia="en-US"/>
              </w:rPr>
            </w:pPr>
            <w:r>
              <w:rPr>
                <w:rFonts w:eastAsia="Calibri"/>
                <w:b/>
                <w:i/>
                <w:color w:val="FF0000"/>
                <w:sz w:val="20"/>
                <w:szCs w:val="20"/>
                <w:lang w:eastAsia="en-US"/>
              </w:rPr>
            </w:r>
          </w:p>
          <w:p>
            <w:pPr>
              <w:pStyle w:val="Normal"/>
              <w:widowControl w:val="false"/>
              <w:rPr>
                <w:rFonts w:eastAsia="Calibri"/>
                <w:b/>
                <w:b/>
                <w:i/>
                <w:i/>
                <w:iCs/>
                <w:color w:val="FF0000"/>
                <w:sz w:val="20"/>
                <w:szCs w:val="20"/>
                <w:lang w:eastAsia="en-US"/>
              </w:rPr>
            </w:pPr>
            <w:r>
              <w:rPr>
                <w:rFonts w:eastAsia="Calibri"/>
                <w:b/>
                <w:i/>
                <w:iCs/>
                <w:color w:val="FF0000"/>
                <w:sz w:val="20"/>
                <w:szCs w:val="20"/>
                <w:lang w:eastAsia="en-US"/>
              </w:rPr>
              <w:t>Первая часть заявки на участие в электронном аукционе должна содержать:</w:t>
            </w:r>
          </w:p>
          <w:p>
            <w:pPr>
              <w:pStyle w:val="Normal"/>
              <w:widowControl w:val="false"/>
              <w:suppressAutoHyphens w:val="true"/>
              <w:overflowPunct w:val="true"/>
              <w:rPr>
                <w:rFonts w:eastAsia="Calibri"/>
                <w:b/>
                <w:b/>
                <w:i/>
                <w:i/>
                <w:iCs/>
                <w:color w:val="FF0000"/>
                <w:sz w:val="20"/>
                <w:szCs w:val="20"/>
                <w:lang w:eastAsia="en-US"/>
              </w:rPr>
            </w:pPr>
            <w:r>
              <w:rPr>
                <w:rFonts w:eastAsia="Calibri"/>
                <w:b/>
                <w:i/>
                <w:iCs/>
                <w:color w:val="FF0000"/>
                <w:sz w:val="20"/>
                <w:szCs w:val="20"/>
                <w:lang w:eastAsia="en-US"/>
              </w:rPr>
            </w:r>
          </w:p>
          <w:p>
            <w:pPr>
              <w:pStyle w:val="Normal"/>
              <w:widowControl w:val="false"/>
              <w:suppressAutoHyphens w:val="true"/>
              <w:overflowPunct w:val="true"/>
              <w:rPr>
                <w:rFonts w:eastAsia="Calibri"/>
                <w:sz w:val="20"/>
                <w:szCs w:val="20"/>
                <w:lang w:eastAsia="en-US"/>
              </w:rPr>
            </w:pPr>
            <w:r>
              <w:rPr>
                <w:rFonts w:eastAsia="Calibri"/>
                <w:sz w:val="20"/>
                <w:szCs w:val="20"/>
                <w:lang w:eastAsia="en-US"/>
              </w:rPr>
              <w:t xml:space="preserve">             </w:t>
            </w:r>
            <w:r>
              <w:rPr>
                <w:rFonts w:eastAsia="Calibri"/>
                <w:sz w:val="20"/>
                <w:szCs w:val="20"/>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pStyle w:val="Normal"/>
              <w:ind w:firstLine="585"/>
              <w:rPr>
                <w:color w:val="403152"/>
                <w:sz w:val="20"/>
                <w:szCs w:val="20"/>
              </w:rPr>
            </w:pPr>
            <w:r>
              <w:rPr>
                <w:color w:val="403152"/>
                <w:sz w:val="20"/>
                <w:szCs w:val="20"/>
              </w:rPr>
              <w:t>2)</w:t>
            </w:r>
            <w:r>
              <w:rPr>
                <w:sz w:val="20"/>
                <w:szCs w:val="20"/>
              </w:rPr>
              <w:t xml:space="preserve"> </w:t>
            </w:r>
            <w:r>
              <w:rPr>
                <w:color w:val="403152"/>
                <w:sz w:val="20"/>
                <w:szCs w:val="20"/>
              </w:rPr>
              <w:t>при осуществлении закупки товара, в том числе поставляемого заказчику при выполнении закупаемых работ, оказании закупаемых услуг:</w:t>
            </w:r>
          </w:p>
          <w:p>
            <w:pPr>
              <w:pStyle w:val="Normal"/>
              <w:ind w:firstLine="585"/>
              <w:rPr>
                <w:color w:val="403152"/>
                <w:sz w:val="20"/>
                <w:szCs w:val="20"/>
              </w:rPr>
            </w:pPr>
            <w:r>
              <w:rPr>
                <w:color w:val="403152"/>
                <w:sz w:val="20"/>
                <w:szCs w:val="20"/>
              </w:rPr>
              <w:t>а) наименование страны происхождения товара;</w:t>
            </w:r>
          </w:p>
          <w:p>
            <w:pPr>
              <w:pStyle w:val="Normal"/>
              <w:ind w:firstLine="585"/>
              <w:rPr>
                <w:sz w:val="20"/>
                <w:szCs w:val="20"/>
              </w:rPr>
            </w:pPr>
            <w:r>
              <w:rPr>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pPr>
              <w:pStyle w:val="Normal"/>
              <w:widowControl w:val="false"/>
              <w:spacing w:before="0" w:after="200"/>
              <w:rPr>
                <w:rFonts w:eastAsia="Calibri"/>
                <w:sz w:val="20"/>
                <w:szCs w:val="20"/>
                <w:lang w:eastAsia="en-US"/>
              </w:rPr>
            </w:pPr>
            <w:r>
              <w:rPr>
                <w:rFonts w:eastAsia="Calibri"/>
                <w:sz w:val="20"/>
                <w:szCs w:val="20"/>
                <w:lang w:eastAsia="en-US"/>
              </w:rPr>
            </w:r>
          </w:p>
          <w:p>
            <w:pPr>
              <w:pStyle w:val="Normal"/>
              <w:ind w:firstLine="585"/>
              <w:rPr>
                <w:iCs/>
                <w:color w:val="000000"/>
                <w:sz w:val="20"/>
                <w:szCs w:val="20"/>
              </w:rPr>
            </w:pPr>
            <w:r>
              <w:rPr>
                <w:rFonts w:eastAsia="Calibri"/>
                <w:sz w:val="20"/>
                <w:szCs w:val="20"/>
                <w:lang w:eastAsia="en-US"/>
              </w:rPr>
              <w:t xml:space="preserve">Первая часть заявки на участие в электронном аукционе </w:t>
            </w:r>
            <w:r>
              <w:rPr>
                <w:rFonts w:eastAsia="Calibri"/>
                <w:b/>
                <w:sz w:val="20"/>
                <w:szCs w:val="20"/>
                <w:lang w:eastAsia="en-US"/>
              </w:rPr>
              <w:t>может</w:t>
            </w:r>
            <w:r>
              <w:rPr>
                <w:rFonts w:eastAsia="Calibri"/>
                <w:sz w:val="20"/>
                <w:szCs w:val="20"/>
                <w:lang w:eastAsia="en-US"/>
              </w:rPr>
              <w:t xml:space="preserve"> содержать эскиз, рисунок, чертёж, фотографию, иное изображение товара, на поставку которого заключается контракт.</w:t>
            </w:r>
            <w:r>
              <w:rPr>
                <w:iCs/>
                <w:color w:val="000000"/>
                <w:sz w:val="20"/>
                <w:szCs w:val="20"/>
              </w:rPr>
              <w:t xml:space="preserve"> </w:t>
            </w:r>
          </w:p>
          <w:p>
            <w:pPr>
              <w:pStyle w:val="Normal"/>
              <w:ind w:firstLine="585"/>
              <w:rPr>
                <w:b/>
                <w:b/>
                <w:iCs/>
                <w:color w:val="000000"/>
                <w:sz w:val="20"/>
                <w:szCs w:val="20"/>
              </w:rPr>
            </w:pPr>
            <w:r>
              <w:rPr>
                <w:b/>
                <w:iCs/>
                <w:color w:val="000000"/>
                <w:sz w:val="20"/>
                <w:szCs w:val="20"/>
              </w:rPr>
              <w:t>ИЛИ</w:t>
            </w:r>
          </w:p>
          <w:p>
            <w:pPr>
              <w:pStyle w:val="Normal"/>
              <w:rPr>
                <w:iCs/>
                <w:color w:val="000000"/>
                <w:sz w:val="20"/>
                <w:szCs w:val="20"/>
              </w:rPr>
            </w:pPr>
            <w:r>
              <w:rPr>
                <w:iCs/>
                <w:color w:val="000000"/>
                <w:sz w:val="20"/>
                <w:szCs w:val="20"/>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pPr>
              <w:pStyle w:val="Normal"/>
              <w:widowControl w:val="false"/>
              <w:spacing w:before="0" w:after="200"/>
              <w:rPr>
                <w:sz w:val="20"/>
                <w:szCs w:val="20"/>
                <w:lang w:eastAsia="en-US"/>
              </w:rPr>
            </w:pPr>
            <w:r>
              <w:rPr>
                <w:sz w:val="20"/>
                <w:szCs w:val="20"/>
                <w:lang w:eastAsia="en-US"/>
              </w:rPr>
            </w:r>
          </w:p>
          <w:p>
            <w:pPr>
              <w:pStyle w:val="Normal"/>
              <w:widowControl w:val="false"/>
              <w:rPr>
                <w:rFonts w:eastAsia="Calibri"/>
                <w:b/>
                <w:b/>
                <w:i/>
                <w:i/>
                <w:color w:val="FF0000"/>
                <w:sz w:val="20"/>
                <w:szCs w:val="20"/>
                <w:lang w:eastAsia="en-US"/>
              </w:rPr>
            </w:pPr>
            <w:r>
              <w:rPr>
                <w:rFonts w:eastAsia="Calibri"/>
                <w:b/>
                <w:i/>
                <w:color w:val="FF0000"/>
                <w:sz w:val="20"/>
                <w:szCs w:val="20"/>
                <w:lang w:eastAsia="en-US"/>
              </w:rPr>
              <w:t>Вторая часть заявки на участие в аукционе должна содержать:</w:t>
            </w:r>
          </w:p>
          <w:p>
            <w:pPr>
              <w:pStyle w:val="Normal"/>
              <w:widowControl w:val="false"/>
              <w:spacing w:before="0" w:after="200"/>
              <w:ind w:left="34" w:firstLine="566"/>
              <w:rPr>
                <w:rFonts w:eastAsia="Calibri"/>
                <w:sz w:val="20"/>
                <w:szCs w:val="20"/>
                <w:lang w:eastAsia="en-US"/>
              </w:rPr>
            </w:pPr>
            <w:r>
              <w:rPr>
                <w:rFonts w:eastAsia="Calibri"/>
                <w:sz w:val="20"/>
                <w:szCs w:val="20"/>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Normal"/>
              <w:widowControl w:val="false"/>
              <w:spacing w:before="0" w:after="200"/>
              <w:ind w:left="34" w:firstLine="566"/>
              <w:rPr>
                <w:rFonts w:eastAsia="Calibri"/>
                <w:sz w:val="20"/>
                <w:szCs w:val="20"/>
                <w:lang w:eastAsia="en-US"/>
              </w:rPr>
            </w:pPr>
            <w:r>
              <w:rPr>
                <w:rFonts w:eastAsia="Calibri"/>
                <w:sz w:val="20"/>
                <w:szCs w:val="20"/>
                <w:lang w:eastAsia="en-US"/>
              </w:rPr>
              <w:t>2) документы, подтверждающие соответствие участника аукциона следующим требованиям:</w:t>
            </w:r>
          </w:p>
          <w:p>
            <w:pPr>
              <w:pStyle w:val="Normal"/>
              <w:widowControl w:val="false"/>
              <w:spacing w:before="0" w:after="200"/>
              <w:ind w:left="34" w:firstLine="566"/>
              <w:rPr>
                <w:rFonts w:eastAsia="Calibri"/>
                <w:sz w:val="20"/>
                <w:szCs w:val="20"/>
                <w:lang w:eastAsia="en-US"/>
              </w:rPr>
            </w:pPr>
            <w:r>
              <w:rPr>
                <w:rFonts w:eastAsia="Calibri"/>
                <w:b/>
                <w:i/>
                <w:color w:val="0000FF"/>
                <w:sz w:val="20"/>
                <w:szCs w:val="20"/>
                <w:lang w:eastAsia="en-US"/>
              </w:rPr>
              <w:t xml:space="preserve">а) декларация о соответствии участника аукциона, установленным пунктами 3-5,7,7.1,9 части 1 статьи 31 Закона о контрактной системе №44-ФЗ </w:t>
            </w:r>
            <w:r>
              <w:rPr>
                <w:rFonts w:eastAsia="Calibri"/>
                <w:sz w:val="20"/>
                <w:szCs w:val="20"/>
                <w:lang w:eastAsia="en-US"/>
              </w:rPr>
              <w:t>(указанная декларация предоставляется с использованием программно-аппаратных средств электронной площадки).</w:t>
            </w:r>
          </w:p>
          <w:p>
            <w:pPr>
              <w:pStyle w:val="Normal"/>
              <w:widowControl w:val="false"/>
              <w:spacing w:before="0" w:after="200"/>
              <w:ind w:left="34" w:firstLine="566"/>
              <w:rPr>
                <w:rFonts w:eastAsia="Calibri"/>
                <w:sz w:val="20"/>
                <w:szCs w:val="20"/>
                <w:lang w:eastAsia="en-US"/>
              </w:rPr>
            </w:pPr>
            <w:r>
              <w:rPr>
                <w:rFonts w:eastAsia="Calibri"/>
                <w:i/>
                <w:color w:val="0000FF"/>
                <w:sz w:val="20"/>
                <w:szCs w:val="20"/>
                <w:lang w:eastAsia="en-US"/>
              </w:rPr>
              <w:t>б) документы, подтверждающие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r>
              <w:rPr>
                <w:rFonts w:eastAsia="Calibri"/>
                <w:b/>
                <w:i/>
                <w:color w:val="0000FF"/>
                <w:sz w:val="20"/>
                <w:szCs w:val="20"/>
                <w:lang w:eastAsia="en-US"/>
              </w:rPr>
              <w:t xml:space="preserve"> </w:t>
            </w:r>
            <w:r>
              <w:rPr>
                <w:rFonts w:eastAsia="Calibri"/>
                <w:b/>
                <w:i/>
                <w:color w:val="FF0000"/>
                <w:sz w:val="20"/>
                <w:szCs w:val="20"/>
                <w:lang w:eastAsia="en-US"/>
              </w:rPr>
              <w:t>если данное требование установлено пунктом 28 настоящей документации.</w:t>
            </w:r>
          </w:p>
          <w:p>
            <w:pPr>
              <w:pStyle w:val="Normal"/>
              <w:widowControl w:val="false"/>
              <w:spacing w:before="0" w:after="200"/>
              <w:ind w:left="34" w:firstLine="566"/>
              <w:rPr>
                <w:rFonts w:eastAsia="Calibri"/>
                <w:sz w:val="20"/>
                <w:szCs w:val="20"/>
                <w:lang w:eastAsia="en-US"/>
              </w:rPr>
            </w:pPr>
            <w:r>
              <w:rPr>
                <w:rFonts w:eastAsia="Calibri"/>
                <w:i/>
                <w:color w:val="0000FF"/>
                <w:sz w:val="20"/>
                <w:szCs w:val="20"/>
                <w:lang w:eastAsia="en-US"/>
              </w:rPr>
              <w:t>в) документы, подтверждающие соответствие товара требованиям действующего законодательства,</w:t>
            </w:r>
            <w:r>
              <w:rPr>
                <w:rFonts w:eastAsia="Calibri"/>
                <w:b/>
                <w:i/>
                <w:color w:val="0000FF"/>
                <w:sz w:val="20"/>
                <w:szCs w:val="20"/>
                <w:lang w:eastAsia="en-US"/>
              </w:rPr>
              <w:t xml:space="preserve"> </w:t>
            </w:r>
            <w:r>
              <w:rPr>
                <w:rFonts w:eastAsia="Calibri"/>
                <w:b/>
                <w:i/>
                <w:color w:val="FF0000"/>
                <w:sz w:val="20"/>
                <w:szCs w:val="20"/>
                <w:lang w:eastAsia="en-US"/>
              </w:rPr>
              <w:t>если данное требование установлено пунктом 29 настоящей</w:t>
            </w:r>
            <w:bookmarkStart w:id="3" w:name="_GoBack"/>
            <w:bookmarkEnd w:id="3"/>
            <w:r>
              <w:rPr>
                <w:rFonts w:eastAsia="Calibri"/>
                <w:b/>
                <w:i/>
                <w:color w:val="FF0000"/>
                <w:sz w:val="20"/>
                <w:szCs w:val="20"/>
                <w:lang w:eastAsia="en-US"/>
              </w:rPr>
              <w:t xml:space="preserve"> документации.</w:t>
            </w:r>
          </w:p>
          <w:p>
            <w:pPr>
              <w:pStyle w:val="Normal"/>
              <w:widowControl w:val="false"/>
              <w:spacing w:before="0" w:after="200"/>
              <w:ind w:left="34" w:firstLine="566"/>
              <w:rPr>
                <w:rFonts w:eastAsia="Calibri"/>
                <w:sz w:val="20"/>
                <w:szCs w:val="20"/>
                <w:lang w:eastAsia="en-US"/>
              </w:rPr>
            </w:pPr>
            <w:r>
              <w:rPr>
                <w:rFonts w:eastAsia="Calibri"/>
                <w:b/>
                <w:i/>
                <w:color w:val="0000FF"/>
                <w:sz w:val="20"/>
                <w:szCs w:val="20"/>
                <w:lang w:eastAsia="en-US"/>
              </w:rPr>
              <w:t>г)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Pr>
                <w:rFonts w:eastAsia="Calibri"/>
                <w:b/>
                <w:i/>
                <w:color w:val="FF0000"/>
                <w:sz w:val="20"/>
                <w:szCs w:val="20"/>
                <w:lang w:eastAsia="en-US"/>
              </w:rPr>
              <w:t xml:space="preserve"> </w:t>
            </w:r>
            <w:r>
              <w:rPr>
                <w:rFonts w:eastAsia="Calibri"/>
                <w:sz w:val="20"/>
                <w:szCs w:val="20"/>
                <w:lang w:eastAsia="en-US"/>
              </w:rPr>
              <w:t xml:space="preserve">(указанная декларация предоставляется с использованием программно-аппаратных средств электронной площадки) </w:t>
            </w:r>
            <w:r>
              <w:rPr>
                <w:rFonts w:eastAsia="Calibri"/>
                <w:b/>
                <w:i/>
                <w:color w:val="FF0000"/>
                <w:sz w:val="20"/>
                <w:szCs w:val="20"/>
                <w:lang w:eastAsia="en-US"/>
              </w:rPr>
              <w:t>если данные требования установлены пунктом 21 настоящей документации.</w:t>
            </w:r>
          </w:p>
          <w:p>
            <w:pPr>
              <w:pStyle w:val="Normal"/>
              <w:widowControl w:val="false"/>
              <w:spacing w:before="0" w:after="200"/>
              <w:ind w:left="34" w:firstLine="566"/>
              <w:rPr>
                <w:rFonts w:eastAsia="Calibri"/>
                <w:sz w:val="20"/>
                <w:szCs w:val="20"/>
                <w:lang w:eastAsia="en-US"/>
              </w:rPr>
            </w:pPr>
            <w:r>
              <w:rPr>
                <w:rFonts w:eastAsia="Calibri"/>
                <w:b/>
                <w:i/>
                <w:color w:val="0000FF"/>
                <w:sz w:val="20"/>
                <w:szCs w:val="20"/>
                <w:lang w:eastAsia="en-US"/>
              </w:rPr>
              <w:t xml:space="preserve">д) документы, подтверждающие право участника на получение преимуществ, </w:t>
            </w:r>
            <w:r>
              <w:rPr>
                <w:rFonts w:eastAsia="Calibri"/>
                <w:b/>
                <w:i/>
                <w:color w:val="FF0000"/>
                <w:sz w:val="20"/>
                <w:szCs w:val="20"/>
                <w:lang w:eastAsia="en-US"/>
              </w:rPr>
              <w:t xml:space="preserve">если данные требования установлены пунктами 22  настоящей документации. </w:t>
            </w:r>
          </w:p>
          <w:p>
            <w:pPr>
              <w:pStyle w:val="Normal"/>
              <w:widowControl w:val="false"/>
              <w:spacing w:before="0" w:after="200"/>
              <w:ind w:left="34" w:firstLine="566"/>
              <w:rPr>
                <w:rFonts w:eastAsia="Calibri"/>
                <w:sz w:val="20"/>
                <w:szCs w:val="20"/>
                <w:lang w:eastAsia="en-US"/>
              </w:rPr>
            </w:pPr>
            <w:r>
              <w:rPr>
                <w:rFonts w:eastAsia="Calibri"/>
                <w:b/>
                <w:i/>
                <w:color w:val="0000FF"/>
                <w:sz w:val="20"/>
                <w:szCs w:val="20"/>
                <w:lang w:eastAsia="en-US"/>
              </w:rPr>
              <w:t>е)</w:t>
            </w:r>
            <w:r>
              <w:rPr>
                <w:rFonts w:eastAsia="Calibri"/>
                <w:sz w:val="20"/>
                <w:szCs w:val="20"/>
                <w:lang w:eastAsia="en-US"/>
              </w:rPr>
              <w:t xml:space="preserve">    документы, предусмотренные нормативными правовыми актами, принятыми в соответствии со </w:t>
            </w:r>
            <w:hyperlink r:id="rId15">
              <w:r>
                <w:rPr>
                  <w:rFonts w:eastAsia="Calibri"/>
                  <w:sz w:val="20"/>
                  <w:szCs w:val="20"/>
                  <w:lang w:eastAsia="en-US"/>
                </w:rPr>
                <w:t>статьей 14</w:t>
              </w:r>
            </w:hyperlink>
            <w:r>
              <w:rPr>
                <w:rFonts w:eastAsia="Calibri"/>
                <w:sz w:val="20"/>
                <w:szCs w:val="20"/>
                <w:lang w:eastAsia="en-US"/>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Normal"/>
              <w:widowControl w:val="false"/>
              <w:ind w:left="34" w:firstLine="566"/>
              <w:rPr>
                <w:rFonts w:eastAsia="Calibri"/>
                <w:sz w:val="20"/>
                <w:szCs w:val="20"/>
                <w:lang w:eastAsia="en-US"/>
              </w:rPr>
            </w:pPr>
            <w:r>
              <w:rPr>
                <w:rFonts w:eastAsia="Calibri"/>
                <w:sz w:val="20"/>
                <w:szCs w:val="20"/>
                <w:lang w:eastAsia="en-US"/>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 </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38.</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tc>
        <w:tc>
          <w:tcPr>
            <w:tcW w:w="5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lang w:eastAsia="en-US"/>
              </w:rPr>
            </w:pPr>
            <w:r>
              <w:rPr>
                <w:sz w:val="20"/>
                <w:szCs w:val="20"/>
                <w:lang w:eastAsia="en-US"/>
              </w:rPr>
              <w:t xml:space="preserve">Дата начала предоставления разъяснений положений документации об аукционе: </w:t>
            </w:r>
            <w:r>
              <w:rPr>
                <w:b/>
                <w:i/>
                <w:color w:val="FF0000"/>
                <w:sz w:val="20"/>
                <w:szCs w:val="20"/>
                <w:lang w:eastAsia="en-US"/>
              </w:rPr>
              <w:t xml:space="preserve"> «___» ________  20__ года</w:t>
            </w:r>
          </w:p>
          <w:p>
            <w:pPr>
              <w:pStyle w:val="Normal"/>
              <w:widowControl w:val="false"/>
              <w:rPr>
                <w:lang w:eastAsia="en-US"/>
              </w:rPr>
            </w:pPr>
            <w:r>
              <w:rPr>
                <w:sz w:val="20"/>
                <w:szCs w:val="20"/>
                <w:lang w:eastAsia="en-US"/>
              </w:rPr>
              <w:t xml:space="preserve">дата окончания предоставления разъяснений положений документации об аукционе: </w:t>
            </w:r>
            <w:r>
              <w:rPr>
                <w:b/>
                <w:i/>
                <w:color w:val="FF0000"/>
                <w:sz w:val="20"/>
                <w:szCs w:val="20"/>
                <w:lang w:eastAsia="en-US"/>
              </w:rPr>
              <w:t xml:space="preserve"> «__» _______ 20__ года в __ часов __ минут местного времени</w:t>
            </w:r>
          </w:p>
          <w:p>
            <w:pPr>
              <w:pStyle w:val="Normal"/>
              <w:widowControl w:val="false"/>
              <w:rPr>
                <w:sz w:val="20"/>
                <w:szCs w:val="20"/>
                <w:lang w:eastAsia="en-US"/>
              </w:rPr>
            </w:pPr>
            <w:r>
              <w:rPr>
                <w:sz w:val="20"/>
                <w:szCs w:val="20"/>
                <w:lang w:eastAsia="en-US"/>
              </w:rPr>
            </w:r>
          </w:p>
          <w:p>
            <w:pPr>
              <w:pStyle w:val="Normal"/>
              <w:widowControl w:val="false"/>
              <w:rPr>
                <w:lang w:eastAsia="en-US"/>
              </w:rPr>
            </w:pPr>
            <w:r>
              <w:rPr>
                <w:sz w:val="20"/>
                <w:szCs w:val="20"/>
                <w:lang w:eastAsia="en-US"/>
              </w:rPr>
              <w:t>дата окончания направления запроса участником закупки:</w:t>
            </w:r>
            <w:r>
              <w:rPr>
                <w:b/>
                <w:i/>
                <w:color w:val="FF0000"/>
                <w:sz w:val="20"/>
                <w:szCs w:val="20"/>
                <w:lang w:eastAsia="en-US"/>
              </w:rPr>
              <w:t xml:space="preserve">            «__» _______ 20__ года в __ часов __ минут местного времени</w:t>
            </w:r>
          </w:p>
          <w:p>
            <w:pPr>
              <w:pStyle w:val="Normal"/>
              <w:widowControl w:val="false"/>
              <w:rPr>
                <w:b/>
                <w:b/>
                <w:sz w:val="20"/>
                <w:szCs w:val="20"/>
                <w:lang w:eastAsia="en-US"/>
              </w:rPr>
            </w:pPr>
            <w:r>
              <w:rPr>
                <w:b/>
                <w:sz w:val="20"/>
                <w:szCs w:val="20"/>
                <w:lang w:eastAsia="en-US"/>
              </w:rPr>
            </w:r>
          </w:p>
          <w:p>
            <w:pPr>
              <w:pStyle w:val="Normal"/>
              <w:widowControl w:val="false"/>
              <w:rPr>
                <w:lang w:eastAsia="en-US"/>
              </w:rPr>
            </w:pPr>
            <w:r>
              <w:rPr>
                <w:rFonts w:eastAsia="Calibri"/>
                <w:sz w:val="20"/>
                <w:szCs w:val="20"/>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r>
              <w:rPr>
                <w:sz w:val="20"/>
                <w:szCs w:val="20"/>
                <w:lang w:eastAsia="en-US"/>
              </w:rPr>
              <w:t xml:space="preserve">В течение двух дней с даты поступления от оператора электронной площадки запроса разъяснения положений документации электронного аукциона размещаются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Pr>
                <w:b/>
                <w:sz w:val="20"/>
                <w:szCs w:val="20"/>
                <w:u w:val="single"/>
                <w:lang w:eastAsia="en-US"/>
              </w:rPr>
              <w:t>три дня</w:t>
            </w:r>
            <w:r>
              <w:rPr>
                <w:sz w:val="20"/>
                <w:szCs w:val="20"/>
                <w:lang w:eastAsia="en-US"/>
              </w:rPr>
              <w:t xml:space="preserve"> до даты окончания срока подачи заявок на участие в таком аукционе. Участник аукциона вправе направить не более чем 3 запроса.</w:t>
            </w:r>
          </w:p>
          <w:p>
            <w:pPr>
              <w:pStyle w:val="Normal"/>
              <w:rPr>
                <w:sz w:val="20"/>
                <w:szCs w:val="20"/>
                <w:lang w:eastAsia="en-US"/>
              </w:rPr>
            </w:pPr>
            <w:r>
              <w:rPr>
                <w:i/>
                <w:sz w:val="20"/>
                <w:szCs w:val="20"/>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39.</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rFonts w:eastAsia="Calibri"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w:t>
            </w:r>
            <w:r>
              <w:rPr>
                <w:color w:val="000000"/>
                <w:sz w:val="20"/>
                <w:szCs w:val="20"/>
                <w:lang w:eastAsia="en-US"/>
              </w:rPr>
              <w:t>Законом о контрактной системе</w:t>
            </w:r>
            <w:r>
              <w:rPr>
                <w:rFonts w:eastAsia="Calibri" w:eastAsiaTheme="minorHAnsi"/>
                <w:sz w:val="20"/>
                <w:szCs w:val="20"/>
                <w:lang w:eastAsia="en-US"/>
              </w:rPr>
              <w:t>)</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 xml:space="preserve">Размер обеспечения заявки __ % от начальной (максимальной) цены контракта, что составляет </w:t>
            </w:r>
            <w:r>
              <w:rPr>
                <w:sz w:val="20"/>
                <w:szCs w:val="20"/>
              </w:rPr>
              <w:t>_____________</w:t>
            </w:r>
            <w:r>
              <w:rPr>
                <w:bCs/>
                <w:sz w:val="20"/>
                <w:szCs w:val="20"/>
                <w:lang w:eastAsia="en-US"/>
              </w:rPr>
              <w:t xml:space="preserve">. </w:t>
            </w:r>
          </w:p>
          <w:p>
            <w:pPr>
              <w:pStyle w:val="Normal"/>
              <w:rPr>
                <w:bCs/>
                <w:sz w:val="20"/>
                <w:szCs w:val="20"/>
                <w:lang w:eastAsia="en-US"/>
              </w:rPr>
            </w:pPr>
            <w:r>
              <w:rPr>
                <w:bCs/>
                <w:sz w:val="20"/>
                <w:szCs w:val="20"/>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pPr>
              <w:pStyle w:val="Normal"/>
              <w:rPr>
                <w:bCs/>
                <w:sz w:val="20"/>
                <w:szCs w:val="20"/>
                <w:lang w:eastAsia="en-US"/>
              </w:rPr>
            </w:pPr>
            <w:r>
              <w:rPr>
                <w:bCs/>
                <w:sz w:val="20"/>
                <w:szCs w:val="20"/>
                <w:lang w:eastAsia="en-US"/>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w:t>
            </w:r>
          </w:p>
          <w:p>
            <w:pPr>
              <w:pStyle w:val="Normal"/>
              <w:rPr>
                <w:bCs/>
                <w:sz w:val="20"/>
                <w:szCs w:val="20"/>
                <w:lang w:eastAsia="en-US"/>
              </w:rPr>
            </w:pPr>
            <w:r>
              <w:rPr>
                <w:bCs/>
                <w:sz w:val="20"/>
                <w:szCs w:val="20"/>
                <w:lang w:eastAsia="en-US"/>
              </w:rPr>
              <w:t>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pPr>
              <w:pStyle w:val="Normal"/>
              <w:rPr>
                <w:bCs/>
                <w:sz w:val="20"/>
                <w:szCs w:val="20"/>
                <w:lang w:eastAsia="en-US"/>
              </w:rPr>
            </w:pPr>
            <w:r>
              <w:rPr>
                <w:bCs/>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pPr>
              <w:pStyle w:val="Normal"/>
              <w:rPr>
                <w:rFonts w:eastAsia="Calibri" w:eastAsiaTheme="minorHAnsi"/>
                <w:sz w:val="20"/>
                <w:szCs w:val="20"/>
                <w:lang w:eastAsia="en-US"/>
              </w:rPr>
            </w:pPr>
            <w:r>
              <w:rPr>
                <w:bCs/>
                <w:sz w:val="20"/>
                <w:szCs w:val="20"/>
                <w:lang w:eastAsia="en-US"/>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40.</w:t>
            </w:r>
          </w:p>
        </w:tc>
        <w:tc>
          <w:tcPr>
            <w:tcW w:w="4539" w:type="dxa"/>
            <w:tcBorders>
              <w:top w:val="single" w:sz="4" w:space="0" w:color="000000"/>
              <w:left w:val="single" w:sz="4" w:space="0" w:color="000000"/>
              <w:bottom w:val="single" w:sz="4" w:space="0" w:color="000000"/>
              <w:right w:val="single" w:sz="4" w:space="0" w:color="000000"/>
            </w:tcBorders>
          </w:tcPr>
          <w:p>
            <w:pPr>
              <w:pStyle w:val="ConsPlusNormal1"/>
              <w:ind w:hanging="0"/>
              <w:jc w:val="both"/>
              <w:rPr>
                <w:rFonts w:ascii="Times New Roman" w:hAnsi="Times New Roman" w:cs="Times New Roman"/>
                <w:sz w:val="20"/>
                <w:szCs w:val="20"/>
              </w:rPr>
            </w:pPr>
            <w:r>
              <w:rPr>
                <w:rFonts w:cs="Times New Roman" w:ascii="Times New Roman" w:hAnsi="Times New Roman"/>
                <w:sz w:val="20"/>
                <w:szCs w:val="20"/>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c>
          <w:tcPr>
            <w:tcW w:w="5531"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 xml:space="preserve">Порядок и срок, в течение которого победитель электронного аукциона должен подписать контракт, устанавливаются в соответствии с требованиями статьи 83.2 Закона о контрактной системе. </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41.</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sz w:val="20"/>
                <w:szCs w:val="20"/>
                <w:lang w:eastAsia="en-US"/>
              </w:rPr>
              <w:t xml:space="preserve">Размер обеспечения исполнения контракта, срок и порядок предоставления такого обеспечения, требования к обеспечению исполнения контракта (если установление требования обеспечения исполнения контракта предусмотрено </w:t>
            </w:r>
            <w:hyperlink r:id="rId16">
              <w:r>
                <w:rPr>
                  <w:rFonts w:eastAsia="Calibri"/>
                  <w:sz w:val="20"/>
                  <w:lang w:eastAsia="en-US"/>
                </w:rPr>
                <w:t>статьей 96</w:t>
              </w:r>
            </w:hyperlink>
            <w:r>
              <w:rPr>
                <w:rFonts w:eastAsia="Calibri"/>
                <w:sz w:val="20"/>
                <w:szCs w:val="20"/>
                <w:lang w:eastAsia="en-US"/>
              </w:rPr>
              <w:t xml:space="preserve"> </w:t>
            </w:r>
            <w:r>
              <w:rPr>
                <w:color w:val="000000"/>
                <w:sz w:val="20"/>
                <w:szCs w:val="20"/>
                <w:lang w:eastAsia="en-US"/>
              </w:rPr>
              <w:t>Законом о контрактной системе</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42.</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rFonts w:eastAsia="Calibri" w:eastAsiaTheme="minorHAnsi"/>
                <w:sz w:val="20"/>
                <w:szCs w:val="20"/>
                <w:lang w:eastAsia="en-US"/>
              </w:rPr>
              <w:t xml:space="preserve">Размер обеспечения гарантийных обязательств в случае установления требований к таким обязательствам в соответствии с </w:t>
            </w:r>
            <w:hyperlink r:id="rId17">
              <w:r>
                <w:rPr>
                  <w:rFonts w:eastAsia="Calibri" w:eastAsiaTheme="minorHAnsi"/>
                  <w:sz w:val="20"/>
                  <w:lang w:eastAsia="en-US"/>
                </w:rPr>
                <w:t>частью 4 статьи 33</w:t>
              </w:r>
            </w:hyperlink>
            <w:r>
              <w:rPr>
                <w:rFonts w:eastAsia="Calibri" w:eastAsiaTheme="minorHAnsi"/>
                <w:sz w:val="20"/>
                <w:szCs w:val="20"/>
                <w:lang w:eastAsia="en-US"/>
              </w:rPr>
              <w:t xml:space="preserve"> </w:t>
            </w:r>
            <w:r>
              <w:rPr>
                <w:sz w:val="20"/>
                <w:szCs w:val="20"/>
                <w:lang w:eastAsia="en-US"/>
              </w:rPr>
              <w:t>Закона о контрактной системе</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
                <w:b/>
                <w:bCs/>
                <w:sz w:val="20"/>
                <w:szCs w:val="20"/>
                <w:lang w:eastAsia="en-US"/>
              </w:rPr>
            </w:pPr>
            <w:r>
              <w:rPr>
                <w:b/>
                <w:bCs/>
                <w:sz w:val="20"/>
                <w:szCs w:val="20"/>
                <w:lang w:eastAsia="en-US"/>
              </w:rPr>
              <w:t>Не установлено/Установлено</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43.</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Реквизиты счета для внесения обеспечения исполнения контракта, гарантийных обязательств (в случае, если участник закупки выбрал обеспечение исполнения контракта в виде перечисления денежных средств)</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bCs/>
                <w:sz w:val="20"/>
                <w:szCs w:val="20"/>
                <w:lang w:eastAsia="en-US"/>
              </w:rPr>
              <w:t>Конкретизируется при проведении закупок товаров, работ, услуг</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44.</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Информация о банковском сопровождении контракта в соответствии со статьей 35 Закона о контрактной системе</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Cs/>
                <w:sz w:val="20"/>
                <w:szCs w:val="20"/>
                <w:lang w:eastAsia="en-US"/>
              </w:rPr>
            </w:pPr>
            <w:r>
              <w:rPr>
                <w:sz w:val="20"/>
                <w:szCs w:val="20"/>
              </w:rPr>
              <w:t>Банковское сопровождение</w:t>
            </w:r>
            <w:r>
              <w:rPr>
                <w:i/>
                <w:sz w:val="20"/>
                <w:szCs w:val="20"/>
              </w:rPr>
              <w:t xml:space="preserve"> </w:t>
            </w:r>
            <w:r>
              <w:rPr>
                <w:b/>
                <w:i/>
                <w:sz w:val="20"/>
                <w:szCs w:val="20"/>
              </w:rPr>
              <w:t>не предусмотрено / предусмотрено</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45.</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Антидемпинговые меры при проведении электронного аукциона</w:t>
            </w:r>
          </w:p>
        </w:tc>
        <w:tc>
          <w:tcPr>
            <w:tcW w:w="5531"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pPr>
              <w:pStyle w:val="Normal"/>
              <w:rPr>
                <w:rFonts w:eastAsia="Calibri" w:eastAsiaTheme="minorHAnsi"/>
                <w:sz w:val="20"/>
                <w:szCs w:val="20"/>
                <w:lang w:eastAsia="en-US"/>
              </w:rPr>
            </w:pPr>
            <w:r>
              <w:rPr>
                <w:rFonts w:eastAsia="Calibri" w:eastAsiaTheme="minorHAnsi"/>
                <w:sz w:val="20"/>
                <w:szCs w:val="20"/>
                <w:lang w:eastAsia="en-US"/>
              </w:rPr>
              <w:t>б) Если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pPr>
              <w:pStyle w:val="Normal"/>
              <w:rPr>
                <w:rFonts w:eastAsia="Calibri" w:eastAsiaTheme="minorHAnsi"/>
                <w:sz w:val="20"/>
                <w:szCs w:val="20"/>
                <w:lang w:eastAsia="en-US"/>
              </w:rPr>
            </w:pPr>
            <w:r>
              <w:rPr>
                <w:rFonts w:eastAsia="Calibri" w:eastAsiaTheme="minorHAnsi"/>
                <w:sz w:val="20"/>
                <w:szCs w:val="20"/>
                <w:lang w:eastAsia="en-US"/>
              </w:rPr>
              <w:tab/>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pPr>
              <w:pStyle w:val="Normal"/>
              <w:rPr>
                <w:rFonts w:eastAsia="Calibri" w:eastAsiaTheme="minorHAnsi"/>
                <w:sz w:val="20"/>
                <w:szCs w:val="20"/>
                <w:lang w:eastAsia="en-US"/>
              </w:rPr>
            </w:pPr>
            <w:r>
              <w:rPr>
                <w:rFonts w:eastAsia="Calibri" w:eastAsiaTheme="minorHAnsi"/>
                <w:sz w:val="20"/>
                <w:szCs w:val="20"/>
                <w:lang w:eastAsia="en-US"/>
              </w:rPr>
              <w:tab/>
              <w:t xml:space="preserve">В случае предоставления участником аукциона в электронной форме информации, подтверждающей добросовестность, такая информация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 </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46.</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Возможность заказчика изменить условия контракта</w:t>
            </w:r>
          </w:p>
        </w:tc>
        <w:tc>
          <w:tcPr>
            <w:tcW w:w="5531"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b/>
                <w:bCs/>
                <w:sz w:val="20"/>
                <w:szCs w:val="20"/>
                <w:lang w:eastAsia="en-US"/>
              </w:rPr>
              <w:t>Не допускается / допускается</w:t>
            </w:r>
            <w:r>
              <w:rPr>
                <w:bCs/>
                <w:sz w:val="20"/>
                <w:szCs w:val="20"/>
                <w:lang w:eastAsia="en-US"/>
              </w:rPr>
              <w:t xml:space="preserve"> в соответствии с гражданским законодательством Российской Федерации.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47.</w:t>
            </w:r>
          </w:p>
        </w:tc>
        <w:tc>
          <w:tcPr>
            <w:tcW w:w="4539" w:type="dxa"/>
            <w:tcBorders>
              <w:top w:val="single" w:sz="4" w:space="0" w:color="000000"/>
              <w:left w:val="single" w:sz="4" w:space="0" w:color="000000"/>
              <w:bottom w:val="single" w:sz="4" w:space="0" w:color="000000"/>
              <w:right w:val="single" w:sz="4" w:space="0" w:color="000000"/>
            </w:tcBorders>
          </w:tcPr>
          <w:p>
            <w:pPr>
              <w:pStyle w:val="Normal"/>
              <w:rPr>
                <w:sz w:val="20"/>
                <w:szCs w:val="20"/>
                <w:lang w:eastAsia="en-US"/>
              </w:rPr>
            </w:pPr>
            <w:r>
              <w:rPr>
                <w:sz w:val="20"/>
                <w:szCs w:val="20"/>
                <w:lang w:eastAsia="en-US"/>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31"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b/>
                <w:bCs/>
                <w:sz w:val="20"/>
                <w:szCs w:val="20"/>
                <w:lang w:eastAsia="en-US"/>
              </w:rPr>
              <w:t>Не допускается / допускается</w:t>
            </w:r>
            <w:r>
              <w:rPr>
                <w:bCs/>
                <w:sz w:val="20"/>
                <w:szCs w:val="20"/>
                <w:lang w:eastAsia="en-US"/>
              </w:rPr>
              <w:t xml:space="preserve"> в соответствии с гражданским законодательством Российской Федерации.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48.</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sz w:val="20"/>
                <w:szCs w:val="20"/>
                <w:lang w:eastAsia="en-US"/>
              </w:rPr>
              <w:t>Требование о соответствии поставляемого товара изображению товара (макету, образцу)</w:t>
            </w:r>
          </w:p>
        </w:tc>
        <w:tc>
          <w:tcPr>
            <w:tcW w:w="5531" w:type="dxa"/>
            <w:tcBorders>
              <w:top w:val="single" w:sz="4" w:space="0" w:color="000000"/>
              <w:left w:val="single" w:sz="4" w:space="0" w:color="000000"/>
              <w:bottom w:val="single" w:sz="4" w:space="0" w:color="000000"/>
              <w:right w:val="single" w:sz="4" w:space="0" w:color="000000"/>
            </w:tcBorders>
          </w:tcPr>
          <w:p>
            <w:pPr>
              <w:pStyle w:val="Normal"/>
              <w:rPr>
                <w:b/>
                <w:b/>
                <w:sz w:val="20"/>
                <w:szCs w:val="20"/>
                <w:lang w:eastAsia="en-US"/>
              </w:rPr>
            </w:pPr>
            <w:r>
              <w:rPr>
                <w:b/>
                <w:sz w:val="20"/>
                <w:szCs w:val="20"/>
                <w:lang w:eastAsia="en-US"/>
              </w:rPr>
              <w:t xml:space="preserve">Установлено/Не установлено. </w:t>
            </w:r>
          </w:p>
          <w:p>
            <w:pPr>
              <w:pStyle w:val="Normal"/>
              <w:rPr>
                <w:bCs/>
                <w:sz w:val="20"/>
                <w:szCs w:val="20"/>
                <w:lang w:eastAsia="en-US"/>
              </w:rPr>
            </w:pPr>
            <w:r>
              <w:rPr>
                <w:sz w:val="20"/>
                <w:szCs w:val="20"/>
                <w:lang w:eastAsia="en-US"/>
              </w:rPr>
              <w:t xml:space="preserve"> </w:t>
            </w:r>
            <w:r>
              <w:rPr>
                <w:sz w:val="20"/>
                <w:szCs w:val="20"/>
                <w:lang w:eastAsia="en-US"/>
              </w:rPr>
              <w:t>(Если установлено, указывается № приложения к документации электронного аукциона, где размещено изображение товара, позволяющее его идентифицировать и подготовить заявку).</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ind w:left="34" w:hanging="34"/>
              <w:jc w:val="center"/>
              <w:rPr>
                <w:sz w:val="20"/>
                <w:szCs w:val="20"/>
                <w:lang w:eastAsia="en-US"/>
              </w:rPr>
            </w:pPr>
            <w:r>
              <w:rPr>
                <w:sz w:val="20"/>
                <w:szCs w:val="20"/>
                <w:lang w:eastAsia="en-US"/>
              </w:rPr>
              <w:t>49.</w:t>
            </w:r>
          </w:p>
        </w:tc>
        <w:tc>
          <w:tcPr>
            <w:tcW w:w="4539" w:type="dxa"/>
            <w:tcBorders>
              <w:top w:val="single" w:sz="4" w:space="0" w:color="000000"/>
              <w:left w:val="single" w:sz="4" w:space="0" w:color="000000"/>
              <w:bottom w:val="single" w:sz="4" w:space="0" w:color="000000"/>
              <w:right w:val="single" w:sz="4" w:space="0" w:color="000000"/>
            </w:tcBorders>
          </w:tcPr>
          <w:p>
            <w:pPr>
              <w:pStyle w:val="Normal"/>
              <w:rPr>
                <w:rFonts w:eastAsia="Calibri" w:eastAsiaTheme="minorHAnsi"/>
                <w:sz w:val="20"/>
                <w:szCs w:val="20"/>
                <w:lang w:eastAsia="en-US"/>
              </w:rPr>
            </w:pPr>
            <w:r>
              <w:rPr>
                <w:rFonts w:eastAsia="Calibri" w:eastAsiaTheme="minorHAnsi"/>
                <w:sz w:val="20"/>
                <w:szCs w:val="20"/>
                <w:lang w:eastAsia="en-US"/>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pPr>
              <w:pStyle w:val="Normal"/>
              <w:rPr>
                <w:sz w:val="20"/>
                <w:szCs w:val="20"/>
                <w:lang w:eastAsia="en-US"/>
              </w:rPr>
            </w:pPr>
            <w:r>
              <w:rPr>
                <w:sz w:val="20"/>
                <w:szCs w:val="20"/>
                <w:lang w:eastAsia="en-US"/>
              </w:rPr>
            </w:r>
          </w:p>
        </w:tc>
        <w:tc>
          <w:tcPr>
            <w:tcW w:w="5531" w:type="dxa"/>
            <w:tcBorders>
              <w:top w:val="single" w:sz="4" w:space="0" w:color="000000"/>
              <w:left w:val="single" w:sz="4" w:space="0" w:color="000000"/>
              <w:bottom w:val="single" w:sz="4" w:space="0" w:color="000000"/>
              <w:right w:val="single" w:sz="4" w:space="0" w:color="000000"/>
            </w:tcBorders>
          </w:tcPr>
          <w:p>
            <w:pPr>
              <w:pStyle w:val="Normal"/>
              <w:rPr>
                <w:b/>
                <w:b/>
                <w:sz w:val="20"/>
                <w:szCs w:val="20"/>
                <w:lang w:eastAsia="en-US"/>
              </w:rPr>
            </w:pPr>
            <w:r>
              <w:rPr>
                <w:b/>
                <w:sz w:val="20"/>
                <w:szCs w:val="20"/>
                <w:lang w:eastAsia="en-US"/>
              </w:rPr>
              <w:t xml:space="preserve">Установлено/Не установлено. </w:t>
            </w:r>
          </w:p>
          <w:p>
            <w:pPr>
              <w:pStyle w:val="Normal"/>
              <w:rPr>
                <w:sz w:val="20"/>
                <w:szCs w:val="20"/>
                <w:lang w:eastAsia="en-US"/>
              </w:rPr>
            </w:pPr>
            <w:r>
              <w:rPr>
                <w:sz w:val="20"/>
                <w:szCs w:val="20"/>
                <w:lang w:eastAsia="en-US"/>
              </w:rPr>
              <w:t>(Если установлено, указывается место, время, даты начала и окончания, порядок и график  осмотра участниками закупки  образца или макета товара, на поставку которого заключается контракт)</w:t>
            </w:r>
          </w:p>
        </w:tc>
      </w:tr>
    </w:tbl>
    <w:p>
      <w:pPr>
        <w:pStyle w:val="ConsPlusNormal1"/>
        <w:widowControl/>
        <w:numPr>
          <w:ilvl w:val="1"/>
          <w:numId w:val="2"/>
        </w:numPr>
        <w:tabs>
          <w:tab w:val="clear" w:pos="708"/>
          <w:tab w:val="left" w:pos="360" w:leader="none"/>
        </w:tabs>
        <w:spacing w:before="120" w:after="120"/>
        <w:jc w:val="center"/>
        <w:rPr>
          <w:rFonts w:ascii="Times New Roman" w:hAnsi="Times New Roman" w:cs="Times New Roman"/>
          <w:b/>
          <w:b/>
          <w:bCs/>
          <w:sz w:val="24"/>
          <w:szCs w:val="24"/>
        </w:rPr>
      </w:pPr>
      <w:bookmarkStart w:id="4" w:name="_Toc377034056"/>
      <w:bookmarkStart w:id="5" w:name="_Ref248728669"/>
      <w:bookmarkStart w:id="6" w:name="_Ref248562452"/>
      <w:bookmarkEnd w:id="4"/>
      <w:r>
        <w:rPr>
          <w:rFonts w:cs="Times New Roman" w:ascii="Times New Roman" w:hAnsi="Times New Roman"/>
          <w:b/>
          <w:bCs/>
          <w:sz w:val="24"/>
          <w:szCs w:val="24"/>
        </w:rPr>
        <w:t>«ОПИСАНИЕ ОБЪЕКТА ЗАКУПКИ» (ТЕХНИЧЕСКОЕ ЗАДАНИЕ</w:t>
      </w:r>
      <w:bookmarkStart w:id="7" w:name="_Ref248562863"/>
      <w:bookmarkEnd w:id="5"/>
      <w:bookmarkEnd w:id="6"/>
      <w:r>
        <w:rPr>
          <w:rFonts w:cs="Times New Roman" w:ascii="Times New Roman" w:hAnsi="Times New Roman"/>
          <w:b/>
          <w:bCs/>
          <w:sz w:val="24"/>
          <w:szCs w:val="24"/>
        </w:rPr>
        <w:t>)</w:t>
      </w:r>
    </w:p>
    <w:p>
      <w:pPr>
        <w:pStyle w:val="Normal"/>
        <w:rPr>
          <w:i/>
          <w:i/>
          <w:iCs/>
        </w:rPr>
      </w:pPr>
      <w:r>
        <w:rPr>
          <w:i/>
          <w:iCs/>
        </w:rPr>
      </w:r>
    </w:p>
    <w:p>
      <w:pPr>
        <w:pStyle w:val="Normal"/>
        <w:widowControl w:val="false"/>
        <w:suppressAutoHyphens w:val="true"/>
        <w:ind w:firstLine="709"/>
        <w:jc w:val="center"/>
        <w:rPr>
          <w:bCs/>
          <w:i/>
          <w:i/>
        </w:rPr>
      </w:pPr>
      <w:r>
        <w:rPr>
          <w:bCs/>
          <w:i/>
        </w:rPr>
        <w:t>(Размещено отдельным файлом и является неотъемлемой частью документации об аукционе)</w:t>
      </w:r>
    </w:p>
    <w:p>
      <w:pPr>
        <w:pStyle w:val="Normal"/>
        <w:widowControl w:val="false"/>
        <w:suppressAutoHyphens w:val="true"/>
        <w:ind w:firstLine="709"/>
        <w:rPr>
          <w:i/>
          <w:i/>
        </w:rPr>
      </w:pPr>
      <w:r>
        <w:rPr>
          <w:i/>
        </w:rPr>
      </w:r>
    </w:p>
    <w:p>
      <w:pPr>
        <w:pStyle w:val="ConsPlusNormal1"/>
        <w:widowControl/>
        <w:numPr>
          <w:ilvl w:val="1"/>
          <w:numId w:val="2"/>
        </w:numPr>
        <w:tabs>
          <w:tab w:val="clear" w:pos="708"/>
          <w:tab w:val="left" w:pos="360" w:leader="none"/>
        </w:tabs>
        <w:spacing w:before="120" w:after="120"/>
        <w:ind w:left="0" w:hanging="0"/>
        <w:jc w:val="center"/>
        <w:rPr>
          <w:rFonts w:ascii="Times New Roman" w:hAnsi="Times New Roman" w:cs="Times New Roman"/>
          <w:b/>
          <w:b/>
          <w:bCs/>
          <w:sz w:val="24"/>
          <w:szCs w:val="24"/>
        </w:rPr>
      </w:pPr>
      <w:bookmarkStart w:id="8" w:name="_Ref353189530"/>
      <w:r>
        <w:rPr>
          <w:rFonts w:cs="Times New Roman" w:ascii="Times New Roman" w:hAnsi="Times New Roman"/>
          <w:b/>
          <w:bCs/>
          <w:sz w:val="24"/>
          <w:szCs w:val="24"/>
        </w:rPr>
        <w:t>ПРОЕКТ КОНТРАКТА</w:t>
      </w:r>
      <w:bookmarkEnd w:id="7"/>
      <w:bookmarkEnd w:id="8"/>
    </w:p>
    <w:p>
      <w:pPr>
        <w:pStyle w:val="Normal"/>
        <w:widowControl w:val="false"/>
        <w:suppressAutoHyphens w:val="true"/>
        <w:ind w:firstLine="709"/>
        <w:jc w:val="center"/>
        <w:rPr>
          <w:bCs/>
          <w:i/>
          <w:i/>
        </w:rPr>
      </w:pPr>
      <w:r>
        <w:rPr>
          <w:bCs/>
          <w:i/>
        </w:rPr>
        <w:t>(Размещено отдельным файлом и является неотъемлемой частью документации об аукционе)</w:t>
      </w:r>
    </w:p>
    <w:p>
      <w:pPr>
        <w:pStyle w:val="ConsPlusNormal1"/>
        <w:widowControl/>
        <w:tabs>
          <w:tab w:val="clear" w:pos="708"/>
          <w:tab w:val="left" w:pos="360" w:leader="none"/>
        </w:tabs>
        <w:spacing w:before="120" w:after="120"/>
        <w:ind w:hanging="0"/>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numPr>
          <w:ilvl w:val="1"/>
          <w:numId w:val="2"/>
        </w:numPr>
        <w:tabs>
          <w:tab w:val="clear" w:pos="708"/>
          <w:tab w:val="left" w:pos="0" w:leader="none"/>
          <w:tab w:val="left" w:pos="360" w:leader="none"/>
        </w:tabs>
        <w:spacing w:before="0" w:after="120"/>
        <w:ind w:left="0" w:hanging="0"/>
        <w:jc w:val="center"/>
        <w:rPr>
          <w:rFonts w:ascii="Times New Roman" w:hAnsi="Times New Roman" w:cs="Times New Roman"/>
          <w:b/>
          <w:b/>
          <w:bCs/>
          <w:color w:val="000000"/>
          <w:sz w:val="24"/>
          <w:szCs w:val="24"/>
        </w:rPr>
      </w:pPr>
      <w:bookmarkStart w:id="9" w:name="_Ref353191193"/>
      <w:r>
        <w:rPr>
          <w:rFonts w:cs="Times New Roman" w:ascii="Times New Roman" w:hAnsi="Times New Roman"/>
          <w:b/>
          <w:bCs/>
          <w:color w:val="000000"/>
          <w:sz w:val="24"/>
          <w:szCs w:val="24"/>
        </w:rPr>
        <w:t>ОБОСНОВАНИЕ НАЧАЛЬНОЙ (МАКСИМАЛЬНОЙ) ЦЕНЫ КОНТРАКТА</w:t>
      </w:r>
      <w:bookmarkEnd w:id="9"/>
      <w:r>
        <w:rPr>
          <w:rFonts w:cs="Times New Roman" w:ascii="Times New Roman" w:hAnsi="Times New Roman"/>
          <w:b/>
          <w:bCs/>
          <w:color w:val="000000"/>
          <w:sz w:val="24"/>
          <w:szCs w:val="24"/>
        </w:rPr>
        <w:t>, НАЧАЛЬНЫХ ЦЕН ЕДИНИЦ ТОВАРА, РАБОТЫ, УСЛУГИ</w:t>
      </w:r>
    </w:p>
    <w:p>
      <w:pPr>
        <w:pStyle w:val="ConsPlusNormal1"/>
        <w:widowControl/>
        <w:tabs>
          <w:tab w:val="clear" w:pos="708"/>
          <w:tab w:val="left" w:pos="360" w:leader="none"/>
        </w:tabs>
        <w:spacing w:before="120" w:after="120"/>
        <w:ind w:left="180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ind w:firstLine="709"/>
        <w:jc w:val="center"/>
        <w:rPr>
          <w:bCs/>
          <w:i/>
          <w:i/>
        </w:rPr>
      </w:pPr>
      <w:r>
        <w:rPr>
          <w:bCs/>
          <w:i/>
        </w:rPr>
        <w:t>(Размещено отдельным файлом и является неотъемлемой частью документации об аукционе)</w:t>
      </w:r>
    </w:p>
    <w:p>
      <w:pPr>
        <w:pStyle w:val="ConsPlusNormal1"/>
        <w:widowControl/>
        <w:tabs>
          <w:tab w:val="clear" w:pos="708"/>
          <w:tab w:val="left" w:pos="360" w:leader="none"/>
        </w:tabs>
        <w:spacing w:before="120" w:after="120"/>
        <w:ind w:left="180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rPr>
          <w:b/>
          <w:b/>
          <w:i/>
          <w:i/>
        </w:rPr>
      </w:pPr>
      <w:r>
        <w:rPr>
          <w:b/>
          <w:i/>
        </w:rPr>
      </w:r>
    </w:p>
    <w:p>
      <w:pPr>
        <w:pStyle w:val="Normal"/>
        <w:jc w:val="right"/>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 w:name="PT Astra Serif">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lvl>
    <w:lvl w:ilvl="1">
      <w:start w:val="1"/>
      <w:pStyle w:val="2"/>
      <w:numFmt w:val="decimal"/>
      <w:lvlText w:val="%2."/>
      <w:lvlJc w:val="left"/>
      <w:pPr>
        <w:tabs>
          <w:tab w:val="num" w:pos="360"/>
        </w:tabs>
        <w:ind w:left="360" w:hanging="360"/>
      </w:pPr>
      <w:rPr>
        <w:sz w:val="24"/>
        <w:szCs w:val="24"/>
      </w:rPr>
    </w:lvl>
    <w:lvl w:ilvl="2">
      <w:start w:val="1"/>
      <w:pStyle w:val="3"/>
      <w:numFmt w:val="decimal"/>
      <w:lvlText w:val="%1.%2.%3"/>
      <w:lvlJc w:val="left"/>
      <w:pPr>
        <w:tabs>
          <w:tab w:val="num" w:pos="720"/>
        </w:tabs>
        <w:ind w:left="720" w:hanging="720"/>
      </w:pPr>
    </w:lvl>
    <w:lvl w:ilvl="3">
      <w:start w:val="1"/>
      <w:pStyle w:val="4"/>
      <w:numFmt w:val="decimal"/>
      <w:lvlText w:val="%1.%2.%3.%4"/>
      <w:lvlJc w:val="left"/>
      <w:pPr>
        <w:tabs>
          <w:tab w:val="num" w:pos="864"/>
        </w:tabs>
        <w:ind w:left="864" w:hanging="864"/>
      </w:pPr>
    </w:lvl>
    <w:lvl w:ilvl="4">
      <w:start w:val="1"/>
      <w:pStyle w:val="5"/>
      <w:numFmt w:val="decimal"/>
      <w:lvlText w:val="%1.%2.%3.%4.%5"/>
      <w:lvlJc w:val="left"/>
      <w:pPr>
        <w:tabs>
          <w:tab w:val="num" w:pos="1008"/>
        </w:tabs>
        <w:ind w:left="1008" w:hanging="1008"/>
      </w:pPr>
    </w:lvl>
    <w:lvl w:ilvl="5">
      <w:start w:val="1"/>
      <w:pStyle w:val="6"/>
      <w:numFmt w:val="decimal"/>
      <w:lvlText w:val="%1.%2.%3.%4.%5.%6"/>
      <w:lvlJc w:val="left"/>
      <w:pPr>
        <w:tabs>
          <w:tab w:val="num" w:pos="1152"/>
        </w:tabs>
        <w:ind w:left="1152" w:hanging="1152"/>
      </w:pPr>
    </w:lvl>
    <w:lvl w:ilvl="6">
      <w:start w:val="1"/>
      <w:pStyle w:val="7"/>
      <w:numFmt w:val="decimal"/>
      <w:lvlText w:val="%1.%2.%3.%4.%5.%6.%7"/>
      <w:lvlJc w:val="left"/>
      <w:pPr>
        <w:tabs>
          <w:tab w:val="num" w:pos="1296"/>
        </w:tabs>
        <w:ind w:left="1296" w:hanging="1296"/>
      </w:pPr>
    </w:lvl>
    <w:lvl w:ilvl="7">
      <w:start w:val="1"/>
      <w:pStyle w:val="8"/>
      <w:numFmt w:val="decimal"/>
      <w:lvlText w:val="%1.%2.%3.%4.%5.%6.%7.%8"/>
      <w:lvlJc w:val="left"/>
      <w:pPr>
        <w:tabs>
          <w:tab w:val="num" w:pos="1440"/>
        </w:tabs>
        <w:ind w:left="1440" w:hanging="1440"/>
      </w:pPr>
    </w:lvl>
    <w:lvl w:ilvl="8">
      <w:start w:val="1"/>
      <w:pStyle w:val="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1"/>
      <w:numFmt w:val="upperRoman"/>
      <w:lvlText w:val="%2."/>
      <w:lvlJc w:val="left"/>
      <w:pPr>
        <w:tabs>
          <w:tab w:val="num" w:pos="720"/>
        </w:tabs>
        <w:ind w:left="720" w:hanging="72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1">
      <w:startOverride w:val="1"/>
    </w:lvlOverride>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6798"/>
    <w:pPr>
      <w:widowControl/>
      <w:bidi w:val="0"/>
      <w:spacing w:lineRule="auto" w:line="240" w:before="0" w:after="0"/>
      <w:jc w:val="both"/>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786798"/>
    <w:pPr>
      <w:keepNext w:val="true"/>
      <w:numPr>
        <w:ilvl w:val="0"/>
        <w:numId w:val="1"/>
      </w:numPr>
      <w:spacing w:before="240" w:after="60"/>
      <w:jc w:val="center"/>
      <w:outlineLvl w:val="0"/>
    </w:pPr>
    <w:rPr>
      <w:b/>
      <w:kern w:val="2"/>
      <w:sz w:val="36"/>
      <w:szCs w:val="20"/>
    </w:rPr>
  </w:style>
  <w:style w:type="paragraph" w:styleId="2">
    <w:name w:val="Heading 2"/>
    <w:basedOn w:val="Normal"/>
    <w:next w:val="Normal"/>
    <w:link w:val="20"/>
    <w:qFormat/>
    <w:rsid w:val="00786798"/>
    <w:pPr>
      <w:keepNext w:val="true"/>
      <w:numPr>
        <w:ilvl w:val="1"/>
        <w:numId w:val="1"/>
      </w:numPr>
      <w:jc w:val="center"/>
      <w:outlineLvl w:val="1"/>
    </w:pPr>
    <w:rPr>
      <w:b/>
      <w:bCs/>
    </w:rPr>
  </w:style>
  <w:style w:type="paragraph" w:styleId="3">
    <w:name w:val="Heading 3"/>
    <w:basedOn w:val="Normal"/>
    <w:next w:val="Normal"/>
    <w:link w:val="30"/>
    <w:qFormat/>
    <w:rsid w:val="00786798"/>
    <w:pPr>
      <w:keepNext w:val="true"/>
      <w:numPr>
        <w:ilvl w:val="2"/>
        <w:numId w:val="1"/>
      </w:numPr>
      <w:spacing w:before="240" w:after="60"/>
      <w:outlineLvl w:val="2"/>
    </w:pPr>
    <w:rPr>
      <w:rFonts w:ascii="Arial" w:hAnsi="Arial"/>
      <w:b/>
      <w:szCs w:val="20"/>
    </w:rPr>
  </w:style>
  <w:style w:type="paragraph" w:styleId="4">
    <w:name w:val="Heading 4"/>
    <w:basedOn w:val="Normal"/>
    <w:next w:val="Normal"/>
    <w:link w:val="40"/>
    <w:qFormat/>
    <w:rsid w:val="00786798"/>
    <w:pPr>
      <w:keepNext w:val="true"/>
      <w:numPr>
        <w:ilvl w:val="3"/>
        <w:numId w:val="1"/>
      </w:numPr>
      <w:spacing w:before="240" w:after="60"/>
      <w:outlineLvl w:val="3"/>
    </w:pPr>
    <w:rPr>
      <w:rFonts w:ascii="Arial" w:hAnsi="Arial"/>
      <w:szCs w:val="20"/>
    </w:rPr>
  </w:style>
  <w:style w:type="paragraph" w:styleId="5">
    <w:name w:val="Heading 5"/>
    <w:basedOn w:val="Normal"/>
    <w:next w:val="Normal"/>
    <w:link w:val="50"/>
    <w:qFormat/>
    <w:rsid w:val="00786798"/>
    <w:pPr>
      <w:numPr>
        <w:ilvl w:val="4"/>
        <w:numId w:val="1"/>
      </w:numPr>
      <w:spacing w:before="240" w:after="60"/>
      <w:outlineLvl w:val="4"/>
    </w:pPr>
    <w:rPr>
      <w:sz w:val="22"/>
      <w:szCs w:val="20"/>
    </w:rPr>
  </w:style>
  <w:style w:type="paragraph" w:styleId="6">
    <w:name w:val="Heading 6"/>
    <w:basedOn w:val="Normal"/>
    <w:next w:val="Normal"/>
    <w:link w:val="60"/>
    <w:qFormat/>
    <w:rsid w:val="00786798"/>
    <w:pPr>
      <w:numPr>
        <w:ilvl w:val="5"/>
        <w:numId w:val="1"/>
      </w:numPr>
      <w:spacing w:before="240" w:after="60"/>
      <w:outlineLvl w:val="5"/>
    </w:pPr>
    <w:rPr>
      <w:i/>
      <w:sz w:val="22"/>
      <w:szCs w:val="20"/>
    </w:rPr>
  </w:style>
  <w:style w:type="paragraph" w:styleId="7">
    <w:name w:val="Heading 7"/>
    <w:basedOn w:val="Normal"/>
    <w:next w:val="Normal"/>
    <w:link w:val="70"/>
    <w:qFormat/>
    <w:rsid w:val="00786798"/>
    <w:pPr>
      <w:numPr>
        <w:ilvl w:val="6"/>
        <w:numId w:val="1"/>
      </w:numPr>
      <w:spacing w:before="240" w:after="60"/>
      <w:outlineLvl w:val="6"/>
    </w:pPr>
    <w:rPr>
      <w:rFonts w:ascii="Arial" w:hAnsi="Arial"/>
      <w:sz w:val="20"/>
      <w:szCs w:val="20"/>
    </w:rPr>
  </w:style>
  <w:style w:type="paragraph" w:styleId="8">
    <w:name w:val="Heading 8"/>
    <w:basedOn w:val="Normal"/>
    <w:next w:val="Normal"/>
    <w:link w:val="80"/>
    <w:qFormat/>
    <w:rsid w:val="00786798"/>
    <w:pPr>
      <w:numPr>
        <w:ilvl w:val="7"/>
        <w:numId w:val="1"/>
      </w:numPr>
      <w:spacing w:before="240" w:after="60"/>
      <w:outlineLvl w:val="7"/>
    </w:pPr>
    <w:rPr>
      <w:rFonts w:ascii="Arial" w:hAnsi="Arial"/>
      <w:i/>
      <w:sz w:val="20"/>
      <w:szCs w:val="20"/>
    </w:rPr>
  </w:style>
  <w:style w:type="paragraph" w:styleId="9">
    <w:name w:val="Heading 9"/>
    <w:basedOn w:val="Normal"/>
    <w:next w:val="Normal"/>
    <w:link w:val="90"/>
    <w:qFormat/>
    <w:rsid w:val="00786798"/>
    <w:pPr>
      <w:numPr>
        <w:ilvl w:val="8"/>
        <w:numId w:val="1"/>
      </w:numPr>
      <w:spacing w:before="240" w:after="60"/>
      <w:outlineLvl w:val="8"/>
    </w:pPr>
    <w:rPr>
      <w:rFonts w:ascii="Arial" w:hAnsi="Arial"/>
      <w:b/>
      <w:i/>
      <w:sz w:val="1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86798"/>
    <w:rPr>
      <w:rFonts w:ascii="Times New Roman" w:hAnsi="Times New Roman" w:eastAsia="Times New Roman" w:cs="Times New Roman"/>
      <w:b/>
      <w:kern w:val="2"/>
      <w:sz w:val="36"/>
      <w:szCs w:val="20"/>
      <w:lang w:eastAsia="ru-RU"/>
    </w:rPr>
  </w:style>
  <w:style w:type="character" w:styleId="21" w:customStyle="1">
    <w:name w:val="Заголовок 2 Знак"/>
    <w:basedOn w:val="DefaultParagraphFont"/>
    <w:link w:val="2"/>
    <w:qFormat/>
    <w:rsid w:val="00786798"/>
    <w:rPr>
      <w:rFonts w:ascii="Times New Roman" w:hAnsi="Times New Roman" w:eastAsia="Times New Roman" w:cs="Times New Roman"/>
      <w:b/>
      <w:bCs/>
      <w:sz w:val="24"/>
      <w:szCs w:val="24"/>
      <w:lang w:eastAsia="ru-RU"/>
    </w:rPr>
  </w:style>
  <w:style w:type="character" w:styleId="31" w:customStyle="1">
    <w:name w:val="Заголовок 3 Знак"/>
    <w:basedOn w:val="DefaultParagraphFont"/>
    <w:link w:val="3"/>
    <w:qFormat/>
    <w:rsid w:val="00786798"/>
    <w:rPr>
      <w:rFonts w:ascii="Arial" w:hAnsi="Arial" w:eastAsia="Times New Roman" w:cs="Times New Roman"/>
      <w:b/>
      <w:sz w:val="24"/>
      <w:szCs w:val="20"/>
      <w:lang w:eastAsia="ru-RU"/>
    </w:rPr>
  </w:style>
  <w:style w:type="character" w:styleId="41" w:customStyle="1">
    <w:name w:val="Заголовок 4 Знак"/>
    <w:basedOn w:val="DefaultParagraphFont"/>
    <w:link w:val="4"/>
    <w:qFormat/>
    <w:rsid w:val="00786798"/>
    <w:rPr>
      <w:rFonts w:ascii="Arial" w:hAnsi="Arial" w:eastAsia="Times New Roman" w:cs="Times New Roman"/>
      <w:sz w:val="24"/>
      <w:szCs w:val="20"/>
      <w:lang w:eastAsia="ru-RU"/>
    </w:rPr>
  </w:style>
  <w:style w:type="character" w:styleId="51" w:customStyle="1">
    <w:name w:val="Заголовок 5 Знак"/>
    <w:basedOn w:val="DefaultParagraphFont"/>
    <w:link w:val="5"/>
    <w:qFormat/>
    <w:rsid w:val="00786798"/>
    <w:rPr>
      <w:rFonts w:ascii="Times New Roman" w:hAnsi="Times New Roman" w:eastAsia="Times New Roman" w:cs="Times New Roman"/>
      <w:szCs w:val="20"/>
      <w:lang w:eastAsia="ru-RU"/>
    </w:rPr>
  </w:style>
  <w:style w:type="character" w:styleId="61" w:customStyle="1">
    <w:name w:val="Заголовок 6 Знак"/>
    <w:basedOn w:val="DefaultParagraphFont"/>
    <w:link w:val="6"/>
    <w:qFormat/>
    <w:rsid w:val="00786798"/>
    <w:rPr>
      <w:rFonts w:ascii="Times New Roman" w:hAnsi="Times New Roman" w:eastAsia="Times New Roman" w:cs="Times New Roman"/>
      <w:i/>
      <w:szCs w:val="20"/>
      <w:lang w:eastAsia="ru-RU"/>
    </w:rPr>
  </w:style>
  <w:style w:type="character" w:styleId="71" w:customStyle="1">
    <w:name w:val="Заголовок 7 Знак"/>
    <w:basedOn w:val="DefaultParagraphFont"/>
    <w:link w:val="7"/>
    <w:qFormat/>
    <w:rsid w:val="00786798"/>
    <w:rPr>
      <w:rFonts w:ascii="Arial" w:hAnsi="Arial" w:eastAsia="Times New Roman" w:cs="Times New Roman"/>
      <w:sz w:val="20"/>
      <w:szCs w:val="20"/>
      <w:lang w:eastAsia="ru-RU"/>
    </w:rPr>
  </w:style>
  <w:style w:type="character" w:styleId="81" w:customStyle="1">
    <w:name w:val="Заголовок 8 Знак"/>
    <w:basedOn w:val="DefaultParagraphFont"/>
    <w:link w:val="8"/>
    <w:qFormat/>
    <w:rsid w:val="00786798"/>
    <w:rPr>
      <w:rFonts w:ascii="Arial" w:hAnsi="Arial" w:eastAsia="Times New Roman" w:cs="Times New Roman"/>
      <w:i/>
      <w:sz w:val="20"/>
      <w:szCs w:val="20"/>
      <w:lang w:eastAsia="ru-RU"/>
    </w:rPr>
  </w:style>
  <w:style w:type="character" w:styleId="91" w:customStyle="1">
    <w:name w:val="Заголовок 9 Знак"/>
    <w:basedOn w:val="DefaultParagraphFont"/>
    <w:link w:val="9"/>
    <w:qFormat/>
    <w:rsid w:val="00786798"/>
    <w:rPr>
      <w:rFonts w:ascii="Arial" w:hAnsi="Arial" w:eastAsia="Times New Roman" w:cs="Times New Roman"/>
      <w:b/>
      <w:i/>
      <w:sz w:val="18"/>
      <w:szCs w:val="20"/>
      <w:lang w:eastAsia="ru-RU"/>
    </w:rPr>
  </w:style>
  <w:style w:type="character" w:styleId="22" w:customStyle="1">
    <w:name w:val="Основной текст 2 Знак"/>
    <w:basedOn w:val="DefaultParagraphFont"/>
    <w:link w:val="22"/>
    <w:qFormat/>
    <w:rsid w:val="00786798"/>
    <w:rPr>
      <w:rFonts w:ascii="Times New Roman" w:hAnsi="Times New Roman" w:eastAsia="Times New Roman"/>
      <w:sz w:val="24"/>
    </w:rPr>
  </w:style>
  <w:style w:type="character" w:styleId="211" w:customStyle="1">
    <w:name w:val="Основной текст 2 Знак1"/>
    <w:basedOn w:val="DefaultParagraphFont"/>
    <w:uiPriority w:val="99"/>
    <w:semiHidden/>
    <w:qFormat/>
    <w:rsid w:val="00786798"/>
    <w:rPr>
      <w:rFonts w:ascii="Times New Roman" w:hAnsi="Times New Roman" w:eastAsia="Times New Roman" w:cs="Times New Roman"/>
      <w:sz w:val="24"/>
      <w:szCs w:val="24"/>
      <w:lang w:eastAsia="ru-RU"/>
    </w:rPr>
  </w:style>
  <w:style w:type="character" w:styleId="Style5" w:customStyle="1">
    <w:name w:val="Основной текст Знак"/>
    <w:basedOn w:val="DefaultParagraphFont"/>
    <w:link w:val="a4"/>
    <w:qFormat/>
    <w:rsid w:val="00786798"/>
    <w:rPr>
      <w:rFonts w:ascii="Times New Roman" w:hAnsi="Times New Roman" w:eastAsia="Times New Roman" w:cs="Times New Roman"/>
      <w:sz w:val="24"/>
      <w:szCs w:val="24"/>
      <w:lang w:eastAsia="ru-RU"/>
    </w:rPr>
  </w:style>
  <w:style w:type="character" w:styleId="12" w:customStyle="1">
    <w:name w:val="Основной текст Знак1"/>
    <w:basedOn w:val="DefaultParagraphFont"/>
    <w:uiPriority w:val="99"/>
    <w:semiHidden/>
    <w:qFormat/>
    <w:rsid w:val="00786798"/>
    <w:rPr>
      <w:rFonts w:ascii="Times New Roman" w:hAnsi="Times New Roman" w:eastAsia="Times New Roman" w:cs="Times New Roman"/>
      <w:sz w:val="24"/>
      <w:szCs w:val="24"/>
      <w:lang w:eastAsia="ru-RU"/>
    </w:rPr>
  </w:style>
  <w:style w:type="character" w:styleId="Style6" w:customStyle="1">
    <w:name w:val="Текст сноски Знак"/>
    <w:basedOn w:val="DefaultParagraphFont"/>
    <w:link w:val="a5"/>
    <w:qFormat/>
    <w:rsid w:val="00786798"/>
    <w:rPr>
      <w:rFonts w:ascii="Times New Roman" w:hAnsi="Times New Roman" w:eastAsia="Times New Roman" w:cs="Times New Roman"/>
      <w:sz w:val="20"/>
      <w:szCs w:val="20"/>
      <w:lang w:eastAsia="ru-RU"/>
    </w:rPr>
  </w:style>
  <w:style w:type="character" w:styleId="Style7" w:customStyle="1">
    <w:name w:val="Название Знак"/>
    <w:basedOn w:val="DefaultParagraphFont"/>
    <w:link w:val="a7"/>
    <w:qFormat/>
    <w:rsid w:val="00786798"/>
    <w:rPr>
      <w:rFonts w:ascii="Times New Roman" w:hAnsi="Times New Roman" w:eastAsia="Times New Roman" w:cs="Times New Roman"/>
      <w:bCs/>
      <w:color w:val="000000"/>
      <w:spacing w:val="13"/>
      <w:sz w:val="24"/>
      <w:shd w:fill="FFFFFF" w:val="clear"/>
      <w:lang w:eastAsia="ru-RU"/>
    </w:rPr>
  </w:style>
  <w:style w:type="character" w:styleId="ConsPlusNormal" w:customStyle="1">
    <w:name w:val="ConsPlusNormal Знак"/>
    <w:link w:val="ConsPlusNormal0"/>
    <w:qFormat/>
    <w:locked/>
    <w:rsid w:val="00786798"/>
    <w:rPr>
      <w:rFonts w:ascii="Arial" w:hAnsi="Arial" w:cs="Arial"/>
    </w:rPr>
  </w:style>
  <w:style w:type="character" w:styleId="Style8" w:customStyle="1">
    <w:name w:val="Основной текст_"/>
    <w:link w:val="71"/>
    <w:qFormat/>
    <w:locked/>
    <w:rsid w:val="00786798"/>
    <w:rPr>
      <w:rFonts w:ascii="Times New Roman" w:hAnsi="Times New Roman" w:cs="Times New Roman"/>
      <w:sz w:val="21"/>
      <w:szCs w:val="21"/>
      <w:shd w:fill="FFFFFF" w:val="clear"/>
    </w:rPr>
  </w:style>
  <w:style w:type="character" w:styleId="Style9">
    <w:name w:val="Выделение"/>
    <w:basedOn w:val="DefaultParagraphFont"/>
    <w:uiPriority w:val="20"/>
    <w:qFormat/>
    <w:rsid w:val="00355f65"/>
    <w:rPr>
      <w:i/>
      <w:iCs/>
    </w:rPr>
  </w:style>
  <w:style w:type="character" w:styleId="Style10" w:customStyle="1">
    <w:name w:val="Текст выноски Знак"/>
    <w:basedOn w:val="DefaultParagraphFont"/>
    <w:link w:val="ad"/>
    <w:uiPriority w:val="99"/>
    <w:semiHidden/>
    <w:qFormat/>
    <w:rsid w:val="00f72e15"/>
    <w:rPr>
      <w:rFonts w:ascii="Tahoma" w:hAnsi="Tahoma" w:eastAsia="Times New Roman" w:cs="Tahoma"/>
      <w:sz w:val="16"/>
      <w:szCs w:val="16"/>
      <w:lang w:eastAsia="ru-RU"/>
    </w:rPr>
  </w:style>
  <w:style w:type="character" w:styleId="Style11" w:customStyle="1">
    <w:name w:val="Основной текст с отступом Знак"/>
    <w:basedOn w:val="DefaultParagraphFont"/>
    <w:link w:val="af"/>
    <w:uiPriority w:val="99"/>
    <w:qFormat/>
    <w:rsid w:val="00243f23"/>
    <w:rPr>
      <w:rFonts w:ascii="Times New Roman" w:hAnsi="Times New Roman" w:eastAsia="Times New Roman" w:cs="Times New Roman"/>
      <w:sz w:val="24"/>
      <w:szCs w:val="24"/>
      <w:lang w:eastAsia="ru-RU"/>
    </w:rPr>
  </w:style>
  <w:style w:type="character" w:styleId="Style12">
    <w:name w:val="Привязка сноски"/>
    <w:rPr>
      <w:vertAlign w:val="superscript"/>
    </w:rPr>
  </w:style>
  <w:style w:type="character" w:styleId="FootnoteCharacters">
    <w:name w:val="Footnote Characters"/>
    <w:basedOn w:val="DefaultParagraphFont"/>
    <w:semiHidden/>
    <w:unhideWhenUsed/>
    <w:qFormat/>
    <w:rsid w:val="00243f23"/>
    <w:rPr>
      <w:vertAlign w:val="superscript"/>
    </w:rPr>
  </w:style>
  <w:style w:type="character" w:styleId="Style13">
    <w:name w:val="Интернет-ссылка"/>
    <w:uiPriority w:val="99"/>
    <w:rsid w:val="00937fe0"/>
    <w:rPr>
      <w:rFonts w:ascii="Times New Roman" w:hAnsi="Times New Roman" w:cs="Times New Roman"/>
      <w:color w:val="0000FF"/>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link w:val="a3"/>
    <w:rsid w:val="00786798"/>
    <w:pPr>
      <w:spacing w:before="0" w:after="12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BodyText2">
    <w:name w:val="Body Text 2"/>
    <w:basedOn w:val="Normal"/>
    <w:link w:val="21"/>
    <w:qFormat/>
    <w:rsid w:val="00786798"/>
    <w:pPr>
      <w:tabs>
        <w:tab w:val="clear" w:pos="708"/>
        <w:tab w:val="left" w:pos="1418" w:leader="none"/>
      </w:tabs>
      <w:spacing w:before="0" w:after="60"/>
      <w:ind w:left="1418" w:hanging="567"/>
    </w:pPr>
    <w:rPr>
      <w:rFonts w:cs="" w:cstheme="minorBidi"/>
      <w:szCs w:val="22"/>
      <w:lang w:eastAsia="en-US"/>
    </w:rPr>
  </w:style>
  <w:style w:type="paragraph" w:styleId="Style19">
    <w:name w:val="Footnote Text"/>
    <w:basedOn w:val="Normal"/>
    <w:link w:val="a6"/>
    <w:rsid w:val="00786798"/>
    <w:pPr>
      <w:jc w:val="left"/>
    </w:pPr>
    <w:rPr>
      <w:sz w:val="20"/>
      <w:szCs w:val="20"/>
    </w:rPr>
  </w:style>
  <w:style w:type="paragraph" w:styleId="Style20">
    <w:name w:val="Title"/>
    <w:basedOn w:val="Normal"/>
    <w:link w:val="a8"/>
    <w:qFormat/>
    <w:rsid w:val="00786798"/>
    <w:pPr>
      <w:widowControl w:val="false"/>
      <w:shd w:val="clear" w:color="auto" w:fill="FFFFFF"/>
      <w:ind w:left="72" w:hanging="0"/>
      <w:jc w:val="center"/>
    </w:pPr>
    <w:rPr>
      <w:bCs/>
      <w:color w:val="000000"/>
      <w:spacing w:val="13"/>
      <w:szCs w:val="22"/>
    </w:rPr>
  </w:style>
  <w:style w:type="paragraph" w:styleId="ListParagraph">
    <w:name w:val="List Paragraph"/>
    <w:basedOn w:val="Normal"/>
    <w:qFormat/>
    <w:rsid w:val="00786798"/>
    <w:pPr>
      <w:spacing w:before="0" w:after="0"/>
      <w:ind w:left="720" w:hanging="0"/>
      <w:contextualSpacing/>
      <w:jc w:val="left"/>
    </w:pPr>
    <w:rPr/>
  </w:style>
  <w:style w:type="paragraph" w:styleId="ConsPlusNormal1" w:customStyle="1">
    <w:name w:val="ConsPlusNormal"/>
    <w:link w:val="ConsPlusNormal"/>
    <w:qFormat/>
    <w:rsid w:val="00786798"/>
    <w:pPr>
      <w:widowControl w:val="false"/>
      <w:bidi w:val="0"/>
      <w:spacing w:lineRule="auto" w:line="240" w:before="0" w:after="0"/>
      <w:ind w:firstLine="720"/>
      <w:jc w:val="left"/>
    </w:pPr>
    <w:rPr>
      <w:rFonts w:ascii="Arial" w:hAnsi="Arial" w:cs="Arial" w:eastAsia="Calibri" w:eastAsiaTheme="minorHAnsi"/>
      <w:color w:val="auto"/>
      <w:kern w:val="0"/>
      <w:sz w:val="24"/>
      <w:szCs w:val="22"/>
      <w:lang w:val="ru-RU" w:eastAsia="en-US" w:bidi="ar-SA"/>
    </w:rPr>
  </w:style>
  <w:style w:type="paragraph" w:styleId="ConsPlusDocList" w:customStyle="1">
    <w:name w:val="ConsPlusDocList"/>
    <w:next w:val="Normal"/>
    <w:uiPriority w:val="99"/>
    <w:qFormat/>
    <w:rsid w:val="00786798"/>
    <w:pPr>
      <w:widowControl w:val="false"/>
      <w:suppressAutoHyphens w:val="true"/>
      <w:bidi w:val="0"/>
      <w:spacing w:lineRule="auto" w:line="240" w:before="0" w:after="0"/>
      <w:jc w:val="left"/>
    </w:pPr>
    <w:rPr>
      <w:rFonts w:ascii="Arial" w:hAnsi="Arial" w:eastAsia="Arial" w:cs="Arial"/>
      <w:color w:val="auto"/>
      <w:kern w:val="0"/>
      <w:sz w:val="20"/>
      <w:szCs w:val="20"/>
      <w:lang w:eastAsia="zh-CN" w:bidi="hi-IN" w:val="ru-RU"/>
    </w:rPr>
  </w:style>
  <w:style w:type="paragraph" w:styleId="72" w:customStyle="1">
    <w:name w:val="Основной текст7"/>
    <w:basedOn w:val="Normal"/>
    <w:link w:val="aa"/>
    <w:qFormat/>
    <w:rsid w:val="00786798"/>
    <w:pPr>
      <w:shd w:val="clear" w:color="auto" w:fill="FFFFFF"/>
      <w:spacing w:lineRule="exact" w:line="254" w:before="6660" w:after="0"/>
      <w:jc w:val="center"/>
    </w:pPr>
    <w:rPr>
      <w:rFonts w:eastAsia="Calibri" w:eastAsiaTheme="minorHAnsi"/>
      <w:sz w:val="21"/>
      <w:szCs w:val="21"/>
      <w:lang w:eastAsia="en-US"/>
    </w:rPr>
  </w:style>
  <w:style w:type="paragraph" w:styleId="NormalWeb">
    <w:name w:val="Normal (Web)"/>
    <w:basedOn w:val="Normal"/>
    <w:uiPriority w:val="99"/>
    <w:unhideWhenUsed/>
    <w:qFormat/>
    <w:rsid w:val="00355f65"/>
    <w:pPr>
      <w:spacing w:beforeAutospacing="1" w:afterAutospacing="1"/>
      <w:jc w:val="left"/>
    </w:pPr>
    <w:rPr/>
  </w:style>
  <w:style w:type="paragraph" w:styleId="BalloonText">
    <w:name w:val="Balloon Text"/>
    <w:basedOn w:val="Normal"/>
    <w:link w:val="ae"/>
    <w:uiPriority w:val="99"/>
    <w:semiHidden/>
    <w:unhideWhenUsed/>
    <w:qFormat/>
    <w:rsid w:val="00f72e15"/>
    <w:pPr/>
    <w:rPr>
      <w:rFonts w:ascii="Tahoma" w:hAnsi="Tahoma" w:cs="Tahoma"/>
      <w:sz w:val="16"/>
      <w:szCs w:val="16"/>
    </w:rPr>
  </w:style>
  <w:style w:type="paragraph" w:styleId="Style21">
    <w:name w:val="Body Text Indent"/>
    <w:basedOn w:val="Normal"/>
    <w:link w:val="af0"/>
    <w:uiPriority w:val="99"/>
    <w:unhideWhenUsed/>
    <w:rsid w:val="00243f23"/>
    <w:pPr>
      <w:spacing w:before="0" w:after="120"/>
      <w:ind w:left="283" w:hanging="0"/>
    </w:pPr>
    <w:rPr/>
  </w:style>
  <w:style w:type="paragraph" w:styleId="Char" w:customStyle="1">
    <w:name w:val="Char Знак Знак"/>
    <w:basedOn w:val="Normal"/>
    <w:qFormat/>
    <w:rsid w:val="00c07f38"/>
    <w:pPr>
      <w:widowControl w:val="false"/>
      <w:spacing w:lineRule="exact" w:line="240" w:before="0" w:after="160"/>
      <w:jc w:val="right"/>
    </w:pPr>
    <w:rPr>
      <w:sz w:val="20"/>
      <w:szCs w:val="20"/>
      <w:lang w:val="en-GB" w:eastAsia="en-US"/>
    </w:rPr>
  </w:style>
  <w:style w:type="paragraph" w:styleId="Style22" w:customStyle="1">
    <w:name w:val="Содержимое таблицы"/>
    <w:basedOn w:val="Normal"/>
    <w:uiPriority w:val="99"/>
    <w:qFormat/>
    <w:rsid w:val="00ab289b"/>
    <w:pPr>
      <w:suppressLineNumbers/>
      <w:suppressAutoHyphens w:val="true"/>
      <w:jc w:val="left"/>
    </w:pPr>
    <w:rPr>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curs@oktregion.ru" TargetMode="External"/><Relationship Id="rId3" Type="http://schemas.openxmlformats.org/officeDocument/2006/relationships/hyperlink" Target="mailto:concurs@oktregion.ru" TargetMode="External"/><Relationship Id="rId4" Type="http://schemas.openxmlformats.org/officeDocument/2006/relationships/hyperlink" Target="http://www.sberbank-ast.ru/" TargetMode="External"/><Relationship Id="rId5" Type="http://schemas.openxmlformats.org/officeDocument/2006/relationships/hyperlink" Target="http://etp.roseltorg.ru/" TargetMode="External"/><Relationship Id="rId6" Type="http://schemas.openxmlformats.org/officeDocument/2006/relationships/hyperlink" Target="http://etp-ets.ru/" TargetMode="External"/><Relationship Id="rId7" Type="http://schemas.openxmlformats.org/officeDocument/2006/relationships/hyperlink" Target="http://rts-tender.ru/" TargetMode="External"/><Relationship Id="rId8" Type="http://schemas.openxmlformats.org/officeDocument/2006/relationships/hyperlink" Target="http://etp.zakazrf.ru/" TargetMode="External"/><Relationship Id="rId9" Type="http://schemas.openxmlformats.org/officeDocument/2006/relationships/hyperlink" Target="http://lot-online.ru/" TargetMode="External"/><Relationship Id="rId10" Type="http://schemas.openxmlformats.org/officeDocument/2006/relationships/hyperlink" Target="http://www.tektorg.ru/" TargetMode="External"/><Relationship Id="rId11" Type="http://schemas.openxmlformats.org/officeDocument/2006/relationships/hyperlink" Target="https://etpgpb.ru/" TargetMode="External"/><Relationship Id="rId12" Type="http://schemas.openxmlformats.org/officeDocument/2006/relationships/hyperlink" Target="https://login.consultant.ru/link/?rnd=92A7EA9C6317E69F361876C96263A5DB&amp;req=doc&amp;base=LAW&amp;n=315347&amp;dst=1208&amp;fld=134&amp;date=29.05.2019" TargetMode="External"/><Relationship Id="rId13" Type="http://schemas.openxmlformats.org/officeDocument/2006/relationships/hyperlink" Target="https://login.consultant.ru/link/?rnd=92A7EA9C6317E69F361876C96263A5DB&amp;req=doc&amp;base=LAW&amp;n=315347&amp;dst=1178&amp;fld=134&amp;date=29.05.2019" TargetMode="External"/><Relationship Id="rId14" Type="http://schemas.openxmlformats.org/officeDocument/2006/relationships/hyperlink" Target="consultantplus://offline/ref=E1D504ACD10D28D6740E46A6FF582754C7032B8169BF99C34561E5B37137BB87E743E993AE18012278BBI" TargetMode="External"/><Relationship Id="rId15" Type="http://schemas.openxmlformats.org/officeDocument/2006/relationships/hyperlink" Target="consultantplus://offline/ref=29FD79AAEAE9AD8D176324383D7A29CF70AE6C362C4D1E764121D677765655BD5E7A83273B120F3784EFE9A5511ABBCAF75DD4829D40F8BAX938H" TargetMode="External"/><Relationship Id="rId16" Type="http://schemas.openxmlformats.org/officeDocument/2006/relationships/hyperlink" Target="consultantplus://offline/ref=A0D3B7B0AB60DD7D2A2BE98F0C4501A9E0D7DFAD6397961A74E10DD8DD6A324359E3E8B6E3D0BE0EW5R6G" TargetMode="External"/><Relationship Id="rId17" Type="http://schemas.openxmlformats.org/officeDocument/2006/relationships/hyperlink" Target="consultantplus://offline/ref=988393D22D48D2954B89952908E24BE3763E198B86E237478598935023C83C37A29214DCD941CA1FD44BE5597B21ABACCF6DF38FDD93rBm2H"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F1F4-0D64-4403-9541-2EAB0140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Application>LibreOffice/6.4.7.2$Linux_X86_64 LibreOffice_project/40$Build-2</Application>
  <Pages>15</Pages>
  <Words>4864</Words>
  <Characters>35129</Characters>
  <CharactersWithSpaces>40162</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2019-08-12T05:46:00Z</dcterms:created>
  <dc:creator>StarodubtsevaEN</dc:creator>
  <dc:description/>
  <dc:language>ru-RU</dc:language>
  <cp:lastModifiedBy>hrabrovans</cp:lastModifiedBy>
  <cp:lastPrinted>2019-08-13T04:40:00Z</cp:lastPrinted>
  <dcterms:modified xsi:type="dcterms:W3CDTF">2021-10-13T04:45:00Z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