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37" w:rsidRDefault="001B4D13">
      <w:pPr>
        <w:jc w:val="center"/>
        <w:rPr>
          <w:szCs w:val="28"/>
        </w:rPr>
      </w:pPr>
      <w:bookmarkStart w:id="0" w:name="_GoBack"/>
      <w:bookmarkEnd w:id="0"/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37" w:rsidRDefault="001B4D1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</w:t>
                            </w:r>
                          </w:p>
                          <w:p w:rsidR="00CD5337" w:rsidRDefault="001B4D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государственной власти Ханты-Мансийского автономного округа - Югры за № 7247 от 18.12.2023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CD5337" w:rsidRDefault="001B4D1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</w:t>
                      </w:r>
                    </w:p>
                    <w:p w:rsidR="00CD5337" w:rsidRDefault="001B4D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государственной власти Ханты-Мансийского автономного округа - Югры за № 7247 от 18.12.2023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37" w:rsidRDefault="00CD53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" stroked="f">
                <v:textbox>
                  <w:txbxContent>
                    <w:p w:rsidR="00CD5337" w:rsidRDefault="00CD5337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white"/>
        </w:rPr>
        <w:drawing>
          <wp:inline distT="0" distB="0" distL="0" distR="0">
            <wp:extent cx="670563" cy="61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48066" name="Picture 1" descr="gerb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D5337" w:rsidRDefault="00CD5337">
      <w:pPr>
        <w:widowControl w:val="0"/>
        <w:jc w:val="right"/>
        <w:rPr>
          <w:szCs w:val="28"/>
        </w:rPr>
      </w:pPr>
    </w:p>
    <w:p w:rsidR="00CD5337" w:rsidRDefault="001B4D13">
      <w:pPr>
        <w:pStyle w:val="2"/>
        <w:keepNext w:val="0"/>
        <w:widowControl w:val="0"/>
        <w:rPr>
          <w:szCs w:val="28"/>
          <w:lang w:val="ru-RU"/>
        </w:rPr>
      </w:pPr>
      <w:r>
        <w:rPr>
          <w:szCs w:val="28"/>
          <w:lang w:val="ru-RU"/>
        </w:rPr>
        <w:t>РЕГИОНАЛЬНАЯ СЛУЖБА ПО ТАРИФАМ</w:t>
      </w:r>
      <w:r>
        <w:rPr>
          <w:szCs w:val="28"/>
          <w:lang w:val="ru-RU"/>
        </w:rPr>
        <w:br/>
      </w:r>
      <w:r>
        <w:rPr>
          <w:szCs w:val="28"/>
          <w:lang w:val="ru-RU"/>
        </w:rPr>
        <w:t>ХАНТЫ-МАНСИЙСКОГО АВТОНОМНОГО ОКРУГА – ЮГРЫ</w:t>
      </w:r>
    </w:p>
    <w:p w:rsidR="00CD5337" w:rsidRDefault="001B4D13">
      <w:pPr>
        <w:jc w:val="center"/>
        <w:rPr>
          <w:b/>
          <w:szCs w:val="26"/>
        </w:rPr>
      </w:pPr>
      <w:r>
        <w:rPr>
          <w:b/>
          <w:szCs w:val="26"/>
        </w:rPr>
        <w:t>(РСТ ЮГРЫ)</w:t>
      </w:r>
    </w:p>
    <w:p w:rsidR="00CD5337" w:rsidRDefault="00CD5337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</w:p>
    <w:p w:rsidR="00CD5337" w:rsidRDefault="001B4D13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ПРИКАЗ</w:t>
      </w:r>
    </w:p>
    <w:p w:rsidR="00CD5337" w:rsidRDefault="00CD533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D5337" w:rsidRDefault="001B4D1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установлении предельных тарифов</w:t>
      </w:r>
    </w:p>
    <w:p w:rsidR="00CD5337" w:rsidRDefault="001B4D1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захоронение твердых коммунальных отходов</w:t>
      </w:r>
    </w:p>
    <w:p w:rsidR="00CD5337" w:rsidRDefault="001B4D1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>
        <w:rPr>
          <w:rFonts w:ascii="Times New Roman" w:eastAsia="Calibri" w:hAnsi="Times New Roman"/>
          <w:sz w:val="28"/>
          <w:szCs w:val="28"/>
          <w:highlight w:val="white"/>
        </w:rPr>
        <w:t xml:space="preserve"> Акционерного общества «Югра-Экология»</w:t>
      </w:r>
    </w:p>
    <w:p w:rsidR="00CD5337" w:rsidRDefault="00CD5337">
      <w:pPr>
        <w:rPr>
          <w:sz w:val="24"/>
          <w:szCs w:val="18"/>
        </w:rPr>
      </w:pPr>
    </w:p>
    <w:p w:rsidR="00CD5337" w:rsidRDefault="001B4D13">
      <w:pPr>
        <w:widowControl w:val="0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г. Ханты-Мансийск</w:t>
      </w:r>
    </w:p>
    <w:p w:rsidR="00CD5337" w:rsidRDefault="001B4D13">
      <w:pPr>
        <w:widowControl w:val="0"/>
        <w:rPr>
          <w:color w:val="000000"/>
          <w:szCs w:val="28"/>
          <w:highlight w:val="white"/>
        </w:rPr>
      </w:pPr>
      <w:r>
        <w:rPr>
          <w:color w:val="000000"/>
          <w:szCs w:val="28"/>
        </w:rPr>
        <w:t>«14» декабря 2023 г.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highlight w:val="white"/>
        </w:rPr>
        <w:t xml:space="preserve"> № 131-</w:t>
      </w:r>
      <w:r>
        <w:rPr>
          <w:color w:val="000000"/>
          <w:szCs w:val="28"/>
          <w:highlight w:val="white"/>
        </w:rPr>
        <w:t>нп</w:t>
      </w:r>
    </w:p>
    <w:p w:rsidR="00CD5337" w:rsidRDefault="00CD5337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337" w:rsidRDefault="001B4D13">
      <w:pPr>
        <w:widowControl w:val="0"/>
        <w:spacing w:line="233" w:lineRule="auto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В соответствии с Федеральным законом от 24 июня 1998 года</w:t>
      </w:r>
      <w:r>
        <w:rPr>
          <w:bCs/>
          <w:szCs w:val="28"/>
        </w:rPr>
        <w:br/>
        <w:t>№ 89-ФЗ «Об отходах производства и потребления», постановлением Правительства Российской Федерации от 30 мая 2016 года № 484</w:t>
      </w:r>
      <w:r>
        <w:rPr>
          <w:bCs/>
          <w:szCs w:val="28"/>
        </w:rPr>
        <w:br/>
        <w:t>«О ценообразовании в области обращения с твердыми коммунальными отходами»</w:t>
      </w:r>
      <w:r>
        <w:rPr>
          <w:bCs/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приказом Федеральной антимонопольной службы </w:t>
      </w:r>
      <w:r>
        <w:rPr>
          <w:bCs/>
          <w:szCs w:val="28"/>
        </w:rPr>
        <w:br/>
        <w:t>от 21 ноября 2016 года № 1638/16 «Об утверждении Методических указаний по расчету регулируемых тарифов в области обращения с твердыми коммунальными отходами», на основании постановления Правительства Ханты-Ман</w:t>
      </w:r>
      <w:r>
        <w:rPr>
          <w:bCs/>
          <w:szCs w:val="28"/>
        </w:rPr>
        <w:t xml:space="preserve">сийского автономного округа – Югры </w:t>
      </w:r>
      <w:r>
        <w:rPr>
          <w:bCs/>
          <w:szCs w:val="28"/>
        </w:rPr>
        <w:br/>
        <w:t xml:space="preserve">от 14 апреля 2012 года № 137-п «О Региональной службе по </w:t>
      </w:r>
      <w:r>
        <w:rPr>
          <w:bCs/>
          <w:szCs w:val="28"/>
        </w:rPr>
        <w:br/>
        <w:t xml:space="preserve">тарифам Ханты-Мансийского автономного округа – Югры», </w:t>
      </w:r>
      <w:r>
        <w:rPr>
          <w:szCs w:val="28"/>
        </w:rPr>
        <w:t xml:space="preserve">протокола правления Региональной службы по тарифам Ханты-Мансийского автономного округа – Югры от 14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2023 го</w:t>
      </w:r>
      <w:r>
        <w:rPr>
          <w:bCs/>
          <w:szCs w:val="28"/>
          <w:highlight w:val="white"/>
        </w:rPr>
        <w:t>да № 65</w:t>
      </w:r>
      <w:r>
        <w:rPr>
          <w:bCs/>
          <w:szCs w:val="28"/>
        </w:rPr>
        <w:br/>
        <w:t xml:space="preserve"> </w:t>
      </w:r>
      <w:r>
        <w:rPr>
          <w:b/>
          <w:bCs/>
          <w:szCs w:val="28"/>
        </w:rPr>
        <w:t>п р и к а з ы в а ю</w:t>
      </w:r>
      <w:r>
        <w:rPr>
          <w:bCs/>
          <w:szCs w:val="28"/>
        </w:rPr>
        <w:t>:</w:t>
      </w:r>
    </w:p>
    <w:p w:rsidR="00CD5337" w:rsidRDefault="001B4D13">
      <w:pPr>
        <w:pStyle w:val="1"/>
        <w:keepNext w:val="0"/>
        <w:widowControl w:val="0"/>
        <w:spacing w:before="0" w:after="0" w:line="233" w:lineRule="auto"/>
        <w:jc w:val="both"/>
        <w:rPr>
          <w:rFonts w:ascii="Times New Roman" w:hAnsi="Times New Roman"/>
          <w:b w:val="0"/>
          <w:bCs w:val="0"/>
          <w:sz w:val="28"/>
          <w:szCs w:val="28"/>
          <w:highlight w:val="white"/>
        </w:rPr>
      </w:pPr>
      <w:r>
        <w:tab/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1.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Установить на период с 1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января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 202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 года по 31 декабря 202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 года предельные тарифы на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highlight w:val="white"/>
        </w:rPr>
        <w:t>захоронение твердых коммунальных отходов</w:t>
      </w:r>
      <w:r>
        <w:rPr>
          <w:b w:val="0"/>
          <w:bCs w:val="0"/>
          <w:highlight w:val="white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highlight w:val="white"/>
        </w:rPr>
        <w:t>дл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highlight w:val="white"/>
        </w:rPr>
        <w:t>я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 xml:space="preserve"> Акционерного общества «Югра-Экология»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согласно приложению 1 к настоящему приказу.</w:t>
      </w:r>
    </w:p>
    <w:p w:rsidR="00CD5337" w:rsidRDefault="001B4D13">
      <w:pPr>
        <w:pStyle w:val="1"/>
        <w:keepNext w:val="0"/>
        <w:widowControl w:val="0"/>
        <w:spacing w:before="0" w:after="0" w:line="233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>2. Установить долгосрочные параметры регулирования тарифов, определяем</w:t>
      </w:r>
      <w:r>
        <w:rPr>
          <w:rFonts w:ascii="Times New Roman" w:hAnsi="Times New Roman"/>
          <w:b w:val="0"/>
          <w:sz w:val="28"/>
          <w:szCs w:val="28"/>
        </w:rPr>
        <w:t xml:space="preserve">ые на долгосрочный период регулирования при установлении предельных тарифов на захоронение твердых коммунальных отходов с использованием метода индексации, для 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>Акционерного общества «Югр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>а-Экология»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2024-2028 годы согласно приложению 2 к настоящему приказу.</w:t>
      </w:r>
    </w:p>
    <w:p w:rsidR="00CD5337" w:rsidRDefault="001B4D13">
      <w:pPr>
        <w:pStyle w:val="1"/>
        <w:keepNext w:val="0"/>
        <w:widowControl w:val="0"/>
        <w:spacing w:before="0" w:after="0" w:line="233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</w:rPr>
        <w:t>3. Настоящий приказ вступает в силу с 1 января 2024 года.</w:t>
      </w:r>
    </w:p>
    <w:p w:rsidR="00CD5337" w:rsidRDefault="00CD5337">
      <w:pPr>
        <w:pStyle w:val="af5"/>
        <w:widowControl w:val="0"/>
        <w:rPr>
          <w:sz w:val="26"/>
          <w:szCs w:val="26"/>
          <w:lang w:val="ru-RU"/>
        </w:rPr>
      </w:pPr>
    </w:p>
    <w:p w:rsidR="00CD5337" w:rsidRDefault="00CD5337">
      <w:pPr>
        <w:pStyle w:val="af5"/>
        <w:widowControl w:val="0"/>
        <w:rPr>
          <w:sz w:val="26"/>
          <w:szCs w:val="26"/>
          <w:lang w:val="ru-RU"/>
        </w:rPr>
      </w:pPr>
    </w:p>
    <w:p w:rsidR="00CD5337" w:rsidRDefault="001B4D13">
      <w:pPr>
        <w:pStyle w:val="af5"/>
        <w:widowControl w:val="0"/>
        <w:rPr>
          <w:szCs w:val="28"/>
          <w:lang w:val="ru-RU"/>
        </w:rPr>
      </w:pPr>
      <w:r>
        <w:rPr>
          <w:szCs w:val="28"/>
          <w:lang w:val="ru-RU"/>
        </w:rPr>
        <w:t>Руководитель службы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А.А. Березовский</w:t>
      </w:r>
      <w:r w:rsidRPr="001B4D13">
        <w:rPr>
          <w:szCs w:val="28"/>
          <w:lang w:val="ru-RU"/>
        </w:rPr>
        <w:br w:type="page" w:clear="all"/>
      </w:r>
    </w:p>
    <w:p w:rsidR="00CD5337" w:rsidRDefault="00CD5337">
      <w:pPr>
        <w:pStyle w:val="af5"/>
        <w:widowControl w:val="0"/>
        <w:rPr>
          <w:szCs w:val="28"/>
          <w:lang w:val="ru-RU"/>
        </w:rPr>
        <w:sectPr w:rsidR="00CD5337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D5337" w:rsidRDefault="001B4D13">
      <w:pPr>
        <w:ind w:left="7938" w:right="-2" w:hanging="716"/>
        <w:jc w:val="right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Приложение 1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14 декабря 2023 года № 131-нп</w:t>
      </w:r>
    </w:p>
    <w:p w:rsidR="00CD5337" w:rsidRDefault="00CD5337">
      <w:pPr>
        <w:jc w:val="center"/>
        <w:rPr>
          <w:bCs/>
          <w:sz w:val="24"/>
          <w:szCs w:val="24"/>
          <w:highlight w:val="yellow"/>
        </w:rPr>
      </w:pPr>
    </w:p>
    <w:p w:rsidR="00CD5337" w:rsidRDefault="001B4D13">
      <w:pPr>
        <w:jc w:val="center"/>
        <w:rPr>
          <w:color w:val="000000"/>
          <w:szCs w:val="28"/>
          <w:highlight w:val="white"/>
        </w:rPr>
      </w:pPr>
      <w:r>
        <w:rPr>
          <w:bCs/>
          <w:szCs w:val="28"/>
          <w:highlight w:val="white"/>
        </w:rPr>
        <w:t xml:space="preserve">Предельные тарифы </w:t>
      </w:r>
      <w:r>
        <w:rPr>
          <w:szCs w:val="28"/>
          <w:highlight w:val="white"/>
        </w:rPr>
        <w:t xml:space="preserve">на </w:t>
      </w:r>
      <w:r>
        <w:rPr>
          <w:color w:val="000000"/>
          <w:szCs w:val="28"/>
          <w:highlight w:val="white"/>
        </w:rPr>
        <w:t>захоронение твердых коммунальных отходов</w:t>
      </w:r>
    </w:p>
    <w:p w:rsidR="00CD5337" w:rsidRDefault="001B4D13">
      <w:pPr>
        <w:jc w:val="center"/>
      </w:pPr>
      <w:r>
        <w:rPr>
          <w:color w:val="000000"/>
          <w:szCs w:val="28"/>
          <w:highlight w:val="white"/>
        </w:rPr>
        <w:t>дл</w:t>
      </w:r>
      <w:r>
        <w:rPr>
          <w:color w:val="000000"/>
          <w:szCs w:val="28"/>
          <w:highlight w:val="white"/>
        </w:rPr>
        <w:t>я</w:t>
      </w:r>
      <w:r>
        <w:rPr>
          <w:rFonts w:eastAsia="Calibri"/>
          <w:szCs w:val="28"/>
          <w:highlight w:val="white"/>
        </w:rPr>
        <w:t xml:space="preserve"> Акционерного общества «Югра-Экология»</w:t>
      </w:r>
    </w:p>
    <w:p w:rsidR="00CD5337" w:rsidRDefault="00CD5337">
      <w:pPr>
        <w:jc w:val="center"/>
        <w:rPr>
          <w:sz w:val="24"/>
          <w:szCs w:val="18"/>
          <w:highlight w:val="yellow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2"/>
        <w:gridCol w:w="1276"/>
        <w:gridCol w:w="1843"/>
        <w:gridCol w:w="1285"/>
        <w:gridCol w:w="985"/>
        <w:gridCol w:w="1129"/>
        <w:gridCol w:w="776"/>
        <w:gridCol w:w="779"/>
        <w:gridCol w:w="776"/>
        <w:gridCol w:w="776"/>
        <w:gridCol w:w="6"/>
        <w:gridCol w:w="779"/>
        <w:gridCol w:w="776"/>
        <w:gridCol w:w="779"/>
        <w:gridCol w:w="776"/>
        <w:gridCol w:w="776"/>
        <w:gridCol w:w="776"/>
      </w:tblGrid>
      <w:tr w:rsidR="00CD5337">
        <w:trPr>
          <w:trHeight w:val="20"/>
        </w:trPr>
        <w:tc>
          <w:tcPr>
            <w:tcW w:w="14695" w:type="dxa"/>
            <w:gridSpan w:val="17"/>
          </w:tcPr>
          <w:p w:rsidR="00CD5337" w:rsidRDefault="001B4D13">
            <w:pPr>
              <w:pStyle w:val="aff0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На период с 1 января 2024 года по 31 декабря 2028 года</w:t>
            </w:r>
          </w:p>
        </w:tc>
      </w:tr>
      <w:tr w:rsidR="00CD5337">
        <w:trPr>
          <w:trHeight w:val="20"/>
        </w:trPr>
        <w:tc>
          <w:tcPr>
            <w:tcW w:w="403" w:type="dxa"/>
            <w:vMerge w:val="restart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1843" w:type="dxa"/>
            <w:vMerge w:val="restart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Наименование муниципального образования </w:t>
            </w:r>
          </w:p>
        </w:tc>
        <w:tc>
          <w:tcPr>
            <w:tcW w:w="1285" w:type="dxa"/>
            <w:vMerge w:val="restart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985" w:type="dxa"/>
            <w:vMerge w:val="restart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Ед. изм.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Категории </w:t>
            </w:r>
          </w:p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потребителей </w:t>
            </w:r>
            <w:r>
              <w:rPr>
                <w:sz w:val="16"/>
                <w:szCs w:val="16"/>
                <w:highlight w:val="white"/>
              </w:rPr>
              <w:br/>
            </w:r>
          </w:p>
        </w:tc>
        <w:tc>
          <w:tcPr>
            <w:tcW w:w="7775" w:type="dxa"/>
            <w:gridSpan w:val="11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Предельные тарифы на регулируемые виды деятельности </w:t>
            </w:r>
          </w:p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в области обращения с твердыми коммунальными отходами</w:t>
            </w:r>
          </w:p>
        </w:tc>
      </w:tr>
      <w:tr w:rsidR="00CD5337">
        <w:trPr>
          <w:trHeight w:val="283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noWrap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 год</w:t>
            </w:r>
          </w:p>
        </w:tc>
        <w:tc>
          <w:tcPr>
            <w:tcW w:w="1555" w:type="dxa"/>
            <w:gridSpan w:val="2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 год</w:t>
            </w:r>
          </w:p>
        </w:tc>
        <w:tc>
          <w:tcPr>
            <w:tcW w:w="1555" w:type="dxa"/>
            <w:gridSpan w:val="2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2027 год</w:t>
            </w:r>
          </w:p>
        </w:tc>
        <w:tc>
          <w:tcPr>
            <w:tcW w:w="1552" w:type="dxa"/>
            <w:gridSpan w:val="2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2028 год</w:t>
            </w:r>
          </w:p>
        </w:tc>
      </w:tr>
      <w:tr w:rsidR="00CD5337">
        <w:trPr>
          <w:trHeight w:val="20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CD5337" w:rsidRDefault="00CD5337">
            <w:pPr>
              <w:pStyle w:val="aff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785" w:type="dxa"/>
            <w:gridSpan w:val="2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776" w:type="dxa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779" w:type="dxa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776" w:type="dxa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5337" w:rsidRDefault="001B4D13">
            <w:pPr>
              <w:pStyle w:val="aff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</w:tr>
      <w:tr w:rsidR="00CD5337">
        <w:trPr>
          <w:trHeight w:val="762"/>
        </w:trPr>
        <w:tc>
          <w:tcPr>
            <w:tcW w:w="403" w:type="dxa"/>
            <w:vMerge w:val="restart"/>
            <w:vAlign w:val="center"/>
          </w:tcPr>
          <w:p w:rsidR="00CD5337" w:rsidRDefault="001B4D13">
            <w:pPr>
              <w:pStyle w:val="aff0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D5337" w:rsidRDefault="001B4D13">
            <w:pPr>
              <w:pStyle w:val="aff0"/>
              <w:rPr>
                <w:rFonts w:eastAsia="Calibri"/>
                <w:sz w:val="16"/>
                <w:szCs w:val="14"/>
                <w:highlight w:val="white"/>
              </w:rPr>
            </w:pPr>
            <w:r>
              <w:rPr>
                <w:rFonts w:eastAsia="Calibri"/>
                <w:sz w:val="16"/>
                <w:szCs w:val="14"/>
                <w:highlight w:val="white"/>
              </w:rPr>
              <w:t>Ак</w:t>
            </w:r>
            <w:r>
              <w:rPr>
                <w:rFonts w:eastAsia="Calibri"/>
                <w:sz w:val="16"/>
                <w:szCs w:val="14"/>
                <w:highlight w:val="white"/>
              </w:rPr>
              <w:t>ционерное общество «Югра-Экология»</w:t>
            </w:r>
          </w:p>
        </w:tc>
        <w:tc>
          <w:tcPr>
            <w:tcW w:w="1843" w:type="dxa"/>
            <w:vMerge w:val="restart"/>
            <w:vAlign w:val="center"/>
          </w:tcPr>
          <w:p w:rsidR="00CD5337" w:rsidRDefault="001B4D13">
            <w:pPr>
              <w:pStyle w:val="aff0"/>
              <w:rPr>
                <w:rFonts w:eastAsia="Calibri"/>
                <w:sz w:val="16"/>
                <w:szCs w:val="14"/>
                <w:highlight w:val="white"/>
              </w:rPr>
            </w:pPr>
            <w:r>
              <w:rPr>
                <w:rFonts w:eastAsia="Calibri"/>
                <w:sz w:val="16"/>
                <w:szCs w:val="14"/>
                <w:highlight w:val="white"/>
              </w:rPr>
              <w:t xml:space="preserve">городское поселение </w:t>
            </w:r>
            <w:proofErr w:type="gramStart"/>
            <w:r>
              <w:rPr>
                <w:rFonts w:eastAsia="Calibri"/>
                <w:sz w:val="16"/>
                <w:szCs w:val="14"/>
                <w:highlight w:val="white"/>
              </w:rPr>
              <w:t>Березово</w:t>
            </w:r>
            <w:proofErr w:type="gramEnd"/>
            <w:r>
              <w:rPr>
                <w:rFonts w:eastAsia="Calibri"/>
                <w:sz w:val="16"/>
                <w:szCs w:val="14"/>
                <w:highlight w:val="white"/>
              </w:rPr>
              <w:t xml:space="preserve">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1285" w:type="dxa"/>
            <w:vMerge w:val="restart"/>
            <w:vAlign w:val="center"/>
          </w:tcPr>
          <w:p w:rsidR="00CD5337" w:rsidRDefault="001B4D13">
            <w:pPr>
              <w:pStyle w:val="aff0"/>
              <w:rPr>
                <w:sz w:val="16"/>
                <w:szCs w:val="14"/>
                <w:highlight w:val="white"/>
              </w:rPr>
            </w:pPr>
            <w:r>
              <w:rPr>
                <w:sz w:val="16"/>
                <w:szCs w:val="14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985" w:type="dxa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руб./м3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прочих потребителей (без </w:t>
            </w:r>
            <w:r>
              <w:rPr>
                <w:sz w:val="16"/>
                <w:szCs w:val="16"/>
                <w:highlight w:val="white"/>
              </w:rPr>
              <w:t>учета НДС)</w:t>
            </w:r>
          </w:p>
        </w:tc>
        <w:tc>
          <w:tcPr>
            <w:tcW w:w="7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263,98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251,67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251,67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273,45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261,95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261,95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261,95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289,91</w:t>
            </w:r>
          </w:p>
        </w:tc>
      </w:tr>
      <w:tr w:rsidR="00CD5337">
        <w:trPr>
          <w:trHeight w:val="536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CD5337" w:rsidRDefault="00CD533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руб./тонна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7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2022,41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2378,80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2267,83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2267,84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2267,84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2464,15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2360,50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2360,50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2360,50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</w:pPr>
            <w:r>
              <w:rPr>
                <w:color w:val="000000"/>
                <w:sz w:val="16"/>
                <w:szCs w:val="16"/>
              </w:rPr>
              <w:t>2612,47</w:t>
            </w:r>
          </w:p>
        </w:tc>
      </w:tr>
      <w:tr w:rsidR="00CD5337">
        <w:trPr>
          <w:trHeight w:val="793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5337" w:rsidRDefault="001B4D13">
            <w:pPr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</w:t>
            </w:r>
          </w:p>
        </w:tc>
        <w:tc>
          <w:tcPr>
            <w:tcW w:w="1285" w:type="dxa"/>
            <w:vMerge w:val="restart"/>
            <w:vAlign w:val="center"/>
          </w:tcPr>
          <w:p w:rsidR="00CD5337" w:rsidRDefault="001B4D13">
            <w:pPr>
              <w:pStyle w:val="aff0"/>
              <w:rPr>
                <w:sz w:val="16"/>
                <w:szCs w:val="14"/>
                <w:highlight w:val="white"/>
              </w:rPr>
            </w:pPr>
            <w:r>
              <w:rPr>
                <w:sz w:val="16"/>
                <w:szCs w:val="14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985" w:type="dxa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руб./м3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7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80,84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308,84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280,56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280,56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280,56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294,91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294,91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295,34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295,34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310,13</w:t>
            </w:r>
          </w:p>
        </w:tc>
      </w:tr>
      <w:tr w:rsidR="00CD5337">
        <w:trPr>
          <w:trHeight w:val="536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CD5337" w:rsidRDefault="00CD533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руб./тонна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7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3274,46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3600,93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3271,30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3271,30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3271,30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3438,69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3438,69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3616,17</w:t>
            </w:r>
          </w:p>
        </w:tc>
      </w:tr>
      <w:tr w:rsidR="00CD5337">
        <w:trPr>
          <w:trHeight w:val="536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5337" w:rsidRDefault="001B4D13">
            <w:pPr>
              <w:pStyle w:val="aff0"/>
              <w:rPr>
                <w:rFonts w:eastAsia="Calibri"/>
                <w:sz w:val="16"/>
                <w:szCs w:val="14"/>
                <w:highlight w:val="white"/>
              </w:rPr>
            </w:pPr>
            <w:r>
              <w:rPr>
                <w:rFonts w:eastAsia="Calibri"/>
                <w:sz w:val="16"/>
                <w:szCs w:val="14"/>
                <w:highlight w:val="white"/>
              </w:rPr>
              <w:t xml:space="preserve">городское поселение Андра Октябрьского муниципального района Ханты-Мансийского автономного округа – Югры  </w:t>
            </w:r>
          </w:p>
        </w:tc>
        <w:tc>
          <w:tcPr>
            <w:tcW w:w="1285" w:type="dxa"/>
            <w:vMerge w:val="restart"/>
            <w:vAlign w:val="center"/>
          </w:tcPr>
          <w:p w:rsidR="00CD5337" w:rsidRDefault="001B4D13">
            <w:pPr>
              <w:pStyle w:val="aff0"/>
              <w:rPr>
                <w:sz w:val="16"/>
                <w:szCs w:val="14"/>
                <w:highlight w:val="white"/>
              </w:rPr>
            </w:pPr>
            <w:r>
              <w:rPr>
                <w:sz w:val="16"/>
                <w:szCs w:val="14"/>
                <w:highlight w:val="white"/>
              </w:rPr>
              <w:t>захоронение твердых коммунальных отходов</w:t>
            </w:r>
          </w:p>
        </w:tc>
        <w:tc>
          <w:tcPr>
            <w:tcW w:w="985" w:type="dxa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руб./м3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7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1175,21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1589,94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1518,57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1518,57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1518,57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1605,46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1605,46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1606,81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1606,81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1697,79</w:t>
            </w:r>
          </w:p>
        </w:tc>
      </w:tr>
      <w:tr w:rsidR="00CD5337">
        <w:trPr>
          <w:trHeight w:val="536"/>
        </w:trPr>
        <w:tc>
          <w:tcPr>
            <w:tcW w:w="403" w:type="dxa"/>
            <w:vMerge/>
            <w:vAlign w:val="center"/>
          </w:tcPr>
          <w:p w:rsidR="00CD5337" w:rsidRDefault="00CD5337">
            <w:pPr>
              <w:pStyle w:val="af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5337" w:rsidRDefault="00CD53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D5337" w:rsidRDefault="00CD5337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285" w:type="dxa"/>
            <w:vMerge/>
            <w:vAlign w:val="center"/>
          </w:tcPr>
          <w:p w:rsidR="00CD5337" w:rsidRDefault="00CD5337">
            <w:pPr>
              <w:pStyle w:val="aff0"/>
              <w:rPr>
                <w:sz w:val="14"/>
                <w:szCs w:val="14"/>
              </w:rPr>
            </w:pPr>
          </w:p>
        </w:tc>
        <w:tc>
          <w:tcPr>
            <w:tcW w:w="985" w:type="dxa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руб./тонна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5337" w:rsidRDefault="001B4D13">
            <w:pPr>
              <w:pStyle w:val="aff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7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12971,29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17531,22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16744,58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16744,58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16744,58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17703,93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17703,93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17718,74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17718,74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line="57" w:lineRule="atLeast"/>
              <w:jc w:val="center"/>
            </w:pPr>
            <w:r>
              <w:rPr>
                <w:color w:val="000000"/>
                <w:sz w:val="16"/>
              </w:rPr>
              <w:t>18722,03</w:t>
            </w:r>
          </w:p>
        </w:tc>
      </w:tr>
    </w:tbl>
    <w:p w:rsidR="00CD5337" w:rsidRDefault="001B4D13">
      <w:pPr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br w:type="page" w:clear="all"/>
      </w:r>
    </w:p>
    <w:p w:rsidR="00CD5337" w:rsidRDefault="001B4D13">
      <w:pPr>
        <w:pStyle w:val="af5"/>
        <w:ind w:left="7938" w:right="-2" w:hanging="716"/>
        <w:jc w:val="right"/>
        <w:rPr>
          <w:szCs w:val="28"/>
          <w:highlight w:val="white"/>
        </w:rPr>
      </w:pPr>
      <w:r>
        <w:rPr>
          <w:szCs w:val="28"/>
          <w:highlight w:val="white"/>
          <w:lang w:val="ru-RU"/>
        </w:rPr>
        <w:lastRenderedPageBreak/>
        <w:t>Приложение 2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CD5337" w:rsidRDefault="001B4D13">
      <w:pPr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14 декабря 2023 года № 131-нп</w:t>
      </w:r>
    </w:p>
    <w:p w:rsidR="00CD5337" w:rsidRDefault="00CD5337">
      <w:pPr>
        <w:ind w:right="-2"/>
        <w:jc w:val="center"/>
        <w:rPr>
          <w:szCs w:val="28"/>
          <w:highlight w:val="yellow"/>
        </w:rPr>
      </w:pPr>
    </w:p>
    <w:p w:rsidR="00CD5337" w:rsidRDefault="001B4D13">
      <w:pPr>
        <w:ind w:right="-2"/>
        <w:jc w:val="center"/>
        <w:rPr>
          <w:highlight w:val="yellow"/>
        </w:rPr>
      </w:pPr>
      <w:r>
        <w:rPr>
          <w:szCs w:val="28"/>
          <w:highlight w:val="white"/>
        </w:rPr>
        <w:t>Долгосрочные параметры регулирования тарифов, определяем</w:t>
      </w:r>
      <w:r>
        <w:rPr>
          <w:szCs w:val="28"/>
        </w:rPr>
        <w:t>ые на долгосрочный период регулирования при устан</w:t>
      </w:r>
      <w:r>
        <w:rPr>
          <w:szCs w:val="28"/>
        </w:rPr>
        <w:t xml:space="preserve">овлении предельных тарифов на захоронение твердых коммунальных отходов с использованием метода индексации, для </w:t>
      </w:r>
      <w:r>
        <w:rPr>
          <w:rFonts w:eastAsia="Calibri"/>
          <w:szCs w:val="28"/>
          <w:highlight w:val="white"/>
        </w:rPr>
        <w:t>Акционерного общества «Югра-Экология»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на 2024-2028 годы</w:t>
      </w:r>
    </w:p>
    <w:p w:rsidR="00CD5337" w:rsidRDefault="00CD5337">
      <w:pPr>
        <w:rPr>
          <w:szCs w:val="28"/>
          <w:highlight w:val="yellow"/>
        </w:rPr>
      </w:pPr>
    </w:p>
    <w:tbl>
      <w:tblPr>
        <w:tblW w:w="13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8073"/>
        <w:gridCol w:w="708"/>
        <w:gridCol w:w="1352"/>
        <w:gridCol w:w="1479"/>
        <w:gridCol w:w="1824"/>
      </w:tblGrid>
      <w:tr w:rsidR="00CD5337">
        <w:trPr>
          <w:trHeight w:val="20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8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spacing w:before="4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Наименования оператора по обращению с твердыми коммунальными отходами,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Годы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Базовый уровень операционных расходов, </w:t>
            </w:r>
          </w:p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тыс. руб.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Индекс эффективности операционных расходов, 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Показатели энергосбережения и энергетической эффективности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37" w:rsidRDefault="001B4D13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удельный расход энергетических ресурсов, </w:t>
            </w:r>
            <w:proofErr w:type="spellStart"/>
            <w:r>
              <w:rPr>
                <w:sz w:val="16"/>
                <w:szCs w:val="16"/>
                <w:highlight w:val="white"/>
              </w:rPr>
              <w:t>кВт.ч</w:t>
            </w:r>
            <w:proofErr w:type="spellEnd"/>
            <w:r>
              <w:rPr>
                <w:sz w:val="16"/>
                <w:szCs w:val="16"/>
                <w:highlight w:val="white"/>
              </w:rPr>
              <w:t>/</w:t>
            </w:r>
            <w:proofErr w:type="spellStart"/>
            <w:r>
              <w:rPr>
                <w:sz w:val="16"/>
                <w:szCs w:val="16"/>
                <w:highlight w:val="white"/>
              </w:rPr>
              <w:t>куб.м</w:t>
            </w:r>
            <w:proofErr w:type="spellEnd"/>
            <w:r>
              <w:rPr>
                <w:sz w:val="16"/>
                <w:szCs w:val="16"/>
                <w:highlight w:val="white"/>
              </w:rPr>
              <w:t>.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3" w:type="dxa"/>
            <w:vMerge w:val="restart"/>
            <w:shd w:val="clear" w:color="auto" w:fill="auto"/>
            <w:vAlign w:val="center"/>
          </w:tcPr>
          <w:p w:rsidR="00CD5337" w:rsidRDefault="001B4D13">
            <w:pPr>
              <w:pStyle w:val="aff0"/>
              <w:jc w:val="both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Акционерное общество «Югра-Экология» на территории муниципального образования</w:t>
            </w:r>
            <w:r>
              <w:rPr>
                <w:sz w:val="16"/>
                <w:szCs w:val="16"/>
                <w:highlight w:val="white"/>
              </w:rPr>
              <w:t xml:space="preserve"> городское поселение </w:t>
            </w:r>
            <w:proofErr w:type="gramStart"/>
            <w:r>
              <w:rPr>
                <w:sz w:val="16"/>
                <w:szCs w:val="16"/>
                <w:highlight w:val="white"/>
              </w:rPr>
              <w:t>Березово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11 171,42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8073" w:type="dxa"/>
            <w:vMerge w:val="restart"/>
            <w:shd w:val="clear" w:color="auto" w:fill="auto"/>
            <w:vAlign w:val="center"/>
          </w:tcPr>
          <w:p w:rsidR="00CD5337" w:rsidRDefault="001B4D13">
            <w:pPr>
              <w:pStyle w:val="aff0"/>
              <w:jc w:val="both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Акционерное общество «Югра-Экология» </w:t>
            </w:r>
            <w:r>
              <w:rPr>
                <w:rFonts w:eastAsia="Calibri"/>
                <w:sz w:val="16"/>
                <w:szCs w:val="16"/>
                <w:highlight w:val="white"/>
              </w:rPr>
              <w:t>на территории муниципального образования</w:t>
            </w:r>
            <w:r>
              <w:rPr>
                <w:sz w:val="16"/>
                <w:szCs w:val="16"/>
                <w:highlight w:val="white"/>
              </w:rPr>
              <w:t xml:space="preserve"> 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9 572,60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0,41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0,41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0,41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0,41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0,41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</w:t>
            </w:r>
          </w:p>
        </w:tc>
        <w:tc>
          <w:tcPr>
            <w:tcW w:w="8073" w:type="dxa"/>
            <w:vMerge w:val="restart"/>
            <w:shd w:val="clear" w:color="auto" w:fill="auto"/>
            <w:vAlign w:val="center"/>
          </w:tcPr>
          <w:p w:rsidR="00CD5337" w:rsidRDefault="001B4D13">
            <w:pPr>
              <w:pStyle w:val="aff0"/>
              <w:jc w:val="both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Акционерное общество «Югра-Экология» на территории муниципального образования</w:t>
            </w:r>
            <w:r>
              <w:rPr>
                <w:sz w:val="16"/>
                <w:szCs w:val="16"/>
                <w:highlight w:val="white"/>
              </w:rPr>
              <w:t xml:space="preserve"> городское поселение Андра Октябрьского муниципального района Ханты-Мансийского автономного округа – Югры 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5 307,10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3,05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3,05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3,05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3,05</w:t>
            </w:r>
          </w:p>
        </w:tc>
      </w:tr>
      <w:tr w:rsidR="00CD5337">
        <w:trPr>
          <w:trHeight w:val="2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D5337" w:rsidRDefault="00CD5337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vMerge/>
            <w:shd w:val="clear" w:color="auto" w:fill="auto"/>
            <w:vAlign w:val="center"/>
          </w:tcPr>
          <w:p w:rsidR="00CD5337" w:rsidRDefault="00CD5337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337" w:rsidRDefault="001B4D13">
            <w:pPr>
              <w:spacing w:before="40" w:after="4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3,05</w:t>
            </w:r>
          </w:p>
        </w:tc>
      </w:tr>
    </w:tbl>
    <w:p w:rsidR="00CD5337" w:rsidRDefault="00CD5337">
      <w:pPr>
        <w:rPr>
          <w:sz w:val="16"/>
          <w:szCs w:val="16"/>
          <w:highlight w:val="yellow"/>
        </w:rPr>
      </w:pPr>
    </w:p>
    <w:sectPr w:rsidR="00CD5337">
      <w:pgSz w:w="16838" w:h="11906" w:orient="landscape"/>
      <w:pgMar w:top="1418" w:right="1276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37" w:rsidRDefault="001B4D13">
      <w:r>
        <w:separator/>
      </w:r>
    </w:p>
  </w:endnote>
  <w:endnote w:type="continuationSeparator" w:id="0">
    <w:p w:rsidR="00CD5337" w:rsidRDefault="001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37" w:rsidRDefault="001B4D13">
      <w:r>
        <w:separator/>
      </w:r>
    </w:p>
  </w:footnote>
  <w:footnote w:type="continuationSeparator" w:id="0">
    <w:p w:rsidR="00CD5337" w:rsidRDefault="001B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37" w:rsidRDefault="001B4D13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D5337" w:rsidRDefault="00CD533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580054"/>
      <w:docPartObj>
        <w:docPartGallery w:val="Page Numbers (Top of Page)"/>
        <w:docPartUnique/>
      </w:docPartObj>
    </w:sdtPr>
    <w:sdtEndPr/>
    <w:sdtContent>
      <w:p w:rsidR="00CD5337" w:rsidRDefault="001B4D13">
        <w:pPr>
          <w:pStyle w:val="af8"/>
          <w:jc w:val="center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5337" w:rsidRDefault="00CD533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37" w:rsidRDefault="00CD5337">
    <w:pPr>
      <w:pStyle w:val="af8"/>
      <w:jc w:val="center"/>
    </w:pPr>
  </w:p>
  <w:p w:rsidR="00CD5337" w:rsidRDefault="00CD533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3D8"/>
    <w:multiLevelType w:val="multilevel"/>
    <w:tmpl w:val="C6309E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AD47B25"/>
    <w:multiLevelType w:val="multilevel"/>
    <w:tmpl w:val="C57E2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D823EC7"/>
    <w:multiLevelType w:val="hybridMultilevel"/>
    <w:tmpl w:val="166A45A2"/>
    <w:lvl w:ilvl="0" w:tplc="BA084FD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3C226AAE">
      <w:start w:val="1"/>
      <w:numFmt w:val="lowerLetter"/>
      <w:lvlText w:val="%2."/>
      <w:lvlJc w:val="left"/>
      <w:pPr>
        <w:ind w:left="1789" w:hanging="360"/>
      </w:pPr>
    </w:lvl>
    <w:lvl w:ilvl="2" w:tplc="01603B14">
      <w:start w:val="1"/>
      <w:numFmt w:val="lowerRoman"/>
      <w:lvlText w:val="%3."/>
      <w:lvlJc w:val="right"/>
      <w:pPr>
        <w:ind w:left="2509" w:hanging="180"/>
      </w:pPr>
    </w:lvl>
    <w:lvl w:ilvl="3" w:tplc="CE3A42DA">
      <w:start w:val="1"/>
      <w:numFmt w:val="decimal"/>
      <w:lvlText w:val="%4."/>
      <w:lvlJc w:val="left"/>
      <w:pPr>
        <w:ind w:left="3229" w:hanging="360"/>
      </w:pPr>
    </w:lvl>
    <w:lvl w:ilvl="4" w:tplc="1FC87BA8">
      <w:start w:val="1"/>
      <w:numFmt w:val="lowerLetter"/>
      <w:lvlText w:val="%5."/>
      <w:lvlJc w:val="left"/>
      <w:pPr>
        <w:ind w:left="3949" w:hanging="360"/>
      </w:pPr>
    </w:lvl>
    <w:lvl w:ilvl="5" w:tplc="471453A8">
      <w:start w:val="1"/>
      <w:numFmt w:val="lowerRoman"/>
      <w:lvlText w:val="%6."/>
      <w:lvlJc w:val="right"/>
      <w:pPr>
        <w:ind w:left="4669" w:hanging="180"/>
      </w:pPr>
    </w:lvl>
    <w:lvl w:ilvl="6" w:tplc="C708331C">
      <w:start w:val="1"/>
      <w:numFmt w:val="decimal"/>
      <w:lvlText w:val="%7."/>
      <w:lvlJc w:val="left"/>
      <w:pPr>
        <w:ind w:left="5389" w:hanging="360"/>
      </w:pPr>
    </w:lvl>
    <w:lvl w:ilvl="7" w:tplc="1542E48A">
      <w:start w:val="1"/>
      <w:numFmt w:val="lowerLetter"/>
      <w:lvlText w:val="%8."/>
      <w:lvlJc w:val="left"/>
      <w:pPr>
        <w:ind w:left="6109" w:hanging="360"/>
      </w:pPr>
    </w:lvl>
    <w:lvl w:ilvl="8" w:tplc="2C868B0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D76D45"/>
    <w:multiLevelType w:val="hybridMultilevel"/>
    <w:tmpl w:val="75C0C138"/>
    <w:lvl w:ilvl="0" w:tplc="1BAA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E39D2">
      <w:start w:val="1"/>
      <w:numFmt w:val="lowerLetter"/>
      <w:lvlText w:val="%2."/>
      <w:lvlJc w:val="left"/>
      <w:pPr>
        <w:ind w:left="1440" w:hanging="360"/>
      </w:pPr>
    </w:lvl>
    <w:lvl w:ilvl="2" w:tplc="792021F6">
      <w:start w:val="1"/>
      <w:numFmt w:val="lowerRoman"/>
      <w:lvlText w:val="%3."/>
      <w:lvlJc w:val="right"/>
      <w:pPr>
        <w:ind w:left="2160" w:hanging="180"/>
      </w:pPr>
    </w:lvl>
    <w:lvl w:ilvl="3" w:tplc="4D8EA33A">
      <w:start w:val="1"/>
      <w:numFmt w:val="decimal"/>
      <w:lvlText w:val="%4."/>
      <w:lvlJc w:val="left"/>
      <w:pPr>
        <w:ind w:left="2880" w:hanging="360"/>
      </w:pPr>
    </w:lvl>
    <w:lvl w:ilvl="4" w:tplc="5238C79C">
      <w:start w:val="1"/>
      <w:numFmt w:val="lowerLetter"/>
      <w:lvlText w:val="%5."/>
      <w:lvlJc w:val="left"/>
      <w:pPr>
        <w:ind w:left="3600" w:hanging="360"/>
      </w:pPr>
    </w:lvl>
    <w:lvl w:ilvl="5" w:tplc="3C029D6A">
      <w:start w:val="1"/>
      <w:numFmt w:val="lowerRoman"/>
      <w:lvlText w:val="%6."/>
      <w:lvlJc w:val="right"/>
      <w:pPr>
        <w:ind w:left="4320" w:hanging="180"/>
      </w:pPr>
    </w:lvl>
    <w:lvl w:ilvl="6" w:tplc="5928C906">
      <w:start w:val="1"/>
      <w:numFmt w:val="decimal"/>
      <w:lvlText w:val="%7."/>
      <w:lvlJc w:val="left"/>
      <w:pPr>
        <w:ind w:left="5040" w:hanging="360"/>
      </w:pPr>
    </w:lvl>
    <w:lvl w:ilvl="7" w:tplc="800822F4">
      <w:start w:val="1"/>
      <w:numFmt w:val="lowerLetter"/>
      <w:lvlText w:val="%8."/>
      <w:lvlJc w:val="left"/>
      <w:pPr>
        <w:ind w:left="5760" w:hanging="360"/>
      </w:pPr>
    </w:lvl>
    <w:lvl w:ilvl="8" w:tplc="724C42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3A2D"/>
    <w:multiLevelType w:val="hybridMultilevel"/>
    <w:tmpl w:val="21F04AD6"/>
    <w:lvl w:ilvl="0" w:tplc="5A62BFEE">
      <w:start w:val="1"/>
      <w:numFmt w:val="decimal"/>
      <w:lvlText w:val="%1."/>
      <w:lvlJc w:val="left"/>
      <w:pPr>
        <w:ind w:left="644" w:hanging="360"/>
      </w:pPr>
    </w:lvl>
    <w:lvl w:ilvl="1" w:tplc="A174900C">
      <w:start w:val="1"/>
      <w:numFmt w:val="lowerLetter"/>
      <w:lvlText w:val="%2."/>
      <w:lvlJc w:val="left"/>
      <w:pPr>
        <w:ind w:left="1440" w:hanging="360"/>
      </w:pPr>
    </w:lvl>
    <w:lvl w:ilvl="2" w:tplc="8932E95A">
      <w:start w:val="1"/>
      <w:numFmt w:val="lowerRoman"/>
      <w:lvlText w:val="%3."/>
      <w:lvlJc w:val="right"/>
      <w:pPr>
        <w:ind w:left="2160" w:hanging="180"/>
      </w:pPr>
    </w:lvl>
    <w:lvl w:ilvl="3" w:tplc="C2ACCB42">
      <w:start w:val="1"/>
      <w:numFmt w:val="decimal"/>
      <w:lvlText w:val="%4."/>
      <w:lvlJc w:val="left"/>
      <w:pPr>
        <w:ind w:left="2880" w:hanging="360"/>
      </w:pPr>
    </w:lvl>
    <w:lvl w:ilvl="4" w:tplc="49A014A4">
      <w:start w:val="1"/>
      <w:numFmt w:val="lowerLetter"/>
      <w:lvlText w:val="%5."/>
      <w:lvlJc w:val="left"/>
      <w:pPr>
        <w:ind w:left="3600" w:hanging="360"/>
      </w:pPr>
    </w:lvl>
    <w:lvl w:ilvl="5" w:tplc="52F27B8C">
      <w:start w:val="1"/>
      <w:numFmt w:val="lowerRoman"/>
      <w:lvlText w:val="%6."/>
      <w:lvlJc w:val="right"/>
      <w:pPr>
        <w:ind w:left="4320" w:hanging="180"/>
      </w:pPr>
    </w:lvl>
    <w:lvl w:ilvl="6" w:tplc="0B3E93EA">
      <w:start w:val="1"/>
      <w:numFmt w:val="decimal"/>
      <w:lvlText w:val="%7."/>
      <w:lvlJc w:val="left"/>
      <w:pPr>
        <w:ind w:left="5040" w:hanging="360"/>
      </w:pPr>
    </w:lvl>
    <w:lvl w:ilvl="7" w:tplc="E8F82528">
      <w:start w:val="1"/>
      <w:numFmt w:val="lowerLetter"/>
      <w:lvlText w:val="%8."/>
      <w:lvlJc w:val="left"/>
      <w:pPr>
        <w:ind w:left="5760" w:hanging="360"/>
      </w:pPr>
    </w:lvl>
    <w:lvl w:ilvl="8" w:tplc="CE24B6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5486"/>
    <w:multiLevelType w:val="multilevel"/>
    <w:tmpl w:val="495A6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37"/>
    <w:rsid w:val="001B4D13"/>
    <w:rsid w:val="00C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F0E9-6789-4D83-A653-A9DE8F1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DA75-14DB-42F1-92D4-AD7A9912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KozirchikovaOA</cp:lastModifiedBy>
  <cp:revision>2</cp:revision>
  <dcterms:created xsi:type="dcterms:W3CDTF">2024-01-24T05:54:00Z</dcterms:created>
  <dcterms:modified xsi:type="dcterms:W3CDTF">2024-01-24T05:54:00Z</dcterms:modified>
</cp:coreProperties>
</file>