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FE563E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104555">
        <w:rPr>
          <w:rFonts w:ascii="Arial" w:hAnsi="Arial" w:cs="Arial"/>
        </w:rPr>
        <w:t>(с пометкой для ГЭПС)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 xml:space="preserve">а </w:t>
      </w:r>
      <w:proofErr w:type="spellStart"/>
      <w:r w:rsidR="00AD1491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AD1491">
        <w:rPr>
          <w:rFonts w:ascii="Arial" w:hAnsi="Arial" w:cs="Arial"/>
        </w:rPr>
        <w:t>10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им.А.В.Филипенко</w:t>
      </w:r>
      <w:proofErr w:type="spellEnd"/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</w:t>
      </w:r>
      <w:r w:rsidRPr="00DA1F5B">
        <w:rPr>
          <w:rFonts w:ascii="Arial" w:hAnsi="Arial" w:cs="Arial"/>
        </w:rPr>
        <w:t xml:space="preserve">Октябрьский район, </w:t>
      </w:r>
      <w:r w:rsidR="00AD1491">
        <w:rPr>
          <w:rFonts w:ascii="Arial" w:hAnsi="Arial" w:cs="Arial"/>
        </w:rPr>
        <w:t>Н</w:t>
      </w:r>
      <w:r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им.А.В.Филипенко</w:t>
      </w:r>
      <w:proofErr w:type="spellEnd"/>
      <w:r>
        <w:rPr>
          <w:rFonts w:ascii="Arial" w:hAnsi="Arial" w:cs="Arial"/>
        </w:rPr>
        <w:t xml:space="preserve">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>а</w:t>
      </w:r>
      <w:r w:rsidR="00136B72">
        <w:rPr>
          <w:rFonts w:ascii="Arial" w:hAnsi="Arial" w:cs="Arial"/>
        </w:rPr>
        <w:t xml:space="preserve"> </w:t>
      </w:r>
      <w:proofErr w:type="spellStart"/>
      <w:r w:rsidR="00136B72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AD14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». </w:t>
      </w:r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им.А.В.Филипенко</w:t>
      </w:r>
      <w:proofErr w:type="spellEnd"/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>, д.32, каб.№103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каб.№103, </w:t>
      </w:r>
      <w:r w:rsidR="00FE563E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29.11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каб.№103, </w:t>
      </w:r>
      <w:r w:rsidR="00FE563E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Pr="00CF5BF0">
        <w:rPr>
          <w:rFonts w:ascii="Arial" w:eastAsia="Times New Roman" w:hAnsi="Arial" w:cs="Times New Roman"/>
          <w:lang w:eastAsia="ru-RU"/>
        </w:rPr>
        <w:t>(с пометкой для ГЭПС)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каб.№103, </w:t>
      </w:r>
      <w:r w:rsidR="00FE563E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FE563E">
        <w:rPr>
          <w:rFonts w:ascii="Arial" w:hAnsi="Arial" w:cs="Arial"/>
        </w:rPr>
        <w:t xml:space="preserve">официальном </w:t>
      </w:r>
      <w:bookmarkStart w:id="3" w:name="_GoBack"/>
      <w:bookmarkEnd w:id="3"/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136B72">
        <w:rPr>
          <w:rFonts w:ascii="Arial" w:hAnsi="Arial" w:cs="Arial"/>
        </w:rPr>
        <w:t>Дорог</w:t>
      </w:r>
      <w:r w:rsidR="00AD1491">
        <w:rPr>
          <w:rFonts w:ascii="Arial" w:hAnsi="Arial" w:cs="Arial"/>
        </w:rPr>
        <w:t xml:space="preserve">а </w:t>
      </w:r>
      <w:proofErr w:type="spellStart"/>
      <w:r w:rsidR="00AD1491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 скважин </w:t>
      </w:r>
      <w:r w:rsidR="00AD14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». </w:t>
      </w:r>
      <w:r w:rsidR="00AD1491">
        <w:rPr>
          <w:rFonts w:ascii="Arial" w:hAnsi="Arial" w:cs="Arial"/>
        </w:rPr>
        <w:t>Н</w:t>
      </w:r>
      <w:r w:rsidR="00AF1E7A">
        <w:rPr>
          <w:rFonts w:ascii="Arial" w:hAnsi="Arial" w:cs="Arial"/>
        </w:rPr>
        <w:t>ефтяное месторождение</w:t>
      </w:r>
      <w:r w:rsidR="00AD1491">
        <w:rPr>
          <w:rFonts w:ascii="Arial" w:hAnsi="Arial" w:cs="Arial"/>
        </w:rPr>
        <w:t xml:space="preserve"> </w:t>
      </w:r>
      <w:proofErr w:type="spellStart"/>
      <w:r w:rsidR="00AD1491">
        <w:rPr>
          <w:rFonts w:ascii="Arial" w:hAnsi="Arial" w:cs="Arial"/>
        </w:rPr>
        <w:t>им.А.В.Филипенко</w:t>
      </w:r>
      <w:proofErr w:type="spellEnd"/>
      <w:r w:rsidR="00AD1491">
        <w:rPr>
          <w:rFonts w:ascii="Arial" w:hAnsi="Arial" w:cs="Arial"/>
        </w:rPr>
        <w:t>, шифр 21671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B72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1491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563E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27</cp:revision>
  <cp:lastPrinted>2023-08-14T12:35:00Z</cp:lastPrinted>
  <dcterms:created xsi:type="dcterms:W3CDTF">2022-05-24T12:53:00Z</dcterms:created>
  <dcterms:modified xsi:type="dcterms:W3CDTF">2023-10-26T10:07:00Z</dcterms:modified>
</cp:coreProperties>
</file>