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9" w:rsidRPr="009B11D6" w:rsidRDefault="002C6299" w:rsidP="002C6299">
      <w:pPr>
        <w:tabs>
          <w:tab w:val="left" w:pos="721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65B1C9" wp14:editId="46623F91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299" w:rsidRPr="009B11D6" w:rsidRDefault="002C6299" w:rsidP="002C6299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2C6299" w:rsidRPr="009B11D6" w:rsidTr="00445950">
        <w:trPr>
          <w:trHeight w:hRule="exact" w:val="1154"/>
        </w:trPr>
        <w:tc>
          <w:tcPr>
            <w:tcW w:w="9828" w:type="dxa"/>
            <w:gridSpan w:val="3"/>
          </w:tcPr>
          <w:p w:rsidR="002C6299" w:rsidRPr="009B11D6" w:rsidRDefault="002C6299" w:rsidP="004459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2C6299" w:rsidRPr="009B11D6" w:rsidRDefault="002C6299" w:rsidP="004459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2C6299" w:rsidRPr="009B11D6" w:rsidRDefault="002C6299" w:rsidP="004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2C6299" w:rsidRPr="009B11D6" w:rsidRDefault="002C6299" w:rsidP="004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C6299" w:rsidRPr="009B11D6" w:rsidRDefault="002C6299" w:rsidP="004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C6299" w:rsidRPr="009B11D6" w:rsidRDefault="002C6299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2C6299" w:rsidRPr="009B11D6" w:rsidRDefault="002C6299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299" w:rsidRPr="009B11D6" w:rsidRDefault="002C6299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299" w:rsidRPr="009B11D6" w:rsidRDefault="002C6299" w:rsidP="0044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C6299" w:rsidRPr="009B11D6" w:rsidTr="00445950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2C6299" w:rsidRPr="009B11D6" w:rsidRDefault="002C6299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2C6299" w:rsidRPr="009B11D6" w:rsidRDefault="002C6299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C6299" w:rsidRPr="009B11D6" w:rsidTr="00445950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2C6299" w:rsidRPr="009B11D6" w:rsidRDefault="009D1CAB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» _________  2020</w:t>
            </w:r>
            <w:r w:rsidR="002C6299"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2C6299" w:rsidRPr="009B11D6" w:rsidRDefault="002C6299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2C6299" w:rsidRPr="009B11D6" w:rsidRDefault="002C6299" w:rsidP="0044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</w:tc>
      </w:tr>
    </w:tbl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Порядок определения</w:t>
      </w: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расчетных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расходных  потребностей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бюджетов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поселений,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 в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</w:t>
      </w: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Октябрьского района, утвержденный приказом</w:t>
      </w: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2C6299" w:rsidRPr="00FD0CB3" w:rsidRDefault="002C6299" w:rsidP="002C6299"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C6299" w:rsidRPr="00DE7D5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изменения в Порядок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определения  расчетных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расходных  потребностей бюджетов городских и сельских поселений, входящих  в состав Октябрьского района, утвержденный приказом Комитета по управлению муниципальными финансами администрации Октябрьского района от 15.10.2012 № 89, изложив его в новой редакции, согласно приложению.</w:t>
      </w: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2. Настоящий приказ вступает в силу после его подписания и применяется при формировании бюджета муниципального образования Октябрьский район на очередной финансовый год и плановый период.  </w:t>
      </w:r>
    </w:p>
    <w:p w:rsidR="002C6299" w:rsidRPr="009B11D6" w:rsidRDefault="002C6299" w:rsidP="002C6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Довести настоящий приказ до администраций городских и сельских поселений, входящих в состав Октябрьского района.</w:t>
      </w:r>
    </w:p>
    <w:p w:rsidR="002C6299" w:rsidRPr="009B11D6" w:rsidRDefault="002C6299" w:rsidP="002C6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приказа возложить на заведующего бюджетным отделом Комитета по управлению муниципальными финансами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Октябрьского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</w:t>
      </w:r>
      <w:r w:rsidR="0044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п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Куклина</w:t>
      </w:r>
    </w:p>
    <w:p w:rsidR="002C6299" w:rsidRPr="009B11D6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C6299" w:rsidRPr="009B11D6" w:rsidRDefault="002C6299" w:rsidP="002C629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 </w:t>
      </w:r>
    </w:p>
    <w:p w:rsidR="002C6299" w:rsidRPr="009B11D6" w:rsidRDefault="002C6299" w:rsidP="002C6299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Л.Ю. Даниленко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D1CAB" w:rsidRPr="009B11D6" w:rsidRDefault="009D1CAB" w:rsidP="009D1CAB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9D1CAB" w:rsidRPr="009B11D6" w:rsidRDefault="009D1CAB" w:rsidP="009D1CAB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муниципальными финансами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Степанович М.В.                     </w:t>
      </w:r>
    </w:p>
    <w:p w:rsidR="009D1CAB" w:rsidRPr="009B11D6" w:rsidRDefault="009D1CAB" w:rsidP="009D1CA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FF18F4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9D1CAB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Разослать</w:t>
      </w:r>
      <w:r w:rsidR="002C6299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– 1 экз.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– 1 экз.</w:t>
      </w: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</w:p>
    <w:p w:rsidR="002C6299" w:rsidRPr="009B11D6" w:rsidRDefault="002C6299" w:rsidP="002C6299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- 11</w:t>
      </w:r>
    </w:p>
    <w:p w:rsidR="002C6299" w:rsidRPr="009B11D6" w:rsidRDefault="002C6299" w:rsidP="002C6299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 экз.</w:t>
      </w:r>
    </w:p>
    <w:p w:rsidR="002C6299" w:rsidRPr="009B11D6" w:rsidRDefault="002C6299" w:rsidP="002C6299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Pr="009B11D6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99" w:rsidRDefault="002C6299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B" w:rsidRDefault="009D1CAB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B" w:rsidRDefault="009D1CAB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B" w:rsidRDefault="009D1CAB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B" w:rsidRDefault="009D1CAB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B" w:rsidRDefault="009D1CAB" w:rsidP="002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B" w:rsidRPr="009D1CAB" w:rsidRDefault="009D1CAB" w:rsidP="009D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D1CAB" w:rsidRPr="009D1CAB" w:rsidRDefault="009D1CAB" w:rsidP="009D1CAB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к Приказу Комитета по управлению      </w:t>
      </w:r>
    </w:p>
    <w:p w:rsidR="009D1CAB" w:rsidRPr="009D1CAB" w:rsidRDefault="009D1CAB" w:rsidP="009D1CAB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9D1CAB" w:rsidRPr="009D1CAB" w:rsidRDefault="009D1CAB" w:rsidP="009D1CAB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9D1CAB" w:rsidRPr="009D1CAB" w:rsidRDefault="009D1CAB" w:rsidP="009D1CAB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="00D321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proofErr w:type="gramStart"/>
      <w:r w:rsidR="00D321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 _</w:t>
      </w:r>
      <w:proofErr w:type="gramEnd"/>
      <w:r w:rsidR="00D321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 »  _______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2020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21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  ___</w:t>
      </w:r>
    </w:p>
    <w:p w:rsidR="009D1CAB" w:rsidRPr="009D1CAB" w:rsidRDefault="009D1CAB" w:rsidP="009D1CAB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D1CAB" w:rsidRPr="009D1CAB" w:rsidRDefault="009D1CAB" w:rsidP="009D1CAB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 расчетных</w:t>
      </w:r>
      <w:proofErr w:type="gramEnd"/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расходных потребностей бюджетов </w:t>
      </w:r>
    </w:p>
    <w:p w:rsidR="009D1CAB" w:rsidRPr="009D1CAB" w:rsidRDefault="009D1CAB" w:rsidP="009D1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и сельских поселений, входящих в состав</w:t>
      </w:r>
    </w:p>
    <w:p w:rsidR="009D1CAB" w:rsidRPr="009D1CAB" w:rsidRDefault="009D1CAB" w:rsidP="009D1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района  </w:t>
      </w:r>
    </w:p>
    <w:p w:rsidR="009D1CAB" w:rsidRPr="009D1CAB" w:rsidRDefault="009D1CAB" w:rsidP="009D1C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муниципального образования Окт</w:t>
      </w:r>
      <w:r w:rsidR="00D3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ябрьский </w:t>
      </w:r>
      <w:proofErr w:type="gramStart"/>
      <w:r w:rsidR="00D32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(</w:t>
      </w:r>
      <w:proofErr w:type="gramEnd"/>
      <w:r w:rsidR="00D32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городских и сельских поселений, входящих в состав  Октябр</w:t>
      </w:r>
      <w:r w:rsidR="00D32159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 (далее – бюджет поселения, поселение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расходных потребност</w:t>
      </w:r>
      <w:r w:rsidR="00D3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бюджетов </w:t>
      </w:r>
      <w:r w:rsidR="0040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исходя из численности населения каждого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используемая для расчета оценки расходных потребност</w:t>
      </w:r>
      <w:r w:rsidR="00405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поселений,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 данным органов государственной статистики по состоянию на 1 января текущего года.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и оценка стоимости расходных потребност</w:t>
      </w:r>
      <w:r w:rsidR="00405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Приказами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3D4B">
        <w:rPr>
          <w:rFonts w:ascii="Times New Roman" w:eastAsia="Times New Roman" w:hAnsi="Times New Roman" w:cs="Times New Roman"/>
          <w:sz w:val="24"/>
          <w:szCs w:val="24"/>
          <w:lang w:eastAsia="ru-RU"/>
        </w:rPr>
        <w:t>6.2019 № 85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0100 «Общегосударственные вопросы»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8B056E" w:rsidRDefault="008B056E" w:rsidP="008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</w:t>
      </w:r>
      <w:r w:rsidR="0032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начисления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органов местного самоуправления муниципальных образований Ханты-Мансийского автономного округа-Югры на 2021 год, установленные в соответствии с распоряжением Правительства ХМАО-Югры от 14.08.2020 № 464-р</w:t>
      </w:r>
      <w:r w:rsidR="00EC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размерах нормативов формирования расходов на содержание органов местного самоуправления муниципальных образований Ханты - Мансийского автономного округа-Югры на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5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85 % от 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норматива.</w:t>
      </w:r>
    </w:p>
    <w:p w:rsidR="00905ECF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подразделу 0102, 0104 (на содержание органов местного самоуправления) определяются на очередной финансовый год, исходя из расчета бюджетных ассигнований, доведенных в текущем финансовом году на указанные цели, кроме фонда оплаты труда.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0111 «Резервные фонды»</w:t>
      </w:r>
    </w:p>
    <w:p w:rsidR="009D1CAB" w:rsidRPr="009D1CAB" w:rsidRDefault="00905ECF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9D1CAB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резервного фонда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</w:t>
      </w:r>
      <w:r w:rsidR="009D1CAB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очередной финансовый год, исходя из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объема расходов</w:t>
      </w:r>
      <w:r w:rsidR="0097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должен</w:t>
      </w:r>
      <w:r w:rsidR="009D1CAB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центов</w:t>
      </w:r>
      <w:r w:rsidR="0097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расходов</w:t>
      </w:r>
      <w:r w:rsidR="009D1CAB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0113 «Другие общегосударственные вопросы»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работ по паспортизации муниципального имущества определяются по удельному весу расходов необходимых на пасп</w:t>
      </w:r>
      <w:r w:rsidR="0097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ортизацию имущества </w:t>
      </w:r>
      <w:proofErr w:type="gramStart"/>
      <w:r w:rsidR="0097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 исходя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объема средств, выделяемых на паспортизацию имущества на текущий финансовый год.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других обязательств государства осуществляется из расчета бюджетных ассигнований, предусмотренных на содержание аппарата управления и муниципального имущества в первоначальном бюджете поселения по состоянию на </w:t>
      </w:r>
      <w:r w:rsidR="0097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текущего года.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организацию и проведение выборов глав городских и сельских поселений, депутатов в представительные органы местного самоуправления осуществляются по предоставленным расчетам территориальной избирательной комиссии </w:t>
      </w:r>
      <w:r w:rsidR="0097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законами Ханты-Мансийского автономного округа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18.06.2003 № 33-оз «О выборах глав муниципальных образований в Ханты-Мансийском автономном округе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30.09.2011 № 81-оз «О выборах депутатов представительного органа муниципального образования в Ханты-Мансийском автономном округе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Югре».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уплату налога на имущество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организаций».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Раздел 0200 «Национальная оборона»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подраздел 0203 «Мобилизационная и вневойсковая подготовка»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по распределению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между поселениями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от 20.12.2007 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округа</w:t>
      </w:r>
      <w:r w:rsidR="005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Югры, исходя из доведенного объема вышеуказанной субвенции муниципальному образованию на очередной финансовый год. 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0300 «Национальная безопасность и правоохранительная деятельность»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0304 «Органы юстиции»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Расчеты по распре</w:t>
      </w:r>
      <w:r w:rsidR="005E5B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делению субвенции между поселениями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осуществление  полномочий по государственной регистрации актов гражданского состояния осуществляются на основании закона ХМАО-Югры от 30.09.2008 № 91-оз «</w:t>
      </w:r>
      <w:r w:rsidRPr="009D1CAB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</w:t>
      </w:r>
      <w:r w:rsidR="005E5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-</w:t>
      </w:r>
      <w:r w:rsidR="005E5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Югры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администрациями поселений актов гражданского состояния за истекшие 8 месяцев текущего финансового года.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подраздел 0309 «Защита населения и территории от чрезвычайных ситуаций природного </w:t>
      </w:r>
      <w:proofErr w:type="gramStart"/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техногенного</w:t>
      </w:r>
      <w:proofErr w:type="gramEnd"/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характера, гражданская оборона»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участие в предупреждении и ликвидации последствий чрезвычайных ситуаций определяются исходя из численности населения городского поселения и составляют 37,41 руб. на одного жителя.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пожарных наземных (подземных) резервуаров, находящихся в собственности муниципального образования осуществляются из расчета стоимости обслуживания одного пожарного резервуара в год и составляют 47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пожарных гидрантов, находящихся в собственности муниципального образования осуществляются из расчета стоимости обслуживания одного пожарного гидранта в год и составляют 4,9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устройство, очистку противопожарной минерализованной полосы и противопожарных разрывов,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распределяются в соответствии с информацией, предоставленной отделом гражданской защиты населения администрации Октябрьского района на основании поступивших ходатайств ад</w:t>
      </w:r>
      <w:r w:rsidR="005E5B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о необходимости проведения данных работ в очередном финансовом году. 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0400 «Национальная экономика»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0408 «Транспорт»</w:t>
      </w:r>
    </w:p>
    <w:p w:rsidR="009D1CAB" w:rsidRPr="009D1CAB" w:rsidRDefault="009D1CAB" w:rsidP="009D1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предоставление транспортных услуг населению и организацию транспортного обслуживания населения по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</w:t>
      </w:r>
      <w:r w:rsidR="0064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бюджетных ассигнований, определенных в первоначальном бюджете поселения по состоянию на 1 января текущего года</w:t>
      </w:r>
      <w:r w:rsidR="00EC5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доведенных в течение года дополнительно бюджетных ассигнований.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0409 «Дорожное хозяйство (дорожные фонды)»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содержание, ремонт и капитальный ремонт автомобильных дорог местного значения в границах населенных пунктов, а также по осуществлению иных полномочий в области использования автомобильных дорог и осуществлению дорожной деятельности 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подлежащие зачислению</w:t>
      </w:r>
      <w:r w:rsidR="0064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поселения, по информации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Департаментом финансов Ханты-Мансийского автономного округа-Югры. 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0410 «</w:t>
      </w:r>
      <w:proofErr w:type="gramStart"/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Связь  и</w:t>
      </w:r>
      <w:proofErr w:type="gramEnd"/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информатика»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подразделу (на компьютерные программы, информатизацию, связь, интернет и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аппарату управления определяются исходя из численности населения в поселении и составляют: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тысяч человек – 300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тысяч до 4 тысяч человек – 400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тысяч </w:t>
      </w: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и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– 500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0412 «Другие вопросы в области национальной экономики»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(на мероприятия по землеустройству и землепользованию) осуществляются по предоставленным расчетам Комитета по управлению муниципальной собственностью администрации Октябрьского района в ра</w:t>
      </w:r>
      <w:r w:rsidR="0064278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зрезе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0500 «Жилищно-коммунальное хозяйство»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0501 «Жилищное хозяйство»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одного квадратного метра в размере 12 рублей в месяц.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0502 «Коммунальное хозяйство»</w:t>
      </w:r>
    </w:p>
    <w:p w:rsidR="009D1CAB" w:rsidRPr="009D1CAB" w:rsidRDefault="009D1CAB" w:rsidP="009D1CA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проведение мероприятий по подготовке к осен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не-зимнему периоду составляют 5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процентов от объема выделенных из бюджета автономного округа субсидий на реконструкцию, расширение, модернизацию, строительство и капитальный ремонт объектов коммунального комплекса. Расходы в первоначальном бюджете 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планируются и будут выделяться в течение финансового года, 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информацией, предоставленной </w:t>
      </w:r>
      <w:r w:rsidR="006C7551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Управлением жилищно-коммунального хозяйства и строительства администрации Октябрьского района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 основании</w:t>
      </w:r>
      <w:r w:rsidR="006C7551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полученных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нистрациями поселений заключений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проверке достоверности опреде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ления сметной стоимости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капитального ремонта</w:t>
      </w:r>
      <w:r w:rsidR="006C75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объектов коммунального комплекса.</w:t>
      </w:r>
    </w:p>
    <w:p w:rsidR="009D1CAB" w:rsidRPr="009D1CAB" w:rsidRDefault="009D1CAB" w:rsidP="009D1CA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органов местного самоуправления при возн</w:t>
      </w:r>
      <w:r w:rsidR="00161A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икшей </w:t>
      </w:r>
      <w:proofErr w:type="gramStart"/>
      <w:r w:rsidR="00161A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задолженности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организаций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жилищно-коммунального хозяйства за энергоресурсы</w:t>
      </w:r>
      <w:r w:rsidR="00EC5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 предыдущий финансовый год,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включаются в первоначальный бюджет на основании информации, предоставленной Управлением жилищно-коммунального хозяйства и строительства администрации Октябрьского района.</w:t>
      </w:r>
    </w:p>
    <w:p w:rsidR="009D1CAB" w:rsidRDefault="009D1CAB" w:rsidP="009D1CA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направляются на частичное возмещение затрат между фактически понесен</w:t>
      </w:r>
      <w:r w:rsidR="00161A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ными затратами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организаций жилищно-коммунального хозяйства по оплате за энергоресурсы и объемом </w:t>
      </w:r>
      <w:r w:rsidR="00853F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потребления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энергоресурсов, учтенных в тарифах на услуги тепло-, водоснабжения, водоотведения Региональной службой по тарифам Ханты-Мансийского автономного округа-Югры.  Данные расходы </w:t>
      </w:r>
      <w:proofErr w:type="gramStart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покрываются  из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расчетных расходных потребностей поселений, направленных на капитальный ремонт муниципального жилищного фонда.  </w:t>
      </w:r>
    </w:p>
    <w:p w:rsidR="00905ECF" w:rsidRPr="009D1CAB" w:rsidRDefault="00EC5399" w:rsidP="00905EC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расходов</w:t>
      </w:r>
      <w:r w:rsidR="00905ECF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proofErr w:type="spellStart"/>
      <w:r w:rsidR="00905ECF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="00905ECF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технического запаса</w:t>
      </w:r>
      <w:r w:rsidR="00853F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5ECF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05E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="00853F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случае возникновения аварийной ситуации на объектах</w:t>
      </w:r>
      <w:r w:rsidR="00905E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905E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ЖКХ</w:t>
      </w:r>
      <w:r w:rsidR="00853F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905E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F03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05ECF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включаются</w:t>
      </w:r>
      <w:proofErr w:type="gramEnd"/>
      <w:r w:rsidR="00905ECF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первоначальный бюджет </w:t>
      </w:r>
      <w:r w:rsidR="009E2D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="00905ECF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основании информации, предоставленной Управлением жилищно-коммунального хозяйства и строительства администрации Октябрьского района.</w:t>
      </w:r>
    </w:p>
    <w:p w:rsidR="00905ECF" w:rsidRPr="009D1CAB" w:rsidRDefault="00905ECF" w:rsidP="009D1CA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0503 «Благоустройство»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по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внешнему благоустройству определяются исходя из численности населения пос</w:t>
      </w:r>
      <w:r w:rsidR="0016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 и составляют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800 руб. на одного жителя</w:t>
      </w:r>
      <w:r w:rsidR="0016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дебаркадеров определяются исходя из количества дебаркадеров, находящихся в поселении и составляют 150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вертолетных площадок определяются исходя из заработной платы </w:t>
      </w: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 0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,5 ставки величины прожиточного минимума, установленного на момент формирования бюджета, начисления</w:t>
      </w:r>
      <w:r w:rsidR="0016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фонд оплаты труда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расходов (отопление, освещение, уборка снег</w:t>
      </w:r>
      <w:r w:rsidR="0016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т.д.) и составляют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 Расчет производится исходя из количества площадок и требуемого периода времени обслуживания вертолетной площадки (4 месяца).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площадок временного накопления твердых коммунальных отходо</w:t>
      </w:r>
      <w:r w:rsidR="00727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составляют 12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кв. метр площади.</w:t>
      </w:r>
    </w:p>
    <w:p w:rsidR="009D1CAB" w:rsidRPr="009D1CAB" w:rsidRDefault="009D1CAB" w:rsidP="009D1CAB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обращению с животными, обитающими на территории поселения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распределяются в </w:t>
      </w:r>
      <w:r w:rsidR="009E2D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течение финансового года </w:t>
      </w:r>
      <w:r w:rsidR="00F161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соответствии </w:t>
      </w:r>
      <w:proofErr w:type="gramStart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информацией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предоставленной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отделом по вопросам промышленности, экологии и сельского хозяйства администрации Октябрьского района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основании по</w:t>
      </w:r>
      <w:r w:rsidR="00EC53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требности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</w:t>
      </w:r>
      <w:r w:rsidR="00161A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мероприятий по обращению с животными, обитающими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приобретение специализированной техники распределяются в соответствии </w:t>
      </w:r>
      <w:proofErr w:type="gramStart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информацией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предоставленной Управлением жилищно-коммунального хозяйства и строительства администрации Октябрьского района на основании поступивших заяво</w:t>
      </w:r>
      <w:r w:rsidR="00161A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и предложений от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организаций жилищно-коммунального хозяйства, ад</w:t>
      </w:r>
      <w:r w:rsidR="00161A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поселений о приобретении специальной техники.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0700 «Образование»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</w:t>
      </w:r>
      <w:r w:rsidRPr="009D1C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подраздел 0707 «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Молодежная политика»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работе с детьми и молодежью определяются исходя из численности населения поселения и составляют в размере 4,44 руб. на одного жителя.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0800 «Культура, кинематография» 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0801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«Культура»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учреждений культуры: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плату, начисления на оплату труда определяются исходя из среднесписочной численности работников в учреждении по разделу «Культура» и установленного целевого показателя </w:t>
      </w:r>
      <w:r w:rsidRPr="009D1CAB">
        <w:rPr>
          <w:rFonts w:ascii="Times New Roman" w:eastAsia="Calibri" w:hAnsi="Times New Roman" w:cs="Times New Roman"/>
          <w:sz w:val="24"/>
          <w:szCs w:val="24"/>
        </w:rPr>
        <w:t xml:space="preserve">средней заработной платы отдельных категорий работников, определенных </w:t>
      </w:r>
      <w:r w:rsidRPr="009D1CAB">
        <w:rPr>
          <w:rFonts w:ascii="Times New Roman" w:eastAsia="Calibri" w:hAnsi="Times New Roman" w:cs="Times New Roman"/>
          <w:bCs/>
          <w:sz w:val="24"/>
          <w:szCs w:val="24"/>
        </w:rPr>
        <w:t>указом</w:t>
      </w:r>
      <w:r w:rsidRPr="009D1CAB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07.05.2012   № 597 «О мероприятиях по реализации государственной социальной политики»;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расходы осуществляются из расчета бюджетных ассигнований по состоянию на 01 января текущего финансового года.     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культурно-массовые мероприятия определяются исходя из численности населения поселения в размере 18,75 руб. на одного жителя.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«Старшему поколению» определяются на основании расчетов, предоставленных общественной организацией «Октябрьская районная общественная </w:t>
      </w:r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ветеранов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(пенсионеров) войны и труда».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организаций».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1000 «Социальная политика»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подраздел 1001 «Пенсионное обеспечение»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самоуправления поселений, исходя из фактического количества получателей в каждом поселении и установленного размера выплаты.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1100 «Физическая </w:t>
      </w:r>
      <w:proofErr w:type="gramStart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культура  и</w:t>
      </w:r>
      <w:proofErr w:type="gramEnd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спорт»</w:t>
      </w:r>
    </w:p>
    <w:p w:rsidR="009D1CAB" w:rsidRPr="009D1CAB" w:rsidRDefault="009D1CAB" w:rsidP="009D1CAB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1101 «Физическая культура»  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плату, начисления на оплату труда определяются согласно утвержденного штатного расписания учреждения по разделу 1101</w:t>
      </w:r>
      <w:r w:rsidR="00F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и спорт»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расходы определяются из расчета бюджетных ассигнований по состоянию на 01 января текущего финансового года.</w:t>
      </w:r>
    </w:p>
    <w:p w:rsidR="009D1CAB" w:rsidRPr="009D1CAB" w:rsidRDefault="009D1CAB" w:rsidP="009D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634418" w:rsidRDefault="00634418"/>
    <w:sectPr w:rsidR="006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9"/>
    <w:rsid w:val="00161A3C"/>
    <w:rsid w:val="0019064C"/>
    <w:rsid w:val="002561B4"/>
    <w:rsid w:val="002C6299"/>
    <w:rsid w:val="002D3A2A"/>
    <w:rsid w:val="00323D4B"/>
    <w:rsid w:val="004059BB"/>
    <w:rsid w:val="00445950"/>
    <w:rsid w:val="00453ABA"/>
    <w:rsid w:val="005E5BB0"/>
    <w:rsid w:val="005F63A7"/>
    <w:rsid w:val="00634418"/>
    <w:rsid w:val="0064278D"/>
    <w:rsid w:val="006C7551"/>
    <w:rsid w:val="00727242"/>
    <w:rsid w:val="00853FDE"/>
    <w:rsid w:val="008B056E"/>
    <w:rsid w:val="00905ECF"/>
    <w:rsid w:val="00974E51"/>
    <w:rsid w:val="009D1CAB"/>
    <w:rsid w:val="009E2D6F"/>
    <w:rsid w:val="00D32159"/>
    <w:rsid w:val="00D47D09"/>
    <w:rsid w:val="00E9084B"/>
    <w:rsid w:val="00EC5399"/>
    <w:rsid w:val="00F161B5"/>
    <w:rsid w:val="00FF0350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A564"/>
  <w15:chartTrackingRefBased/>
  <w15:docId w15:val="{E135F821-E1B8-46AE-8BE1-BFD8984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4</cp:revision>
  <cp:lastPrinted>2020-09-18T11:36:00Z</cp:lastPrinted>
  <dcterms:created xsi:type="dcterms:W3CDTF">2020-09-09T06:05:00Z</dcterms:created>
  <dcterms:modified xsi:type="dcterms:W3CDTF">2020-09-21T03:53:00Z</dcterms:modified>
</cp:coreProperties>
</file>