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CE" w:rsidRPr="005F62CE" w:rsidRDefault="005F62CE" w:rsidP="005F62CE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4479BD" wp14:editId="1DFF23E6">
            <wp:simplePos x="0" y="0"/>
            <wp:positionH relativeFrom="column">
              <wp:posOffset>2558415</wp:posOffset>
            </wp:positionH>
            <wp:positionV relativeFrom="paragraph">
              <wp:posOffset>-310515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2CE" w:rsidRPr="005F62CE" w:rsidRDefault="005F62CE" w:rsidP="005F62CE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5F62CE" w:rsidRPr="005F62CE" w:rsidTr="00307EA3">
        <w:trPr>
          <w:trHeight w:hRule="exact" w:val="1154"/>
        </w:trPr>
        <w:tc>
          <w:tcPr>
            <w:tcW w:w="9828" w:type="dxa"/>
            <w:gridSpan w:val="3"/>
          </w:tcPr>
          <w:p w:rsidR="005F62CE" w:rsidRPr="005F62CE" w:rsidRDefault="005F62CE" w:rsidP="005F62C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F62C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5F62CE" w:rsidRPr="005F62CE" w:rsidRDefault="005F62CE" w:rsidP="005F62C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5F62CE" w:rsidRPr="005F62CE" w:rsidRDefault="005F62CE" w:rsidP="005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МУНИЦИПАЛЬНЫМИ ФИНАНСАМИ</w:t>
            </w:r>
          </w:p>
          <w:p w:rsidR="005F62CE" w:rsidRPr="005F62CE" w:rsidRDefault="005F62CE" w:rsidP="005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F62CE" w:rsidRPr="005F62CE" w:rsidRDefault="005F62CE" w:rsidP="005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F62CE" w:rsidRPr="005F62CE" w:rsidRDefault="005F62CE" w:rsidP="005F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ПРИКАЗ</w:t>
            </w:r>
          </w:p>
          <w:p w:rsidR="005F62CE" w:rsidRPr="005F62CE" w:rsidRDefault="005F62CE" w:rsidP="005F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CE" w:rsidRPr="005F62CE" w:rsidRDefault="005F62CE" w:rsidP="005F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CE" w:rsidRPr="005F62CE" w:rsidRDefault="005F62CE" w:rsidP="005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5F62CE" w:rsidRPr="005F62CE" w:rsidTr="00307EA3">
        <w:trPr>
          <w:gridAfter w:val="1"/>
          <w:wAfter w:w="81" w:type="dxa"/>
          <w:trHeight w:hRule="exact" w:val="80"/>
        </w:trPr>
        <w:tc>
          <w:tcPr>
            <w:tcW w:w="9747" w:type="dxa"/>
            <w:gridSpan w:val="2"/>
          </w:tcPr>
          <w:p w:rsidR="005F62CE" w:rsidRPr="005F62CE" w:rsidRDefault="005F62CE" w:rsidP="005F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F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5F62CE" w:rsidRPr="005F62CE" w:rsidRDefault="005F62CE" w:rsidP="005F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F62CE" w:rsidRPr="005F62CE" w:rsidTr="00307EA3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5F62CE" w:rsidRPr="005F62CE" w:rsidRDefault="005F62CE" w:rsidP="005F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22» сентября  2017 г.                          </w:t>
            </w:r>
          </w:p>
          <w:p w:rsidR="005F62CE" w:rsidRPr="005F62CE" w:rsidRDefault="005F62CE" w:rsidP="005F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5F62CE" w:rsidRPr="005F62CE" w:rsidRDefault="005F62CE" w:rsidP="005F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№ 44</w:t>
            </w:r>
          </w:p>
        </w:tc>
      </w:tr>
    </w:tbl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F62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Порядок определения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F62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расчетных расходных  потребностей бюджетов</w:t>
      </w: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сельских поселений, входящих  в состав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F62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Октябрьского района, </w:t>
      </w:r>
      <w:proofErr w:type="gramStart"/>
      <w:r w:rsidRPr="005F62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Pr="005F62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приказом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F62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Комитета по управлению муниципальными финансами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F62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Октябрьского района от 15.10.2012 № 89</w:t>
      </w: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F62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1. Внести изменения в Порядок определения  расчетных расходных  потребностей бюджетов городских и сельских поселений, входящих  в состав Октябрьского района, утвержденный приказом Комитета по управлению муниципальными финансами администрации Октябрьского района от 15.10.2012 № 89, изложив его в новой редакции, согласно приложению.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F62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2. Настоящий приказ </w:t>
      </w:r>
      <w:proofErr w:type="gramStart"/>
      <w:r w:rsidRPr="005F62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вступает в силу после его подписания и применяется</w:t>
      </w:r>
      <w:proofErr w:type="gramEnd"/>
      <w:r w:rsidRPr="005F62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 формировании бюджета муниципального образования Октябрьский район на очередной финансовый год и плановый период. 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F62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Довести настоящий приказ до администраций городских и сельских поселений, входящих в состав Октябрьского района.</w:t>
      </w:r>
    </w:p>
    <w:p w:rsidR="005F62CE" w:rsidRPr="005F62CE" w:rsidRDefault="005F62CE" w:rsidP="005F6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приказа возложить на заведующего бюджетным отделом Комитета по управлению муниципальными финансами администрации Октябрьского района Агееву Н.В.</w:t>
      </w: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5F62CE" w:rsidRPr="005F62CE" w:rsidRDefault="005F62CE" w:rsidP="005F62CE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Н.Г. Куклина</w:t>
      </w:r>
    </w:p>
    <w:p w:rsidR="005F62CE" w:rsidRP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F62CE" w:rsidRPr="005F62CE" w:rsidRDefault="005F62CE" w:rsidP="005F62CE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62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к Приказу Комитета по управлению      </w:t>
      </w:r>
    </w:p>
    <w:p w:rsidR="005F62CE" w:rsidRPr="005F62CE" w:rsidRDefault="005F62CE" w:rsidP="005F62CE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62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муниципальными финансами</w:t>
      </w:r>
    </w:p>
    <w:p w:rsidR="005F62CE" w:rsidRPr="005F62CE" w:rsidRDefault="005F62CE" w:rsidP="005F62CE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62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администрации Октябрьского района</w:t>
      </w:r>
    </w:p>
    <w:p w:rsidR="005F62CE" w:rsidRPr="005F62CE" w:rsidRDefault="005F62CE" w:rsidP="005F62CE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F62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от «_22_»  сентября 2017  № 44</w:t>
      </w:r>
    </w:p>
    <w:p w:rsidR="005F62CE" w:rsidRPr="005F62CE" w:rsidRDefault="005F62CE" w:rsidP="005F62CE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F62CE" w:rsidRPr="005F62CE" w:rsidRDefault="005F62CE" w:rsidP="005F62CE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F62CE" w:rsidRPr="005F62CE" w:rsidRDefault="005F62CE" w:rsidP="005F62CE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5F6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6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F62C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5F62C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определения  расчетных  расходных потребностей бюджетов </w:t>
      </w:r>
    </w:p>
    <w:p w:rsidR="005F62CE" w:rsidRPr="005F62CE" w:rsidRDefault="005F62CE" w:rsidP="005F62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городских и сельских поселений, входящих в состав</w:t>
      </w:r>
    </w:p>
    <w:p w:rsidR="005F62CE" w:rsidRPr="005F62CE" w:rsidRDefault="005F62CE" w:rsidP="005F62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района  </w:t>
      </w:r>
    </w:p>
    <w:p w:rsidR="005F62CE" w:rsidRPr="005F62CE" w:rsidRDefault="005F62CE" w:rsidP="005F62CE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8"/>
          <w:lang w:eastAsia="ru-RU"/>
        </w:rPr>
      </w:pP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расходов бюджета муниципального образования Октябрьский район  (далее – бюджета района), городских и сельских поселений, входящих в состав  Октябрьского района (далее - поселения) осуществляется в соответствии с расходными обязательствами, обусловленными законодательством Российской Федерации, разграничением полномочий, исполнение которых осуществляется за счет средств местных бюджетов.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стоимости расходных потребностей бюджетов городских и сельских поселений, входящих в состав Октябрьского района может осуществляться исходя из численности населения каждого муниципального образования, площади муниципальных дорог каждого муниципального образования, площади муниципального жилищного фонда каждого муниципального образования.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населения, используемая для расчета оценки расходных потребностей бюджетов городских и сельских поселений, входящих в состав Октябрьского района, принимается по данным органов государственной статистики по состоянию на 1 января текущего года.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 оценка стоимости расходных потребностей бюджетов городских и сельских поселений, входящих в состав Октябрьского района определяется Комитетом по управлению муниципальными финансами администрации Октябрьского района по разделам функциональной классификации расходов бюджета в соответствии с Приказом Министерства Финансов Российской Федерации от 01.07.2013 № 65н «Об утверждении  Указаний о порядке применения бюджетной классификации Российской Федерации».</w:t>
      </w:r>
      <w:proofErr w:type="gramEnd"/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01 «Общегосударственные вопросы»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0102 «Функционирование высшего должностного лица субъекта Российской Федерации и муниципального образования».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по подразделу 0102, 0104 (на содержание органов местного самоуправления) определяются на очередной финансовый год, исходя из расчета бюджетных ассигнований, доведенных на 2017 год на указанные цели.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0113 «Другие общегосударственные вопросы»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работ по паспортизации муниципального имущества определяются по удельному 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весу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паспортизированного имущества муниципального образования Октябрьский район,  исходя из общего объема средств, выделяемых на паспортизацию имущества на текущий финансовый год.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выполнение других обязательств государства осуществляется из расчета бюджетных ассигнований, предусмотренных на содержание аппарата управления и муниципального имущества в первоначальном бюджете поселения по состоянию на 1 января текущего года.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организацию и проведение выборов глав городских и сельских поселений, депутатов в представительные органы местного самоуправления осуществляются по предоставленным расчетам избирательных комиссий муниципальных образований в соответствии с законами Ханты-Мансийского автономного округа-Югры  от 18.06.2003 № 33-оз «О выборах глав муниципальных образований в Ханты-Мансийском автономном округе-Югре населением», от 30.09.2011 № 81-оз «О выборах депутатов представительного органа муниципального образования в Ханты-Мансийском автономном округе-Югре».</w:t>
      </w:r>
      <w:proofErr w:type="gramEnd"/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налога на имущество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          «О налоге на имущество организаций»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Раздел 02 «Национальная оборона»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подраздел 0203 «Мобилизационная и вневойсковая подготовка»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распределению субвенции между администрациями поселений на осуществление первичного воинского учета на территориях, где отсутствуют военные комиссариаты, в соответствии с законом Ханты-Мансийского автономного округа-Югры от 20.12.2007 № 180-оз «О методике расчета размера и распределения субвенций между бюджетами муниципальных районов, городских округов на осуществление первичного воинского учета на территориях, где отсутствуют военные комиссариаты, и наделении органов местного самоуправления муниципальных районов отдельными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полномочиями по расчету и предоставлению указанных субвенций бюджетам поселений» предоставляет Военный комиссариат Ханты-Мансийского автономного округ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Югры, исходя из доведенного объема вышеуказанной субвенции муниципальному образованию на очередной финансовый год . 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03 «Национальная безопасность и правоохранительная деятельность»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0304 «Органы юстиции»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proofErr w:type="gramStart"/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Расчеты по распределению субвенции между администрациями поселений на осуществление  полномочий по государственной регистрации актов  гражданского состояния осуществляются на основании закона ХМАО-Югры от 30.09.2008 № 91-оз     «</w:t>
      </w:r>
      <w:r w:rsidRPr="005F62CE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государственной регистрации актов гражданского состояния» и на основании предоставленной информации отдела ЗАГС администрации Октябрьского района о количестве произведенных администрациями поселений актов</w:t>
      </w:r>
      <w:proofErr w:type="gramEnd"/>
      <w:r w:rsidRPr="005F62CE">
        <w:rPr>
          <w:rFonts w:ascii="Times New Roman" w:hAnsi="Times New Roman" w:cs="Times New Roman"/>
          <w:sz w:val="24"/>
          <w:szCs w:val="24"/>
        </w:rPr>
        <w:t xml:space="preserve"> гражданского состояния </w:t>
      </w:r>
      <w:proofErr w:type="gramStart"/>
      <w:r w:rsidRPr="005F62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F62CE">
        <w:rPr>
          <w:rFonts w:ascii="Times New Roman" w:hAnsi="Times New Roman" w:cs="Times New Roman"/>
          <w:sz w:val="24"/>
          <w:szCs w:val="24"/>
        </w:rPr>
        <w:t xml:space="preserve"> истекшие 9 месяцев текущего финансового года.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 0309 «Защита населения и территории от чрезвычайных ситуаций природного и  техногенного характера, гражданская оборона»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 участие в предупреждении и ликвидации последствий чрезвычайных ситуаций определяются 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численности населения городского поселения и составляют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37,41 руб. на одного жителя.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стоимости содержания пожарных резервуаров, находящихся в собственности муниципального образования  на одну емкость составляет 105 </w:t>
      </w:r>
      <w:proofErr w:type="spell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Расходы на устройство противопожарных разрывов </w:t>
      </w: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распределяются в соответствии с  информацией, предоставленной отделом гражданской защиты населения администрации Октябрьского района на основании поступивших ходатайств администраций городских и сельских поселений о необходимости проведения данных работ в очередном финансовом году.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04 «Национальная экономика»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0408 «Транспорт»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предоставление транспортных услуг населению и организацию транспортного обслуживания населения по </w:t>
      </w:r>
      <w:proofErr w:type="spell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внутрипоселковым</w:t>
      </w:r>
      <w:proofErr w:type="spell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в границах Октябрьского района осуществляются из расчета бюджетных ассигнований, определенных в первоначальном бюджете поселения по состоянию на 1 января текущего года.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подраздел 0409 «Дорожное хозяйство»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автомобильных дорог местного значения в границах населенных пунктов, а также по осуществлению иных полномочий в области использования автомобильных дорог и осуществлению дорожной деятельности определяются в размере планового объема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подлежащие зачислению в бюджет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по разбивке предоставленной Департаментом финансов ХМАО-Югры.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обустройство пешеходных переходов вблизи образовательных учреждений распределяются на основании ходатайств администраций городских и сельских поселений в целях приведения в соответствие с требованиями национальных стандартов по обустройству пешеходных переходов.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0410 «Связь  и информатика»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подразделу (на компьютерные программы, информатизацию, интернет и </w:t>
      </w:r>
      <w:proofErr w:type="spell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аппарату управления осуществляются из расчета бюджетных ассигнований, определенных в первоначальном бюджете поселения по состоянию на 1 января текущего года.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0412 «Другие вопросы в области национальной экономики»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(на мероприятия по землеустройству и землепользованию) осуществляются по предоставленным расчетам Комитета по управлению муниципальной собственностью администрации Октябрьского района в разрезе городских и сельских поселений, входящих в состав Октябрьского района.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05 «Жилищно-коммунальное хозяйство»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0501 «Жилищное хозяйство»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Расходы на капитальный ремонт муниципального жилищного фонда определяются исходя из площади муниципального жилищного фонда муниципального образования и стоимости одного квадратного метра в размере 12 руб. в месяц.    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0502 «Коммунальное хозяйство»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Расходы на проведение мероприятий по подготовке к осенне-зимнему периоду составляют 5 процентов от объема выделенных из бюджета автономного округа субсидий на реконструкцию, расширение, модернизацию, строительство и капитальный ремонт объектов коммунального комплекса.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- подраздел 0503 «Благоустройство»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 по внешнему благоустройству определяются 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численности населения поселения  и составляют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размере 700 руб. на одного жителя.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дебаркадеров определяются исходя из количества дебаркадеров, находящихся в поселении и составляют 150 </w:t>
      </w:r>
      <w:proofErr w:type="spell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вертолетных площадок определяется исходя из заработной платы рабочего  0,5 ставки величины прожиточного минимума, начисления на фонд оплаты труда в размере 26.2% и прочих расходов (отопление, освещение, уборка снега и т.д.) от количества площадок, находящихся в поселении и составляют 30 </w:t>
      </w:r>
      <w:proofErr w:type="spell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мероприятий по обустройству мест  размещения твердых бытовых отходов составляют 5 руб. на </w:t>
      </w:r>
      <w:proofErr w:type="spell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</w:t>
      </w:r>
      <w:proofErr w:type="spell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свалки.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мероприятий по отлову и содержанию безнадзорных животных, обитающих на территории поселения определяются 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численности населения поселения и составляют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3000 </w:t>
      </w:r>
      <w:proofErr w:type="spell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</w:t>
      </w:r>
      <w:proofErr w:type="spell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3000 </w:t>
      </w:r>
      <w:proofErr w:type="spell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 </w:t>
      </w:r>
      <w:proofErr w:type="spell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proofErr w:type="gramStart"/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Расходы на приобретение специализированной техники распределяются в соответствии с  информацией, предоставленной Управлением жилищно-коммунального хозяйства и строительства администрации Октябрьского района на основании поступивших заявок и предложений от муниципальных предприятий жилищно-коммунального хозяйства, администраций городских и сельских поселений о приобретении специальной техники, работ по подготовке инженерной инфраструктуры жилищно-коммунального комплекса в условиях эксплуатации в осенне-зимний период и пополнения аварийно-технического запаса Октябрьского района.    </w:t>
      </w:r>
      <w:proofErr w:type="gramEnd"/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Раздел 07 «Образование»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- </w:t>
      </w:r>
      <w:r w:rsidRPr="005F62C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подраздел 0707 «</w:t>
      </w: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Молодежная политика и оздоровление детей»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мероприятий по работе с детьми и молодежью определяются 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численности населения поселения и составляют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4,44 руб. на одного жителя.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08 «Культура и кинематография» 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подраздел 0801</w:t>
      </w: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«Культура»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функционирование учреждений культуры: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заработную плату,  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труда и остальные расходы осуществляются из расчета уточненных бюджетных ассигнований текущего финансового года по состоянию на 01.01.2017 года.     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культурно-массовые мероприятия определяются исходя из численности населения поселения в размере 18,75 руб. на одного жителя.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мероприятий по «Старшему поколению» определяются на основании расчетов, предоставленных общественной организацией «Октябрьский районный Совет ветеранов».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          «О налоге на имущество организаций»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10 «Социальная политика»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1001 «Пенсионное обеспечение»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пенсионное обеспечение муниципальных служащих определяются в соответствии с нормативными правовыми актами принятыми органами местного самоуправления поселений.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Раздел 11 «Физическая культура  и  спорт»</w:t>
      </w:r>
    </w:p>
    <w:p w:rsidR="005F62CE" w:rsidRPr="005F62CE" w:rsidRDefault="005F62CE" w:rsidP="005F62C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F62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- подраздел 1101 «Физическая культура» 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функционирование учреждений физической культуры и спорта:      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заработную плату, </w:t>
      </w:r>
      <w:proofErr w:type="gramStart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</w:t>
      </w:r>
      <w:proofErr w:type="gramEnd"/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труда и остальные расходы осуществляются из расчета уточненных бюджетных ассигнований текущего финансового года по состоянию на 01.01.2017 года.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налога на имущества организаций рассчитываются исходя из ставки 2,2 % от среднегодовой стоимости имущества, признаваемого объектом налогообложения, в соответствии с Законом ХМАО-Югры от 29.11.2010 № 190-оз           «О налоге на имущество организаций»</w:t>
      </w:r>
    </w:p>
    <w:p w:rsidR="005F62CE" w:rsidRPr="005F62CE" w:rsidRDefault="005F62CE" w:rsidP="005F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мероприятия по физической культуре и спорту определяются исходя из численности населения поселения в размере 18,72 руб. на одного жителя.</w:t>
      </w: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CE" w:rsidRPr="005F62CE" w:rsidRDefault="005F62CE" w:rsidP="005F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C9" w:rsidRDefault="00A50FC9"/>
    <w:sectPr w:rsidR="00A5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CE"/>
    <w:rsid w:val="005F62CE"/>
    <w:rsid w:val="00A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2221</Words>
  <Characters>12666</Characters>
  <Application>Microsoft Office Word</Application>
  <DocSecurity>0</DocSecurity>
  <Lines>105</Lines>
  <Paragraphs>29</Paragraphs>
  <ScaleCrop>false</ScaleCrop>
  <Company>diakov.net</Company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/>
  <cp:revision>1</cp:revision>
  <dcterms:created xsi:type="dcterms:W3CDTF">2018-05-08T08:28:00Z</dcterms:created>
</cp:coreProperties>
</file>