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D6" w:rsidRDefault="009B11D6"/>
    <w:p w:rsidR="009B11D6" w:rsidRPr="009B11D6" w:rsidRDefault="009B11D6" w:rsidP="009B11D6">
      <w:pPr>
        <w:tabs>
          <w:tab w:val="left" w:pos="7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tabs>
          <w:tab w:val="left" w:pos="7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357B62" wp14:editId="4DCB4A0C">
            <wp:simplePos x="0" y="0"/>
            <wp:positionH relativeFrom="column">
              <wp:posOffset>2558415</wp:posOffset>
            </wp:positionH>
            <wp:positionV relativeFrom="paragraph">
              <wp:posOffset>-310515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1D6" w:rsidRPr="009B11D6" w:rsidRDefault="009B11D6" w:rsidP="009B11D6">
      <w:pPr>
        <w:tabs>
          <w:tab w:val="left" w:pos="7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  <w:gridCol w:w="81"/>
      </w:tblGrid>
      <w:tr w:rsidR="009B11D6" w:rsidRPr="009B11D6" w:rsidTr="00F438E7">
        <w:trPr>
          <w:trHeight w:hRule="exact" w:val="1154"/>
        </w:trPr>
        <w:tc>
          <w:tcPr>
            <w:tcW w:w="9828" w:type="dxa"/>
            <w:gridSpan w:val="3"/>
          </w:tcPr>
          <w:p w:rsidR="009B11D6" w:rsidRPr="009B11D6" w:rsidRDefault="009B11D6" w:rsidP="009B11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Октябрьского района</w:t>
            </w:r>
          </w:p>
          <w:p w:rsidR="009B11D6" w:rsidRPr="009B11D6" w:rsidRDefault="009B11D6" w:rsidP="009B11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9B11D6" w:rsidRPr="009B11D6" w:rsidRDefault="009B11D6" w:rsidP="009B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МУНИЦИПАЛЬНЫМИ ФИНАНСАМИ</w:t>
            </w:r>
          </w:p>
          <w:p w:rsidR="009B11D6" w:rsidRPr="009B11D6" w:rsidRDefault="009B11D6" w:rsidP="009B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B11D6" w:rsidRPr="009B11D6" w:rsidRDefault="009B11D6" w:rsidP="009B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B11D6" w:rsidRPr="009B11D6" w:rsidRDefault="009B11D6" w:rsidP="009B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ПРИКАЗ</w:t>
            </w:r>
          </w:p>
          <w:p w:rsidR="009B11D6" w:rsidRPr="009B11D6" w:rsidRDefault="009B11D6" w:rsidP="009B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1D6" w:rsidRPr="009B11D6" w:rsidRDefault="009B11D6" w:rsidP="009B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1D6" w:rsidRPr="009B11D6" w:rsidRDefault="009B11D6" w:rsidP="009B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9B11D6" w:rsidRPr="009B11D6" w:rsidTr="00F438E7">
        <w:trPr>
          <w:gridAfter w:val="1"/>
          <w:wAfter w:w="81" w:type="dxa"/>
          <w:trHeight w:hRule="exact" w:val="80"/>
        </w:trPr>
        <w:tc>
          <w:tcPr>
            <w:tcW w:w="9747" w:type="dxa"/>
            <w:gridSpan w:val="2"/>
          </w:tcPr>
          <w:p w:rsidR="009B11D6" w:rsidRPr="009B11D6" w:rsidRDefault="009B11D6" w:rsidP="009B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9B11D6" w:rsidRPr="009B11D6" w:rsidRDefault="009B11D6" w:rsidP="009B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B11D6" w:rsidRPr="009B11D6" w:rsidTr="00F438E7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9B11D6" w:rsidRPr="009B11D6" w:rsidRDefault="0079771A" w:rsidP="009B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____» __________  2018</w:t>
            </w:r>
            <w:r w:rsidR="009B11D6"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</w:t>
            </w:r>
          </w:p>
          <w:p w:rsidR="009B11D6" w:rsidRPr="009B11D6" w:rsidRDefault="009B11D6" w:rsidP="009B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9B11D6" w:rsidRPr="009B11D6" w:rsidRDefault="009B11D6" w:rsidP="009B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№ </w:t>
            </w:r>
            <w:r w:rsidR="0079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изменений в Порядок определения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расчетных расходных  потребностей бюджетов</w:t>
      </w: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и сельских поселений, входящих  в состав 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Октябрьского района, </w:t>
      </w:r>
      <w:proofErr w:type="gramStart"/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приказом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Комитета по управлению муниципальными финансами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 Октябрьского района от 15.10.2012 № 89</w:t>
      </w: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1. Внести изменения в Порядок определения  расчетных расходных  потребностей бюджетов городских и сельских поселений, входящих  в состав Октябрьского района, утвержденный приказом Комитета по управлению муниципальными финансами администрации Октябрьского района от 15.10.2012 № 89, изложив его в новой редакции, согласно приложению.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2. Настоящий приказ </w:t>
      </w:r>
      <w:proofErr w:type="gramStart"/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вступает в силу после его подписания и применяется</w:t>
      </w:r>
      <w:proofErr w:type="gramEnd"/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при формировании бюджета муниципального образования Октябрьский район на очередной финансовый год и плановый период.  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Довести настоящий приказ до администраций городских и сельских поселений, входящих в состав Октябрьского района.</w:t>
      </w:r>
    </w:p>
    <w:p w:rsidR="009B11D6" w:rsidRPr="009B11D6" w:rsidRDefault="009B11D6" w:rsidP="009B11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приказа возложить на заведующего бюджетным отделом Комитета по управлению муниципальными финансами администраци</w:t>
      </w:r>
      <w:r w:rsidR="0079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Октябрьского района </w:t>
      </w:r>
      <w:proofErr w:type="spellStart"/>
      <w:r w:rsidR="007977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Горенкову</w:t>
      </w:r>
      <w:proofErr w:type="spellEnd"/>
      <w:r w:rsidR="0079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9B11D6" w:rsidRPr="009B11D6" w:rsidRDefault="009B11D6" w:rsidP="009B11D6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Н.Г. Куклина</w:t>
      </w:r>
    </w:p>
    <w:p w:rsidR="009B11D6" w:rsidRPr="009B11D6" w:rsidRDefault="009B11D6" w:rsidP="009B11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B11D6" w:rsidRPr="009B11D6" w:rsidRDefault="009B11D6" w:rsidP="009B11D6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Юридическим отделом                                                         </w:t>
      </w:r>
    </w:p>
    <w:p w:rsidR="009B11D6" w:rsidRPr="009B11D6" w:rsidRDefault="009B11D6" w:rsidP="009B11D6">
      <w:pPr>
        <w:tabs>
          <w:tab w:val="left" w:pos="7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Л.Ю. Даниленко</w:t>
      </w: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79771A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79771A" w:rsidRDefault="0079771A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1A" w:rsidRDefault="0079771A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1A" w:rsidRDefault="0079771A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1A" w:rsidRDefault="0079771A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Лист  рассылки:</w:t>
      </w: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управлению муниципальными финансами от «___»______</w:t>
      </w:r>
      <w:r w:rsidR="0079771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приказов – 1 экз.</w:t>
      </w: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отдел – 1 экз.</w:t>
      </w: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Степанович </w:t>
      </w:r>
      <w:r w:rsidR="007977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</w:t>
      </w:r>
      <w:proofErr w:type="spellStart"/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</w:p>
    <w:p w:rsidR="009B11D6" w:rsidRPr="009B11D6" w:rsidRDefault="009B11D6" w:rsidP="009B11D6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 городских и сельских поселений - 11</w:t>
      </w:r>
    </w:p>
    <w:p w:rsidR="009B11D6" w:rsidRPr="009B11D6" w:rsidRDefault="009B11D6" w:rsidP="009B11D6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Итого-  14 экз.</w:t>
      </w:r>
    </w:p>
    <w:p w:rsidR="009B11D6" w:rsidRPr="009B11D6" w:rsidRDefault="009B11D6" w:rsidP="009B11D6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</w:t>
      </w:r>
    </w:p>
    <w:p w:rsidR="009B11D6" w:rsidRPr="009B11D6" w:rsidRDefault="009B11D6" w:rsidP="009B11D6">
      <w:pPr>
        <w:tabs>
          <w:tab w:val="left" w:pos="774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муниципальными финансами                                                  Степанович М.В.                     </w:t>
      </w:r>
    </w:p>
    <w:p w:rsidR="009B11D6" w:rsidRPr="009B11D6" w:rsidRDefault="009B11D6" w:rsidP="009B11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8A" w:rsidRPr="009B11D6" w:rsidRDefault="00D0158A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8A" w:rsidRPr="009B11D6" w:rsidRDefault="00D0158A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B11D6" w:rsidRPr="009B11D6" w:rsidRDefault="009B11D6" w:rsidP="009B11D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к Приказу Комитета по управлению      </w:t>
      </w:r>
    </w:p>
    <w:p w:rsidR="009B11D6" w:rsidRPr="009B11D6" w:rsidRDefault="009B11D6" w:rsidP="009B11D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муниципальными финансами</w:t>
      </w:r>
    </w:p>
    <w:p w:rsidR="009B11D6" w:rsidRPr="009B11D6" w:rsidRDefault="009B11D6" w:rsidP="009B11D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администрации Октябрьского района</w:t>
      </w:r>
    </w:p>
    <w:p w:rsidR="009B11D6" w:rsidRPr="009B11D6" w:rsidRDefault="009B11D6" w:rsidP="009B11D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B1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</w:t>
      </w:r>
      <w:r w:rsidR="00797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«_____»  _________</w:t>
      </w:r>
      <w:r w:rsidRPr="009B1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97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2018</w:t>
      </w:r>
      <w:r w:rsidRPr="009B1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№ </w:t>
      </w:r>
      <w:r w:rsidR="00797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</w:p>
    <w:p w:rsidR="009B11D6" w:rsidRPr="009B11D6" w:rsidRDefault="009B11D6" w:rsidP="009B11D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B11D6" w:rsidRPr="009B11D6" w:rsidRDefault="009B11D6" w:rsidP="009B11D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B11D6" w:rsidRPr="009B11D6" w:rsidRDefault="009B11D6" w:rsidP="009B11D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9B1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9B11D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определения  расчетных  расходных потребностей бюджетов </w:t>
      </w:r>
    </w:p>
    <w:p w:rsidR="009B11D6" w:rsidRPr="009B11D6" w:rsidRDefault="009B11D6" w:rsidP="009B11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 и сельских поселений, входящих в состав</w:t>
      </w:r>
    </w:p>
    <w:p w:rsidR="009B11D6" w:rsidRPr="009B11D6" w:rsidRDefault="009B11D6" w:rsidP="009B11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Октябрьского района  </w:t>
      </w:r>
    </w:p>
    <w:p w:rsidR="009B11D6" w:rsidRPr="009B11D6" w:rsidRDefault="009B11D6" w:rsidP="009B11D6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8"/>
          <w:lang w:eastAsia="ru-RU"/>
        </w:rPr>
      </w:pP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расходов бюджета муниципального образования Октябрьский район  (далее – бюджета района), городских и сельских поселений, входящих в состав  Октябрьского района (далее - поселения) осуществляется в соответствии с расходными обязательствами, обусловленными законодательством Российской Федерации, разграничением полномочий, исполнение которых осуществляется за счет средств местных бюджетов.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стоимости расходных потребностей бюджетов городских и сельских поселений, входящих в состав Октябрьского района может осуществляться исходя из численности населения каждого муниципального образования, площади муниципальных дорог каждого муниципального образования, площади муниципального жилищного фонда каждого муниципального образования.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населения, используемая для расчета оценки расходных потребностей бюджетов городских и сельских поселений, входящих в состав Октябрьского района, принимается по данным органов государственной статистики по состоянию на 1 января текущего года.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 оценка стоимости расходных потребностей бюджетов городских и сельских поселений, входящих в состав Октябрьского района определяется Комитетом по управлению муниципальными финансами администрации Октябрьского района по разделам функциональной классификации расходов бюджета в соответствии с Приказом Министерства Финансов Российской Федерации от 01.07.2013 № 65н «Об утверждении  Указаний о порядке применения бюджетной классификации Российской Федерации».</w:t>
      </w:r>
      <w:proofErr w:type="gramEnd"/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01 «Общегосударственные вопросы»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0102 «Функционирование высшего должностного лица субъекта Российской Федерации и муниципального образования».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 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подразделу 0102, 0104 (на содержание органов местного самоуправления) определяются на очередной финансовый год, исходя из расчета бюджетных </w:t>
      </w:r>
      <w:r w:rsidR="007977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доведенных на 2018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указанные цели</w:t>
      </w:r>
      <w:r w:rsidR="00797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индексации 4%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0113 «Другие общегосударственные вопросы»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работ по паспортизации муниципального имущества определяются по удельному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весу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паспортизированного имущества муниципального образования Октябрьский район,  исходя из общего объема средств, выделяемых на паспортизацию имущества на текущий финансовый год.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выполнение других обязательств государства осуществляется из расчета бюджетных ассигнований, предусмотренных на содержание аппарата управления и муниципального имущества в первоначальном бюджете поселения по состоянию на 1 января текущего года. 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организацию и проведение выборов глав городских и сельских поселений, депутатов в представительные органы местного самоуправления осуществляются по предоставленным расчетам </w:t>
      </w:r>
      <w:r w:rsidR="00665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 муниципального образования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законами Ханты-Мансийского автономного округа-Югры  от 18.06.2003 № 33-оз «О выборах глав муниципальных образований в Ханты-Мансийском автономном округе-Югре населением», от 30.09.2011 № 81-оз «О выборах депутатов представительного органа муниципального образования в Ханты-Мансийском автономном округе-Югре».</w:t>
      </w:r>
      <w:proofErr w:type="gramEnd"/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уплату налога на имущество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           «О налоге на имущество организаций»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Раздел 02 «Национальная оборона»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подраздел 0203 «Мобилизационная и вневойсковая подготовка»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распределению субвенции между администрациями поселений на осуществление первичного воинского учета на территориях, где отсутствуют военные комиссариаты, в соответствии с законом Ханты-Мансийского автономного округа-Югры от 20.12.2007 № 180-оз «О методике расчета размера и распределения субвенций между бюджетами муниципальных районов, городских округов на осуществление первичного воинского учета на территориях, где отсутствуют военные комиссариаты, и наделении органов местного самоуправления муниципальных районов отдельными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полномочиями по расчету и предоставлению указанных субвенций бюджетам поселений» предоставляет Военный комиссариат Ханты-Мансийского автономного округ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Югры, исходя из доведенного объема вышеуказанной субвенции муниципальному образованию на очередной финансовый год . 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03 «Национальная безопасность и правоохранительная деятельность»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0304 «Органы юстиции»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proofErr w:type="gramStart"/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Расчеты по распределению субвенции между администрациями поселений на осуществление  полномочий по государственной регистрации актов  гражданского состояния осуществляются на основании закона ХМАО-Югры от 30.09.2008 № 91-оз     «</w:t>
      </w:r>
      <w:r w:rsidRPr="009B11D6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государственной регистрации актов гражданского состояния» и на основании предоставленной информации отдела ЗАГС администрации Октябрьского района о количестве произведенных администрациями поселений актов</w:t>
      </w:r>
      <w:proofErr w:type="gramEnd"/>
      <w:r w:rsidRPr="009B11D6">
        <w:rPr>
          <w:rFonts w:ascii="Times New Roman" w:hAnsi="Times New Roman" w:cs="Times New Roman"/>
          <w:sz w:val="24"/>
          <w:szCs w:val="24"/>
        </w:rPr>
        <w:t xml:space="preserve"> гражданского состояния </w:t>
      </w:r>
      <w:proofErr w:type="gramStart"/>
      <w:r w:rsidRPr="009B11D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11D6">
        <w:rPr>
          <w:rFonts w:ascii="Times New Roman" w:hAnsi="Times New Roman" w:cs="Times New Roman"/>
          <w:sz w:val="24"/>
          <w:szCs w:val="24"/>
        </w:rPr>
        <w:t xml:space="preserve"> истекшие 9 месяцев текущего финансового года.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0309 «Защита населения и территории от чрезвычайных ситуаций природного и  техногенного характера, гражданская оборона»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 участие в предупреждении и ликвидации последствий чрезвычайных ситуаций определяются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численности населения городского поселения и составляют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37,41 руб. на одного жителя.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стоимости содержания пожарных резервуаров, находящихся в собственности муниципального образования  на одну емкость составляет 105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Расходы на устройство противопожарных разрывов </w:t>
      </w: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распределяются в соответствии с  информацией, предоставленной отделом гражданской защиты населения администрации Октябрьского района на основании поступивших ходатайств администраций городских и сельских поселений о необходимости проведения данных работ в очередном финансовом году. 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04 «Национальная экономика»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подраздел 0408 «Транспорт»</w:t>
      </w:r>
    </w:p>
    <w:p w:rsidR="00665889" w:rsidRDefault="009B11D6" w:rsidP="00665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предоставление транспортных услуг населению и организацию транспортного обслуживания населения по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внутрипоселковым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в границах Октябрьского района осуществляются из расчета бюджетных ассигнований, определенных в первоначальном бюджете поселения по состоянию на 1 января текущего года</w:t>
      </w:r>
      <w:r w:rsidR="006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поселениям, в которых стоимость проезда установлена </w:t>
      </w:r>
      <w:r w:rsidR="006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предельными </w:t>
      </w:r>
      <w:r w:rsidR="006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максимальными </w:t>
      </w:r>
      <w:r w:rsidR="00665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тарифами</w:t>
      </w:r>
      <w:r w:rsidR="006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перевозки пассажиров и багажа автомобильным транспортом, установленными администрацией Октябрьского района (в границах</w:t>
      </w:r>
      <w:proofErr w:type="gramEnd"/>
      <w:r w:rsidR="006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сельского поселения, в границах двух и более поселений, находящихся в границах Октябрьского района) и Региональной службой по тарифам Ханты-Мансийского автономного округа-Югры (в границах городских поселений).</w:t>
      </w:r>
      <w:r w:rsidR="0066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подраздел 0409 «Дорожное хозяйство»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автомобильных дорог местного значения в границах населенных пунктов, а также по осуществлению иных полномочий в области использования автомобильных дорог и осуществлению дорожной деятельности определяются в размере планового объема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подлежащие зачислению в бюджет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по разбивке предоставленной Департаментом финансов </w:t>
      </w:r>
      <w:r w:rsidR="00DD4E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</w:t>
      </w:r>
      <w:r w:rsidR="00DD4E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ийского автономного округа-Югры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обустройство пешеходных переходов вблизи образовательных учреждений распределяются на основании ходатайств администраций городских и сельских поселений в целях приведения в соответствие с требованиями национальных стандартов по обустройству пешеходных переходов.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подраздел 0410 «Связь  и информатика»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данному подразделу (на компьютерные программы, информатизацию, интернет и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аппарату управления осуществляются из расчета бюджетных ассигнований, определенных в первоначальном бюджете поселения по состоянию на 1 января текущего года.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подраздел 0412 «Другие вопросы в области национальной экономики»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подразделу (на мероприятия по землеустройству и землепользованию) осуществляются по предоставленным расчетам Комитета по управлению муниципальной собственностью администрации Октябрьского района в разрезе городских поселений, входящих в состав Октябрьского района.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05 «Жилищно-коммунальное хозяйство»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подраздел 0501 «Жилищное хозяйство»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proofErr w:type="gramStart"/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Расходы на капитальный ремонт муниципального жилищного фонда определяются исходя из площади муниципального жилищного фонда муниципального образования и стоимости одного квадратного метра в размере 12</w:t>
      </w:r>
      <w:r w:rsidR="00665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руб. в месяц, за исключением городских поселений </w:t>
      </w:r>
      <w:proofErr w:type="spellStart"/>
      <w:r w:rsidR="00665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Талинка</w:t>
      </w:r>
      <w:proofErr w:type="spellEnd"/>
      <w:r w:rsidR="00665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Октябрьское, сельского поселения </w:t>
      </w:r>
      <w:proofErr w:type="spellStart"/>
      <w:r w:rsidR="00665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Унъюган</w:t>
      </w:r>
      <w:proofErr w:type="spellEnd"/>
      <w:r w:rsidR="00D14E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которым определяю</w:t>
      </w:r>
      <w:r w:rsidR="00665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тся как разница между фактически понесенными затратами по оплате за энергоресурсы и оплате объема энергоресурсов</w:t>
      </w:r>
      <w:r w:rsidR="00D14E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учтенных</w:t>
      </w:r>
      <w:r w:rsidR="00665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тарифах на услуги тепло-, водоснабжения, водоотведения</w:t>
      </w:r>
      <w:proofErr w:type="gramEnd"/>
      <w:r w:rsidR="00665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Региональной службой по тарифам Ханты-Мансийского автономного округа-Югры. </w:t>
      </w: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подраздел 0502 «Коммунальное хозяйство»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Расходы на проведение мероприятий по подготовке к осе</w:t>
      </w:r>
      <w:r w:rsidR="003C72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нне-зимнему периоду составляют 10</w:t>
      </w: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процентов от объема выделенных из бюджета автономного округа субсидий на реконструкцию, расширение, модернизацию, строительство и капитальный ремонт объектов коммунального комплекса.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- подраздел 0503 «Благоустройство»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 по внешнему благоустройству определяются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численности населения поселения  и составляют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размере 700 руб. на одного жителя.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дебаркадеров определяются исходя из количества дебаркадеров, находящихся в поселении и составляют 150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единицу.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вертолетных площадок определяется исходя из заработной платы рабочего  0,5 ставки величины прожиточного минимума, начисления на фонд оплаты труда в размере 26.2% и прочих расходов (отопление, освещение, уборка снега и т.д.) от количества площадок, нахо</w:t>
      </w:r>
      <w:r w:rsidR="003C721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в поселении и составляют в размере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единицу.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мероприятий по обустройству мест  размещения твердых бытовых отходов составляют 5 руб. на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свалки.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мероприятий по отлову и содержанию безнадзорных животных, обитающих на территории поселения определяются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численности населения поселения и составляют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3000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3000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 </w:t>
      </w:r>
      <w:proofErr w:type="spell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Расходы на приобретение специализированной техники распределяются в соответствии с  информацией, предоставленной Управлением жилищно-коммунального хозяйства и строительства администрации Октябрьского района на основании поступивших заяво</w:t>
      </w:r>
      <w:r w:rsidR="003C72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и предложений от </w:t>
      </w: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предприятий жилищно-коммунального хозяйства, администраций городских и сельских поселений о пр</w:t>
      </w:r>
      <w:r w:rsidR="003C72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иобретении специальной техники.</w:t>
      </w:r>
    </w:p>
    <w:p w:rsidR="003C721E" w:rsidRPr="009B11D6" w:rsidRDefault="003C721E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Раздел 07 «Образование»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- </w:t>
      </w:r>
      <w:r w:rsidRPr="009B11D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подраздел 0707 «</w:t>
      </w: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Молодежная политика и оздоровление детей»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мероприятий по работе с детьми и молодежью определяются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численности населения поселения и составляют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4,44 руб. на одного жителя. 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08 «Культура и кинематография» 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подраздел 0801</w:t>
      </w: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«Культура»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функционирование учреждений культуры:</w:t>
      </w:r>
    </w:p>
    <w:p w:rsidR="0050398B" w:rsidRPr="0050398B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заработную плату, 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труда</w:t>
      </w:r>
      <w:r w:rsidR="003C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количества ставок в учреждении по разделу «Культура» и целевого показателя</w:t>
      </w:r>
      <w:r w:rsidR="0050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98B" w:rsidRPr="0050398B">
        <w:rPr>
          <w:rStyle w:val="extended-textshort"/>
          <w:rFonts w:ascii="Times New Roman" w:hAnsi="Times New Roman" w:cs="Times New Roman"/>
          <w:sz w:val="24"/>
          <w:szCs w:val="24"/>
        </w:rPr>
        <w:t xml:space="preserve">средней заработной платы отдельных категорий работников, определенных </w:t>
      </w:r>
      <w:r w:rsidR="0050398B" w:rsidRPr="0050398B">
        <w:rPr>
          <w:rStyle w:val="extended-textshort"/>
          <w:rFonts w:ascii="Times New Roman" w:hAnsi="Times New Roman" w:cs="Times New Roman"/>
          <w:bCs/>
          <w:sz w:val="24"/>
          <w:szCs w:val="24"/>
        </w:rPr>
        <w:t>Указом</w:t>
      </w:r>
      <w:r w:rsidR="0050398B" w:rsidRPr="0050398B">
        <w:rPr>
          <w:rStyle w:val="extended-textshort"/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  <w:r w:rsidR="0050398B" w:rsidRPr="0050398B">
        <w:rPr>
          <w:rStyle w:val="extended-textshort"/>
          <w:rFonts w:ascii="Times New Roman" w:hAnsi="Times New Roman" w:cs="Times New Roman"/>
          <w:sz w:val="24"/>
          <w:szCs w:val="24"/>
        </w:rPr>
        <w:t>;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расходы осуществляются из расчета уточненных бюджетных ассигнований текущего финансового года по состоянию на 01.0</w:t>
      </w:r>
      <w:r w:rsidR="0050398B">
        <w:rPr>
          <w:rFonts w:ascii="Times New Roman" w:eastAsia="Times New Roman" w:hAnsi="Times New Roman" w:cs="Times New Roman"/>
          <w:sz w:val="24"/>
          <w:szCs w:val="24"/>
          <w:lang w:eastAsia="ru-RU"/>
        </w:rPr>
        <w:t>1.2018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    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культурно-массовые мероприятия определяются исходя из численности населения поселения в размере 18,75 руб. на одного жителя. 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мероприятий по «Старшему поколению» определяются на основании расчетов, предоставленных общественной организацией «Октябрьский районный Совет ветеранов». 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уплату налога на имущества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           «О налоге на имущество организаций»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10 «Социальная политика»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подраздел 1001 «Пенсионное обеспечение»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пенсионное обеспечение муниципальных служащих определяются в соответствии с нормативными правовыми актами принятыми органами местного самоуправления поселений.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11 «Физическая культура  и  спорт»</w:t>
      </w:r>
    </w:p>
    <w:p w:rsidR="009B11D6" w:rsidRPr="009B11D6" w:rsidRDefault="009B11D6" w:rsidP="009B11D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11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подраздел 1101 «Физическая культура»  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функционирование учреждений физической культуры и спорта:      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заработную плату, </w:t>
      </w:r>
      <w:proofErr w:type="gramStart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</w:t>
      </w:r>
      <w:proofErr w:type="gramEnd"/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труда и остальные расходы осуществляются из расчета уточненных бюджетных ассигнований текущего финансового года по состоянию на 01.0</w:t>
      </w:r>
      <w:r w:rsid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1.2018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уплату налога на имущества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           «О налоге на имущество организаций»</w:t>
      </w:r>
    </w:p>
    <w:p w:rsidR="009B11D6" w:rsidRPr="009B11D6" w:rsidRDefault="009B11D6" w:rsidP="009B1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мероприятия по физической культуре и спорту определяются исходя из численности населения поселения в размере 18,72 руб. на одного жителя.</w:t>
      </w: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Pr="009B11D6" w:rsidRDefault="009B11D6" w:rsidP="009B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D6" w:rsidRDefault="009B11D6"/>
    <w:sectPr w:rsidR="009B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D6"/>
    <w:rsid w:val="00292E3F"/>
    <w:rsid w:val="003C721E"/>
    <w:rsid w:val="0050398B"/>
    <w:rsid w:val="00665889"/>
    <w:rsid w:val="0079771A"/>
    <w:rsid w:val="007C2750"/>
    <w:rsid w:val="009106FF"/>
    <w:rsid w:val="009B11D6"/>
    <w:rsid w:val="00D0158A"/>
    <w:rsid w:val="00D14EFD"/>
    <w:rsid w:val="00D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50398B"/>
  </w:style>
  <w:style w:type="paragraph" w:styleId="a3">
    <w:name w:val="Balloon Text"/>
    <w:basedOn w:val="a"/>
    <w:link w:val="a4"/>
    <w:uiPriority w:val="99"/>
    <w:semiHidden/>
    <w:unhideWhenUsed/>
    <w:rsid w:val="0091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50398B"/>
  </w:style>
  <w:style w:type="paragraph" w:styleId="a3">
    <w:name w:val="Balloon Text"/>
    <w:basedOn w:val="a"/>
    <w:link w:val="a4"/>
    <w:uiPriority w:val="99"/>
    <w:semiHidden/>
    <w:unhideWhenUsed/>
    <w:rsid w:val="0091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Степанович</cp:lastModifiedBy>
  <cp:revision>9</cp:revision>
  <cp:lastPrinted>2018-08-21T07:25:00Z</cp:lastPrinted>
  <dcterms:created xsi:type="dcterms:W3CDTF">2018-08-21T03:29:00Z</dcterms:created>
  <dcterms:modified xsi:type="dcterms:W3CDTF">2018-08-21T08:19:00Z</dcterms:modified>
</cp:coreProperties>
</file>