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46" w:rsidRPr="00321A46" w:rsidRDefault="00321A46" w:rsidP="00321A46">
      <w:pPr>
        <w:shd w:val="clear" w:color="auto" w:fill="FFFFFF"/>
        <w:spacing w:before="450" w:after="900" w:line="240" w:lineRule="auto"/>
        <w:outlineLvl w:val="0"/>
        <w:rPr>
          <w:rFonts w:ascii="Montserrat" w:eastAsia="Times New Roman" w:hAnsi="Montserrat" w:cs="Times New Roman"/>
          <w:b/>
          <w:bCs/>
          <w:color w:val="303134"/>
          <w:kern w:val="36"/>
          <w:sz w:val="48"/>
          <w:szCs w:val="48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kern w:val="36"/>
          <w:sz w:val="48"/>
          <w:szCs w:val="48"/>
          <w:lang w:eastAsia="ru-RU"/>
        </w:rPr>
        <w:t>Заявка №2845</w:t>
      </w:r>
    </w:p>
    <w:p w:rsidR="00321A46" w:rsidRPr="00321A46" w:rsidRDefault="00321A46" w:rsidP="00321A46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0" w:name="compete"/>
      <w:bookmarkEnd w:id="0"/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Сведения о конкурсе: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Название конкурса</w:t>
      </w:r>
    </w:p>
    <w:p w:rsidR="00321A46" w:rsidRPr="00321A46" w:rsidRDefault="00B851E0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hyperlink r:id="rId4" w:history="1">
        <w:r w:rsidR="00321A46" w:rsidRPr="00321A46">
          <w:rPr>
            <w:rFonts w:ascii="Montserrat" w:eastAsia="Times New Roman" w:hAnsi="Montserrat" w:cs="Times New Roman"/>
            <w:color w:val="27348B"/>
            <w:sz w:val="24"/>
            <w:szCs w:val="24"/>
            <w:u w:val="single"/>
            <w:lang w:eastAsia="ru-RU"/>
          </w:rPr>
          <w:t>Региональный конкурс инициативных проектов</w:t>
        </w:r>
      </w:hyperlink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Тип конкурса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Региональный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1" w:name="common"/>
      <w:bookmarkEnd w:id="1"/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Общая характеристика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Наименование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«Обустройство автоматического водоразборного пункта воды питьевого назначения (по электронным ключам) на скважине ул. Мира 69 А».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bookmarkStart w:id="2" w:name="description"/>
      <w:bookmarkEnd w:id="2"/>
      <w:r w:rsidRPr="00321A46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Описание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Адрес и описание места расположения объекта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ул. Мира, 69А, с. Шеркалы, Октябрьский район Ханты-Мансийский автономный округ - Югра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Цель и задачи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Улучшение качества водоснабжения жителей и экстренных служб с.п. Шеркалы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Описание вопроса (проблемы), решение которого имеет приоритетное значение для жителей муниципального образования или его части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В настоящее время на территории с.п. Шеркалы водоснабжение потребителей осуществляется путем подвоза воды автотранспортом (водовозной машиной).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Ресурсоснабжающей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организацией утвержден график подвоза воды, график согласован органом местного самоуправления. Проблема заключается в том, что услуга по подвозу воды оказывается только в определенное время, согласно утвержденного графика, что не всегда удобно потребителям, исходя из различных жизненных ситуаций. Кроме того, Региональной службой по тарифам Ханты-Мансийского автономного округа – Югры, тариф в сфере водоснабжения утвержден, исходя из стадий водоснабжения: подъем, очистка, транспортирование, что позволяет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ресурсоснабжающей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организации отпускать воду по тарифам, включающим только очистку и подъем, минуя при этом тариф на транспортирование (подвоз), а это дешевле на 77,06 % в процентном выражении, а в финансовом на 561,16 рублей за 1 м3 питьевой воды. На сегодняшний день проблема в отпуске воды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ресурсоснабжающей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организацией по тарифам, включающим в себя подъем, очистку, заключается в отсутствии технической возможности отпуска воды (нет водоразборного крана для потребителей). Закачка водовозной машины осуществляется с водонапорной башни, которая расположена в зоне санитарной охраны, куда проезд иного транспорта, а также нахождение посторонних лиц на территории ЗСО запрещено! Установка автоматического водоразборного пункта воды на границе зон санитарной охраны позволит потребителям в любое время иметь доступ к водоснабжению, причем по тарифам значительно ниже, чем тариф на подвоз воды. У экстренных служб (пожарная машина) дополнительно появится ускоренный доступ к водоснабжению.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Мероприятия по реализации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1. Прокладка водовода от водонапорной башни до автоматического водоразборного пункта воды (с греющим кабелем).</w:t>
      </w: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2. Приобретение автоматического водоразборного пункта воды.</w:t>
      </w: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3. Монтаж автоматического водоразборного пункта воды.</w:t>
      </w: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4. Внедрение программного обеспечения в существующий учетный процесс воды.</w:t>
      </w: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5. Планировка подъездной площадки перед автоматическим водоразборным пунктом воды.</w:t>
      </w: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>6. Благоустройство площадки при автоматическом водоразборном пункте воды (установка скамейки, урны, информационного стенда).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Доступ потребителей водоснабжения с. Шеркалы к альтернативному, более дешевому способу водоснабжения. Потребность также обусловлена неоднократным обращением потребителей в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ресурсоснабжающую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организацию по вопросу отпуска воды с водонапорной башни.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Планируемые сроки реализации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18.07.2021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Количество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благополучателей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от реализации проекта, человек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720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Расчет необходимых расходов на реализацию инициативного проекта, тыс. рублей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330,0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3" w:name="projectdoc"/>
      <w:bookmarkEnd w:id="3"/>
      <w:proofErr w:type="spellStart"/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Прилагающаяся</w:t>
      </w:r>
      <w:proofErr w:type="spellEnd"/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 xml:space="preserve"> документация и фотографии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 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Прилагающаяся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документация</w:t>
      </w:r>
    </w:p>
    <w:p w:rsidR="00321A46" w:rsidRPr="00321A46" w:rsidRDefault="00B851E0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hyperlink r:id="rId5" w:tgtFrame="_blank" w:history="1">
        <w:r w:rsidR="00321A46" w:rsidRPr="00321A46">
          <w:rPr>
            <w:rFonts w:ascii="Montserrat" w:eastAsia="Times New Roman" w:hAnsi="Montserrat" w:cs="Times New Roman"/>
            <w:color w:val="27348B"/>
            <w:sz w:val="24"/>
            <w:szCs w:val="24"/>
            <w:u w:val="single"/>
            <w:lang w:eastAsia="ru-RU"/>
          </w:rPr>
          <w:t>Презентация Умная колонка.pptx</w:t>
        </w:r>
      </w:hyperlink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Вклад в реализацию инициативного проекта со стороны граждан, индивидуальных предпринимателей и юридических лиц (при наличии)</w:t>
      </w:r>
    </w:p>
    <w:p w:rsidR="00321A46" w:rsidRPr="00B851E0" w:rsidRDefault="00321A46" w:rsidP="00321A46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B851E0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Нефинансовый вклад</w:t>
      </w:r>
    </w:p>
    <w:p w:rsidR="00321A46" w:rsidRPr="00B851E0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граждан, готовых оказать содействие, человек</w:t>
      </w:r>
    </w:p>
    <w:p w:rsidR="00321A46" w:rsidRPr="00B851E0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86</w:t>
      </w:r>
    </w:p>
    <w:p w:rsidR="00321A46" w:rsidRPr="00B851E0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Трудозатраты, </w:t>
      </w:r>
      <w:proofErr w:type="spellStart"/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тыс.рублей</w:t>
      </w:r>
      <w:proofErr w:type="spellEnd"/>
    </w:p>
    <w:p w:rsidR="00321A46" w:rsidRPr="00B851E0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24.260</w:t>
      </w:r>
    </w:p>
    <w:p w:rsidR="00321A46" w:rsidRPr="00B851E0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Участие юридических лиц и индивидуальных предпринимателей на безвозмездной основе в поставке товаров, выполнении работ, оказании услуг.</w:t>
      </w: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</w: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br/>
        <w:t xml:space="preserve">Вклад </w:t>
      </w:r>
      <w:proofErr w:type="spellStart"/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</w:t>
      </w:r>
      <w:proofErr w:type="spellEnd"/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.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B851E0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68,585</w:t>
      </w:r>
      <w:bookmarkStart w:id="4" w:name="_GoBack"/>
      <w:bookmarkEnd w:id="4"/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Финансовый вклад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Объем привлеченных средств, тыс. рублей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24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Доля объема привлеченных средств в общем объеме расходов на реализацию проекта, %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7,3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Бюджет муниципального образования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>Объем средств, тыс. рублей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110.0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Доля объема средств муниципального образования в общем объеме расходов на реализацию проекта, процент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33.5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bookmarkStart w:id="5" w:name="original"/>
      <w:bookmarkEnd w:id="5"/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Сведения об оригинальности/необычности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Сведения об оригинальности/необычности проекта (использование инновационных подходов и технологий в проекте)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Обустройство автоматического водоразборного пункта воды питьевого назначения (по электронным ключам) на скважине ул. Мира 69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Апозволит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обеспечить бесконтактный способ получения питьевой воды в круглосуточном режиме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Сведения об использовании средств массовой информации и других средств информирования населения в процессе отбора проблемы, на решение которой направлена реализация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Использование специальных информационных досок/стендов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Информация о проекте размещена на информационном стенде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Шеркальского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МП ЖКХ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Наличие публикаций в газетах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Газета "Октябрьские вести", тираж от 18.02.2021 г.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Информация по телевидению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Нет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Информация в Интернете, социальных сетях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Сетевое издание "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Оквести.ру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", официальный сайт администрации сельского поселения Шеркалы:http://sherkaly-adm.ru/msu/structure/organyi-mestnogo-samoupravleniya-munitsipalnogo-obrazovaniya-selskoe-poselenie-sherkalyi/administratsiya-selskogo-poseleniya-sherkalyi/obyavleniya/media/2021/2/11/provoditsya-opros-grazhdan-po-podderzhke-proektov-initsiativnogo-byudzhetirovaniya/, официальная страница администрации сельского поселения Шеркалы в социальной сети "Одноклассники": https://ok.ru/profile/573764629203/statuses/153068987935699, : в социальной сети в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instagram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: https://www.instagram.com/p/CLKRIgrBXvI/?igshid=1pnynea2w7n4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Информирование старостой сельского населенного пункта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Нет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Ожидаемые результаты инициативного проекта</w:t>
      </w:r>
    </w:p>
    <w:p w:rsidR="00321A46" w:rsidRPr="00321A46" w:rsidRDefault="00321A46" w:rsidP="00321A46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Социальная эффективность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Число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благополучателей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, человек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340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Число лиц, вовлеченных в реализацию проекта, человек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86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мероприятий, которые можно провести в ходе реализации проекта (при наличии)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0"/>
          <w:szCs w:val="20"/>
          <w:lang w:eastAsia="ru-RU"/>
        </w:rPr>
        <w:t>Экономическая эффективность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Эксплуатационные расходы (в год) на содержание объекта,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тыс.рублей</w:t>
      </w:r>
      <w:proofErr w:type="spellEnd"/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12,0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lastRenderedPageBreak/>
        <w:t xml:space="preserve">Доходы муниципального бюджета (в год) от эксплуатации объекта,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тыс.рублей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(при наличии)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0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Повышение туристической привлекательности города, роста количества туристов, человек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Нет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Количество созданных рабочих мест, человек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Нет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Создание новых бизнесов, единиц</w:t>
      </w:r>
    </w:p>
    <w:p w:rsidR="00321A46" w:rsidRPr="00321A46" w:rsidRDefault="00321A46" w:rsidP="00321A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b/>
          <w:bCs/>
          <w:color w:val="303134"/>
          <w:sz w:val="24"/>
          <w:szCs w:val="24"/>
          <w:lang w:eastAsia="ru-RU"/>
        </w:rPr>
        <w:t>Наличие механизмов эффективной эксплуатации и содержания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Наличие механизмов эффективной эксплуатации и содержания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Эксплуатация и содержание будет осуществляться, за счет тарифной составляющей на водоснабжение,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ресурсоснабжающей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организацией - </w:t>
      </w:r>
      <w:proofErr w:type="spellStart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Шеркальским</w:t>
      </w:r>
      <w:proofErr w:type="spellEnd"/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 xml:space="preserve"> МП ЖКХ МО с.п. Шеркалы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Хозяйствующий субъект, который будет отвечать за эксплуатацию и содержание созданного инициативного проекта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Шеркальское муниципальное предприятие жилищно-коммунальное хозяйство муниципального образования сельское поселение Шеркалы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Указание соответствующих для этого ресурсов, тыс. рублей</w:t>
      </w:r>
    </w:p>
    <w:p w:rsidR="00321A46" w:rsidRPr="00321A46" w:rsidRDefault="00321A46" w:rsidP="00321A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321A46"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  <w:t>12,0</w:t>
      </w:r>
    </w:p>
    <w:p w:rsidR="00472702" w:rsidRDefault="00B851E0"/>
    <w:sectPr w:rsidR="0047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67"/>
    <w:rsid w:val="002B5038"/>
    <w:rsid w:val="00321A46"/>
    <w:rsid w:val="00672E40"/>
    <w:rsid w:val="00925E51"/>
    <w:rsid w:val="00B851E0"/>
    <w:rsid w:val="00CE6AA7"/>
    <w:rsid w:val="00D75867"/>
    <w:rsid w:val="00E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1F82-E0A7-478F-BA53-F367370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3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7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8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2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5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0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0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7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1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8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1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4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3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2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4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2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6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9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7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2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9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7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0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1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1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2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3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7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ib.myopenugra.ru/upload/iblock/12e/%D0%9F%D1%80%D0%B5%D0%B7%D0%B5%D0%BD%D1%82%D0%B0%D1%86%D0%B8%D1%8F%20%D0%A3%D0%BC%D0%BD%D0%B0%D1%8F%20%D0%BA%D0%BE%D0%BB%D0%BE%D0%BD%D0%BA%D0%B0.pptx" TargetMode="External"/><Relationship Id="rId4" Type="http://schemas.openxmlformats.org/officeDocument/2006/relationships/hyperlink" Target="https://isib.myopenugra.ru/compete/regional/view/?id=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2021-04-13T07:25:00Z</dcterms:created>
  <dcterms:modified xsi:type="dcterms:W3CDTF">2022-05-31T05:16:00Z</dcterms:modified>
</cp:coreProperties>
</file>