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4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"/>
        </w:rPr>
      </w:pPr>
      <w:r>
        <w:rPr>
          <w:sz w:val="2"/>
        </w:rPr>
      </w:r>
      <w:r/>
    </w:p>
    <w:tbl>
      <w:tblPr>
        <w:tblpPr w:horzAnchor="page" w:tblpX="709" w:vertAnchor="page" w:tblpY="1186" w:leftFromText="180" w:topFromText="0" w:rightFromText="180" w:bottomFromText="0"/>
        <w:tblW w:w="10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5635"/>
      </w:tblGrid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38" w:type="dxa"/>
            <w:vAlign w:val="center"/>
            <w:textDirection w:val="lrTb"/>
            <w:noWrap w:val="false"/>
          </w:tcPr>
          <w:p>
            <w:pPr>
              <w:pStyle w:val="766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ОПИСАНИЕ МЕСТОПОЛОЖЕНИЯ ГРАНИЦ</w:t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38" w:type="dxa"/>
            <w:vAlign w:val="center"/>
            <w:textDirection w:val="lrTb"/>
            <w:noWrap w:val="false"/>
          </w:tcPr>
          <w:p>
            <w:pPr>
              <w:pStyle w:val="766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«Нефтесборный трубопровод "УДР Айтор-ДНС-1 Каменного ЛУ» для АО «РН-Няганьнефтегаз»</w:t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3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2738" w:leader="none"/>
              </w:tabs>
            </w:pPr>
            <w:r>
              <w:rPr>
                <w:sz w:val="20"/>
              </w:rPr>
              <w:t xml:space="preserve"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>
              <w:rPr>
                <w:sz w:val="20"/>
              </w:rPr>
              <w:t xml:space="preserve">которого описано (далее - объект)</w:t>
            </w:r>
            <w:r>
              <w:rPr>
                <w:sz w:val="20"/>
              </w:rPr>
              <w:t xml:space="preserve">)</w:t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0738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spacing w:line="240" w:lineRule="atLeast"/>
            </w:pPr>
            <w:r>
              <w:t xml:space="preserve">Раздел 1</w:t>
            </w:r>
            <w:r/>
          </w:p>
        </w:tc>
      </w:tr>
      <w:tr>
        <w:trPr>
          <w:trHeight w:val="397" w:hRule="exact"/>
        </w:trPr>
        <w:tc>
          <w:tcPr>
            <w:gridSpan w:val="3"/>
            <w:tcW w:w="10738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Сведения об объекте</w:t>
            </w:r>
            <w:r/>
          </w:p>
        </w:tc>
      </w:tr>
      <w:tr>
        <w:trPr>
          <w:trHeight w:val="246"/>
        </w:trPr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 п/п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Характеристики объекта</w:t>
            </w:r>
            <w:r/>
          </w:p>
        </w:tc>
        <w:tc>
          <w:tcPr>
            <w:tcW w:w="5635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Описание характеристик</w:t>
            </w:r>
            <w:r/>
          </w:p>
        </w:tc>
      </w:tr>
      <w:tr>
        <w:trPr>
          <w:trHeight w:val="243"/>
        </w:trPr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/>
          </w:p>
        </w:tc>
        <w:tc>
          <w:tcPr>
            <w:tcW w:w="5635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3</w:t>
            </w:r>
            <w:r/>
          </w:p>
        </w:tc>
      </w:tr>
      <w:tr>
        <w:trPr>
          <w:trHeight w:val="243"/>
        </w:trPr>
        <w:tc>
          <w:tcPr>
            <w:tcW w:w="1276" w:type="dxa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6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Местоположение объекта</w:t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pStyle w:val="76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Ханты-Мансийский автономный округ – Югра, Октябрьский район, Октябрьское лесничество, Ендырское участковое лесничество, Ендырское урочище</w:t>
            </w:r>
            <w:r>
              <w:rPr>
                <w:sz w:val="20"/>
                <w:szCs w:val="24"/>
              </w:rPr>
              <w:t xml:space="preserve">, квартал 248, выдел </w:t>
            </w:r>
            <w:r>
              <w:rPr>
                <w:sz w:val="20"/>
                <w:szCs w:val="24"/>
              </w:rPr>
              <w:t xml:space="preserve">26,  квартал</w:t>
            </w:r>
            <w:r>
              <w:rPr>
                <w:sz w:val="20"/>
                <w:szCs w:val="24"/>
              </w:rPr>
              <w:t xml:space="preserve"> 433, выдела 41, 45, 46</w:t>
            </w:r>
            <w:r/>
          </w:p>
        </w:tc>
      </w:tr>
      <w:tr>
        <w:trPr>
          <w:trHeight w:val="243"/>
        </w:trPr>
        <w:tc>
          <w:tcPr>
            <w:tcW w:w="1276" w:type="dxa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6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Площадь объекта +/- величина погрешности определения площади</w:t>
            </w:r>
            <w:r/>
          </w:p>
          <w:p>
            <w:pPr>
              <w:pStyle w:val="76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(Р+/- Дельта Р)</w:t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2669 </w:t>
            </w:r>
            <w:r>
              <w:rPr>
                <w:sz w:val="20"/>
                <w:lang w:val="en-US"/>
              </w:rPr>
              <w:t xml:space="preserve">кв.м</w:t>
            </w:r>
            <w:r>
              <w:rPr>
                <w:sz w:val="20"/>
                <w:lang w:val="en-US"/>
              </w:rPr>
              <w:t xml:space="preserve"> ± 576 </w:t>
            </w:r>
            <w:r>
              <w:rPr>
                <w:sz w:val="20"/>
                <w:lang w:val="en-US"/>
              </w:rPr>
              <w:t xml:space="preserve">кв.м</w:t>
            </w:r>
            <w:r/>
          </w:p>
        </w:tc>
      </w:tr>
      <w:tr>
        <w:trPr>
          <w:trHeight w:val="243"/>
        </w:trPr>
        <w:tc>
          <w:tcPr>
            <w:tcW w:w="1276" w:type="dxa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 xml:space="preserve">3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6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Иные характеристики объекта</w:t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pStyle w:val="765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–</w:t>
            </w:r>
            <w:r/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1063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>
        <w:trPr>
          <w:trHeight w:val="430"/>
        </w:trPr>
        <w:tc>
          <w:tcPr>
            <w:gridSpan w:val="6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0632" w:type="dxa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t xml:space="preserve">Раздел 2</w:t>
            </w:r>
            <w:r/>
          </w:p>
        </w:tc>
      </w:tr>
      <w:tr>
        <w:trPr>
          <w:trHeight w:val="430"/>
        </w:trPr>
        <w:tc>
          <w:tcPr>
            <w:gridSpan w:val="6"/>
            <w:tcW w:w="10632" w:type="dxa"/>
            <w:textDirection w:val="lrTb"/>
            <w:noWrap w:val="false"/>
          </w:tcPr>
          <w:p>
            <w:pPr>
              <w:pStyle w:val="765"/>
              <w:jc w:val="center"/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Сведения о местоположении границ объекта</w:t>
            </w:r>
            <w:r/>
          </w:p>
        </w:tc>
      </w:tr>
      <w:tr>
        <w:trPr>
          <w:trHeight w:val="397" w:hRule="exact"/>
        </w:trPr>
        <w:tc>
          <w:tcPr>
            <w:gridSpan w:val="6"/>
            <w:tcW w:w="10632" w:type="dxa"/>
            <w:textDirection w:val="lrTb"/>
            <w:noWrap w:val="false"/>
          </w:tcPr>
          <w:p>
            <w:pPr>
              <w:pStyle w:val="765"/>
              <w:rPr>
                <w:sz w:val="20"/>
              </w:rPr>
            </w:pPr>
            <w:r>
              <w:rPr>
                <w:sz w:val="20"/>
              </w:rPr>
              <w:t xml:space="preserve">1. Система координат </w:t>
            </w:r>
            <w:r>
              <w:rPr>
                <w:sz w:val="20"/>
                <w:u w:val="single"/>
              </w:rPr>
              <w:t xml:space="preserve">МСК-86, зона 2, 6 градусная | 86.2</w:t>
            </w:r>
            <w:r/>
          </w:p>
        </w:tc>
      </w:tr>
      <w:tr>
        <w:trPr>
          <w:trHeight w:val="397" w:hRule="exact"/>
        </w:trPr>
        <w:tc>
          <w:tcPr>
            <w:gridSpan w:val="6"/>
            <w:tcW w:w="1063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 Сведения о характерных точках границ объекта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center"/>
            <w:vMerge w:val="restart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Обозначение</w:t>
            </w:r>
            <w:r/>
          </w:p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характерных точек границ</w:t>
            </w:r>
            <w:r/>
          </w:p>
        </w:tc>
        <w:tc>
          <w:tcPr>
            <w:gridSpan w:val="2"/>
            <w:tcW w:w="3120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Координаты, м</w:t>
            </w:r>
            <w:r/>
          </w:p>
        </w:tc>
        <w:tc>
          <w:tcPr>
            <w:tcW w:w="2134" w:type="dxa"/>
            <w:vAlign w:val="center"/>
            <w:vMerge w:val="restart"/>
            <w:textDirection w:val="lrTb"/>
            <w:noWrap w:val="false"/>
          </w:tcPr>
          <w:p>
            <w:pPr>
              <w:pStyle w:val="765"/>
              <w:jc w:val="center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765"/>
              <w:jc w:val="center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Средняя </w:t>
            </w:r>
            <w:r>
              <w:rPr>
                <w:sz w:val="20"/>
              </w:rPr>
              <w:t xml:space="preserve">квадратическая</w:t>
            </w:r>
            <w:r>
              <w:rPr>
                <w:sz w:val="20"/>
              </w:rPr>
              <w:t xml:space="preserve"> погрешность положения характерной точки (М</w:t>
            </w:r>
            <w:r>
              <w:rPr>
                <w:sz w:val="20"/>
                <w:vertAlign w:val="subscript"/>
                <w:lang w:val="en-US"/>
              </w:rPr>
              <w:t xml:space="preserve">t</w:t>
            </w:r>
            <w:r>
              <w:rPr>
                <w:sz w:val="20"/>
              </w:rPr>
              <w:t xml:space="preserve">), м</w:t>
            </w:r>
            <w:r/>
          </w:p>
        </w:tc>
        <w:tc>
          <w:tcPr>
            <w:tcW w:w="1702" w:type="dxa"/>
            <w:vAlign w:val="center"/>
            <w:vMerge w:val="restart"/>
            <w:textDirection w:val="lrTb"/>
            <w:noWrap w:val="false"/>
          </w:tcPr>
          <w:p>
            <w:pPr>
              <w:pStyle w:val="765"/>
              <w:jc w:val="center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Описание обозначения точки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на местности (при наличии)</w:t>
            </w:r>
            <w:r/>
          </w:p>
        </w:tc>
      </w:tr>
      <w:tr>
        <w:trPr>
          <w:trHeight w:val="980"/>
        </w:trPr>
        <w:tc>
          <w:tcPr>
            <w:tcW w:w="1691" w:type="dxa"/>
            <w:vAlign w:val="center"/>
            <w:vMerge w:val="continue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558" w:type="dxa"/>
            <w:vAlign w:val="center"/>
            <w:textDirection w:val="lrTb"/>
            <w:noWrap w:val="false"/>
          </w:tcPr>
          <w:p>
            <w:pPr>
              <w:pStyle w:val="7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W w:w="1562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Y</w:t>
            </w:r>
            <w:r/>
          </w:p>
        </w:tc>
        <w:tc>
          <w:tcPr>
            <w:tcW w:w="2134" w:type="dxa"/>
            <w:vAlign w:val="center"/>
            <w:vMerge w:val="continue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54"/>
        </w:trPr>
        <w:tc>
          <w:tcPr>
            <w:tcW w:w="1691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W w:w="1558" w:type="dxa"/>
            <w:vAlign w:val="center"/>
            <w:textDirection w:val="lrTb"/>
            <w:noWrap w:val="false"/>
          </w:tcPr>
          <w:p>
            <w:pPr>
              <w:pStyle w:val="7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W w:w="1562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</w:t>
            </w:r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tcW w:w="1702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  <w:r/>
          </w:p>
        </w:tc>
      </w:tr>
      <w:tr>
        <w:trPr>
          <w:trHeight w:val="54"/>
        </w:trPr>
        <w:tc>
          <w:tcPr>
            <w:tcW w:w="169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Зона4</w:t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15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1016713.51</w:t>
            </w:r>
            <w:r/>
          </w:p>
        </w:tc>
        <w:tc>
          <w:tcPr>
            <w:tcW w:w="156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2572652.56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Аналитический метод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5.00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15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1016707.97</w:t>
            </w:r>
            <w:r/>
          </w:p>
        </w:tc>
        <w:tc>
          <w:tcPr>
            <w:tcW w:w="156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2572647.86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Аналитический метод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5.00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15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1016709.59</w:t>
            </w:r>
            <w:r/>
          </w:p>
        </w:tc>
        <w:tc>
          <w:tcPr>
            <w:tcW w:w="156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2572629.76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Аналитический метод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5.00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15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1016674.48</w:t>
            </w:r>
            <w:r/>
          </w:p>
        </w:tc>
        <w:tc>
          <w:tcPr>
            <w:tcW w:w="156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2572629.75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Аналитический метод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5.00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15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1016673.68</w:t>
            </w:r>
            <w:r/>
          </w:p>
        </w:tc>
        <w:tc>
          <w:tcPr>
            <w:tcW w:w="156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2572644.5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Аналитический метод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5.00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15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1016663.22</w:t>
            </w:r>
            <w:r/>
          </w:p>
        </w:tc>
        <w:tc>
          <w:tcPr>
            <w:tcW w:w="156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2572650.13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Аналитический метод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5.00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W w:w="15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1008881.92</w:t>
            </w:r>
            <w:r/>
          </w:p>
        </w:tc>
        <w:tc>
          <w:tcPr>
            <w:tcW w:w="156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2568714.41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Аналитический метод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5.00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W w:w="15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1008889.61</w:t>
            </w:r>
            <w:r/>
          </w:p>
        </w:tc>
        <w:tc>
          <w:tcPr>
            <w:tcW w:w="156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2568689.17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Аналитический метод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5.00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tcW w:w="15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1008867.84</w:t>
            </w:r>
            <w:r/>
          </w:p>
        </w:tc>
        <w:tc>
          <w:tcPr>
            <w:tcW w:w="156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2568681.77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Аналитический метод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5.00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tcW w:w="15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1008860.15</w:t>
            </w:r>
            <w:r/>
          </w:p>
        </w:tc>
        <w:tc>
          <w:tcPr>
            <w:tcW w:w="156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2568708.21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Аналитический метод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5.00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tcW w:w="15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1009254.02</w:t>
            </w:r>
            <w:r/>
          </w:p>
        </w:tc>
        <w:tc>
          <w:tcPr>
            <w:tcW w:w="156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2568951.53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Аналитический метод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5.00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tcW w:w="15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1009254.68</w:t>
            </w:r>
            <w:r/>
          </w:p>
        </w:tc>
        <w:tc>
          <w:tcPr>
            <w:tcW w:w="156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2568937.99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Аналитический метод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5.00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</w:t>
            </w:r>
            <w:r/>
          </w:p>
        </w:tc>
        <w:tc>
          <w:tcPr>
            <w:tcW w:w="15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1009245.24</w:t>
            </w:r>
            <w:r/>
          </w:p>
        </w:tc>
        <w:tc>
          <w:tcPr>
            <w:tcW w:w="156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2568933.1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Аналитический метод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5.00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</w:t>
            </w:r>
            <w:r/>
          </w:p>
        </w:tc>
        <w:tc>
          <w:tcPr>
            <w:tcW w:w="15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1009235.52</w:t>
            </w:r>
            <w:r/>
          </w:p>
        </w:tc>
        <w:tc>
          <w:tcPr>
            <w:tcW w:w="156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2568928.88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Аналитический метод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5.00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tcW w:w="15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1009235.71</w:t>
            </w:r>
            <w:r/>
          </w:p>
        </w:tc>
        <w:tc>
          <w:tcPr>
            <w:tcW w:w="156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2568950.24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Аналитический метод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5.00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</w:t>
            </w:r>
            <w:r/>
          </w:p>
        </w:tc>
        <w:tc>
          <w:tcPr>
            <w:tcW w:w="15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1010860.14</w:t>
            </w:r>
            <w:r/>
          </w:p>
        </w:tc>
        <w:tc>
          <w:tcPr>
            <w:tcW w:w="156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2570011.86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Аналитический метод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5.00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17</w:t>
            </w:r>
            <w:r/>
          </w:p>
        </w:tc>
        <w:tc>
          <w:tcPr>
            <w:tcW w:w="15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1010890.1</w:t>
            </w:r>
            <w:r/>
          </w:p>
        </w:tc>
        <w:tc>
          <w:tcPr>
            <w:tcW w:w="156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2569984.38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Аналитический метод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5.00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18</w:t>
            </w:r>
            <w:r/>
          </w:p>
        </w:tc>
        <w:tc>
          <w:tcPr>
            <w:tcW w:w="15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1010874.19</w:t>
            </w:r>
            <w:r/>
          </w:p>
        </w:tc>
        <w:tc>
          <w:tcPr>
            <w:tcW w:w="156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2569968.06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Аналитический метод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5.00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</w:t>
            </w:r>
            <w:r/>
          </w:p>
        </w:tc>
        <w:tc>
          <w:tcPr>
            <w:tcW w:w="15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1010844.41</w:t>
            </w:r>
            <w:r/>
          </w:p>
        </w:tc>
        <w:tc>
          <w:tcPr>
            <w:tcW w:w="156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2569995.16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Аналитический метод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5.00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  <w:tr>
        <w:trPr>
          <w:trHeight w:val="397" w:hRule="exact"/>
        </w:trPr>
        <w:tc>
          <w:tcPr>
            <w:gridSpan w:val="6"/>
            <w:tcW w:w="1063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 Сведения о характерных точках части (частей) границы объекта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center"/>
            <w:vMerge w:val="restart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Обозначение</w:t>
            </w:r>
            <w:r/>
          </w:p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характерных точек части границы</w:t>
            </w:r>
            <w:r/>
          </w:p>
        </w:tc>
        <w:tc>
          <w:tcPr>
            <w:gridSpan w:val="2"/>
            <w:tcW w:w="3120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Координаты, м</w:t>
            </w:r>
            <w:r/>
          </w:p>
        </w:tc>
        <w:tc>
          <w:tcPr>
            <w:tcW w:w="2134" w:type="dxa"/>
            <w:vAlign w:val="center"/>
            <w:vMerge w:val="restart"/>
            <w:textDirection w:val="lrTb"/>
            <w:noWrap w:val="false"/>
          </w:tcPr>
          <w:p>
            <w:pPr>
              <w:pStyle w:val="765"/>
              <w:jc w:val="center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765"/>
              <w:jc w:val="center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Средняя </w:t>
            </w:r>
            <w:r>
              <w:rPr>
                <w:sz w:val="20"/>
              </w:rPr>
              <w:t xml:space="preserve">квадратическая</w:t>
            </w:r>
            <w:r>
              <w:rPr>
                <w:sz w:val="20"/>
              </w:rPr>
              <w:t xml:space="preserve"> погрешность положения характерной точки (М</w:t>
            </w:r>
            <w:r>
              <w:rPr>
                <w:sz w:val="20"/>
                <w:vertAlign w:val="subscript"/>
                <w:lang w:val="en-US"/>
              </w:rPr>
              <w:t xml:space="preserve">t</w:t>
            </w:r>
            <w:r>
              <w:rPr>
                <w:sz w:val="20"/>
              </w:rPr>
              <w:t xml:space="preserve">), м</w:t>
            </w:r>
            <w:r/>
          </w:p>
        </w:tc>
        <w:tc>
          <w:tcPr>
            <w:tcW w:w="1702" w:type="dxa"/>
            <w:vAlign w:val="center"/>
            <w:vMerge w:val="restart"/>
            <w:textDirection w:val="lrTb"/>
            <w:noWrap w:val="false"/>
          </w:tcPr>
          <w:p>
            <w:pPr>
              <w:pStyle w:val="765"/>
              <w:jc w:val="center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Описание обозначения точки на местности (при наличии)</w:t>
            </w:r>
            <w:r/>
          </w:p>
        </w:tc>
      </w:tr>
      <w:tr>
        <w:trPr>
          <w:trHeight w:val="54"/>
        </w:trPr>
        <w:tc>
          <w:tcPr>
            <w:tcW w:w="1691" w:type="dxa"/>
            <w:vAlign w:val="center"/>
            <w:vMerge w:val="continue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558" w:type="dxa"/>
            <w:vAlign w:val="center"/>
            <w:textDirection w:val="lrTb"/>
            <w:noWrap w:val="false"/>
          </w:tcPr>
          <w:p>
            <w:pPr>
              <w:pStyle w:val="7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W w:w="1562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Y</w:t>
            </w:r>
            <w:r/>
          </w:p>
        </w:tc>
        <w:tc>
          <w:tcPr>
            <w:tcW w:w="2134" w:type="dxa"/>
            <w:vAlign w:val="center"/>
            <w:vMerge w:val="continue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54"/>
        </w:trPr>
        <w:tc>
          <w:tcPr>
            <w:tcW w:w="1691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W w:w="1558" w:type="dxa"/>
            <w:vAlign w:val="center"/>
            <w:textDirection w:val="lrTb"/>
            <w:noWrap w:val="false"/>
          </w:tcPr>
          <w:p>
            <w:pPr>
              <w:pStyle w:val="7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W w:w="1562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</w:t>
            </w:r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tcW w:w="1702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  <w:r/>
          </w:p>
        </w:tc>
      </w:tr>
      <w:tr>
        <w:trPr>
          <w:trHeight w:val="243"/>
        </w:trPr>
        <w:tc>
          <w:tcPr>
            <w:tcW w:w="1691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rPr>
                <w:sz w:val="18"/>
                <w:szCs w:val="18"/>
              </w:rPr>
              <w:t xml:space="preserve">–</w:t>
            </w:r>
            <w:r/>
          </w:p>
        </w:tc>
        <w:tc>
          <w:tcPr>
            <w:tcW w:w="1558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rPr>
                <w:sz w:val="18"/>
                <w:szCs w:val="18"/>
              </w:rPr>
              <w:t xml:space="preserve">–</w:t>
            </w:r>
            <w:r/>
          </w:p>
        </w:tc>
        <w:tc>
          <w:tcPr>
            <w:tcW w:w="1562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rPr>
                <w:sz w:val="18"/>
                <w:szCs w:val="18"/>
              </w:rPr>
              <w:t xml:space="preserve">–</w:t>
            </w:r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rPr>
                <w:sz w:val="18"/>
                <w:szCs w:val="18"/>
              </w:rPr>
              <w:t xml:space="preserve">–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rPr>
                <w:sz w:val="18"/>
                <w:szCs w:val="18"/>
              </w:rPr>
              <w:t xml:space="preserve">–</w:t>
            </w:r>
            <w:r/>
          </w:p>
        </w:tc>
        <w:tc>
          <w:tcPr>
            <w:tcW w:w="1702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rPr>
                <w:sz w:val="18"/>
                <w:szCs w:val="18"/>
              </w:rPr>
              <w:t xml:space="preserve">–</w:t>
            </w:r>
            <w:r/>
          </w:p>
        </w:tc>
      </w:tr>
    </w:tbl>
    <w:p>
      <w:r/>
      <w:r/>
    </w:p>
    <w:p>
      <w:r>
        <w:br w:type="page" w:clear="all"/>
      </w:r>
      <w:r/>
    </w:p>
    <w:p>
      <w:pPr>
        <w:sectPr>
          <w:footerReference w:type="default" r:id="rId9"/>
          <w:footerReference w:type="even" r:id="rId10"/>
          <w:footnotePr/>
          <w:endnotePr/>
          <w:type w:val="nextPage"/>
          <w:pgSz w:w="11906" w:h="16838" w:orient="portrait"/>
          <w:pgMar w:top="1134" w:right="566" w:bottom="1134" w:left="1134" w:header="709" w:footer="709" w:gutter="0"/>
          <w:cols w:num="1" w:sep="0" w:space="398" w:equalWidth="1"/>
          <w:docGrid w:linePitch="360"/>
        </w:sectPr>
      </w:pPr>
      <w:r/>
      <w:r/>
    </w:p>
    <w:tbl>
      <w:tblPr>
        <w:tblW w:w="1006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064" w:type="dxa"/>
            <w:textDirection w:val="lrTb"/>
            <w:noWrap w:val="false"/>
          </w:tcPr>
          <w:p>
            <w:pPr>
              <w:jc w:val="center"/>
              <w:pageBreakBefore/>
            </w:pPr>
            <w:r/>
            <w:bookmarkStart w:id="0" w:name="_GoBack"/>
            <w:r>
              <w:br w:type="page" w:clear="all"/>
            </w:r>
            <w:r>
              <w:t xml:space="preserve">Раздел 4</w:t>
            </w:r>
            <w:r/>
          </w:p>
        </w:tc>
      </w:tr>
      <w:tr>
        <w:trPr>
          <w:trHeight w:val="397" w:hRule="exact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10064" w:type="dxa"/>
            <w:vAlign w:val="center"/>
            <w:textDirection w:val="lrTb"/>
            <w:noWrap w:val="false"/>
          </w:tcPr>
          <w:p>
            <w:pPr>
              <w:ind w:left="0" w:right="3257" w:firstLine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План границ объекта</w:t>
            </w:r>
            <w:r/>
          </w:p>
        </w:tc>
      </w:tr>
      <w:tr>
        <w:trPr>
          <w:trHeight w:val="317"/>
        </w:trPr>
        <w:tc>
          <w:tcPr>
            <w:tcBorders>
              <w:bottom w:val="none" w:color="000000" w:sz="4" w:space="0"/>
            </w:tcBorders>
            <w:tcW w:w="10064" w:type="dxa"/>
            <w:vAlign w:val="bottom"/>
            <w:textDirection w:val="lrTb"/>
            <w:noWrap w:val="false"/>
          </w:tcPr>
          <w:p>
            <w:pPr>
              <w:ind w:left="0" w:right="3257" w:firstLine="0"/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59690</wp:posOffset>
                      </wp:positionV>
                      <wp:extent cx="304800" cy="913765"/>
                      <wp:effectExtent l="19050" t="0" r="0" b="0"/>
                      <wp:wrapNone/>
                      <wp:docPr id="1" name="Рисуно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4800" cy="913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51656704;o:allowoverlap:true;o:allowincell:true;mso-position-horizontal-relative:text;margin-left:-0.3pt;mso-position-horizontal:absolute;mso-position-vertical-relative:text;margin-top:4.7pt;mso-position-vertical:absolute;width:24.0pt;height:72.0pt;mso-wrap-distance-left:9.0pt;mso-wrap-distance-top:0.0pt;mso-wrap-distance-right:9.0pt;mso-wrap-distance-bottom:0.0pt;" stroked="f" strokeweight="0.75pt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10739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1006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-74930</wp:posOffset>
                      </wp:positionV>
                      <wp:extent cx="5791200" cy="4923790"/>
                      <wp:effectExtent l="0" t="0" r="0" b="0"/>
                      <wp:wrapNone/>
                      <wp:docPr id="2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4"/>
                              <a:srcRect l="32069" t="9201" r="11775" b="59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791200" cy="49237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251658752;o:allowoverlap:true;o:allowincell:true;mso-position-horizontal-relative:text;margin-left:27.3pt;mso-position-horizontal:absolute;mso-position-vertical-relative:text;margin-top:-5.9pt;mso-position-vertical:absolute;width:456.0pt;height:387.7pt;mso-wrap-distance-left:9.0pt;mso-wrap-distance-top:0.0pt;mso-wrap-distance-right:9.0pt;mso-wrap-distance-bottom:0.0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1032510</wp:posOffset>
                      </wp:positionV>
                      <wp:extent cx="1717040" cy="571500"/>
                      <wp:effectExtent l="0" t="0" r="0" b="0"/>
                      <wp:wrapNone/>
                      <wp:docPr id="3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 txBox="1"/>
                            <wps:spPr bwMode="auto">
                              <a:xfrm>
                                <a:off x="0" y="0"/>
                                <a:ext cx="171704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86:07:0101008:296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 xml:space="preserve">/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чзу1</w:t>
                                  </w:r>
                                  <w:r/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hape 2" o:spid="_x0000_s2" o:spt="202" type="#_x0000_t202" style="position:absolute;z-index:251659776;o:allowoverlap:true;o:allowincell:true;mso-position-horizontal-relative:text;margin-left:35.1pt;mso-position-horizontal:absolute;mso-position-vertical-relative:text;margin-top:81.3pt;mso-position-vertical:absolute;width:135.2pt;height:45.0pt;mso-wrap-distance-left:9.0pt;mso-wrap-distance-top:0.0pt;mso-wrap-distance-right:9.0pt;mso-wrap-distance-bottom:0.0pt;visibility:visible;" filled="f" stroked="f" strokeweight="0.50pt">
                      <v:textbox inset="0,0,0,0"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86:07:0101008:296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/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чзу1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1172845</wp:posOffset>
                      </wp:positionV>
                      <wp:extent cx="238125" cy="2085975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38125" cy="2085975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 fill="norm" stroke="1" extrusionOk="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 fill="norm" stroke="1" extrusionOk="0"/>
                                </a:pathLst>
                              </a:cu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miter/>
                                <a:tailEnd type="triangle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style="position:absolute;z-index:251660800;o:allowoverlap:true;o:allowincell:true;mso-position-horizontal-relative:text;margin-left:164.2pt;mso-position-horizontal:absolute;mso-position-vertical-relative:text;margin-top:92.3pt;mso-position-vertical:absolute;width:18.8pt;height:164.2pt;mso-wrap-distance-left:9.0pt;mso-wrap-distance-top:0.0pt;mso-wrap-distance-right:9.0pt;mso-wrap-distance-bottom:0.0pt;visibility:visible;" path="m0,0l100000,100000ee" coordsize="100000,100000" filled="f" strokecolor="#FF0000" strokeweight="0.50pt">
                      <v:path textboxrect="0,0,100000,100000"/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106680</wp:posOffset>
                      </wp:positionV>
                      <wp:extent cx="1800225" cy="1066800"/>
                      <wp:effectExtent l="0" t="0" r="0" b="0"/>
                      <wp:wrapNone/>
                      <wp:docPr id="5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V="1">
                                <a:off x="0" y="0"/>
                                <a:ext cx="1800225" cy="1066800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 fill="norm" stroke="1" extrusionOk="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 fill="norm" stroke="1" extrusionOk="0"/>
                                </a:pathLst>
                              </a:cu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miter/>
                                <a:tailEnd type="triangle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style="position:absolute;z-index:251661824;o:allowoverlap:true;o:allowincell:true;mso-position-horizontal-relative:text;margin-left:165.7pt;mso-position-horizontal:absolute;mso-position-vertical-relative:text;margin-top:8.4pt;mso-position-vertical:absolute;width:141.8pt;height:84.0pt;mso-wrap-distance-left:9.0pt;mso-wrap-distance-top:0.0pt;mso-wrap-distance-right:9.0pt;mso-wrap-distance-bottom:0.0pt;flip:y;visibility:visible;" path="m0,0l100000,100000ee" coordsize="100000,100000" filled="f" strokecolor="#FF0000" strokeweight="0.50pt">
                      <v:path textboxrect="0,0,100000,100000"/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1192530</wp:posOffset>
                      </wp:positionV>
                      <wp:extent cx="361950" cy="3067050"/>
                      <wp:effectExtent l="0" t="0" r="0" b="0"/>
                      <wp:wrapNone/>
                      <wp:docPr id="6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1">
                                <a:off x="0" y="0"/>
                                <a:ext cx="361950" cy="3067050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 fill="norm" stroke="1" extrusionOk="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 fill="norm" stroke="1" extrusionOk="0"/>
                                </a:pathLst>
                              </a:cu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miter/>
                                <a:tailEnd type="triangle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style="position:absolute;z-index:251662848;o:allowoverlap:true;o:allowincell:true;mso-position-horizontal-relative:text;margin-left:135.7pt;mso-position-horizontal:absolute;mso-position-vertical-relative:text;margin-top:93.9pt;mso-position-vertical:absolute;width:28.5pt;height:241.5pt;mso-wrap-distance-left:9.0pt;mso-wrap-distance-top:0.0pt;mso-wrap-distance-right:9.0pt;mso-wrap-distance-bottom:0.0pt;flip:x;visibility:visible;" path="m0,0l100000,100000ee" coordsize="100000,100000" filled="f" strokecolor="#FF0000" strokeweight="0.50pt">
                      <v:path textboxrect="0,0,100000,100000"/>
                    </v:shape>
                  </w:pict>
                </mc:Fallback>
              </mc:AlternateContent>
            </w:r>
            <w:r/>
          </w:p>
          <w:p>
            <w:r/>
            <w:r/>
          </w:p>
          <w:p>
            <w:pPr>
              <w:ind w:left="0" w:right="884" w:firstLine="0"/>
            </w:pPr>
            <w:r/>
            <w:r/>
          </w:p>
          <w:p>
            <w:pPr>
              <w:ind w:left="0" w:right="4426" w:firstLine="0"/>
            </w:pPr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pPr>
              <w:ind w:left="0" w:right="3257" w:firstLine="0"/>
            </w:pPr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pPr>
              <w:jc w:val="center"/>
              <w:rPr>
                <w:szCs w:val="22"/>
              </w:rPr>
            </w:pPr>
            <w:r>
              <w:rPr>
                <w:sz w:val="20"/>
              </w:rPr>
              <w:t xml:space="preserve">Масштаб 1:35000                     </w:t>
            </w:r>
            <w:r>
              <w:rPr>
                <w:sz w:val="16"/>
              </w:rPr>
              <w:t xml:space="preserve">Система координат - ХМАО 86, 2 зона</w:t>
            </w:r>
            <w:r>
              <w:tab/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Условные обозначения:</w:t>
            </w:r>
            <w:r/>
          </w:p>
          <w:p>
            <w:pPr>
              <w:rPr>
                <w:sz w:val="20"/>
              </w:rPr>
            </w:pPr>
            <w:r>
              <w:rPr>
                <w:rFonts w:asciiTheme="minorHAnsi" w:hAnsiTheme="minorHAnsi" w:cstheme="minorBidi"/>
                <w:sz w:val="22"/>
                <w:lang w:eastAsia="en-US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18415</wp:posOffset>
                      </wp:positionV>
                      <wp:extent cx="438150" cy="95250"/>
                      <wp:effectExtent l="0" t="0" r="0" b="0"/>
                      <wp:wrapNone/>
                      <wp:docPr id="7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38149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type="#_x0000_t1" style="position:absolute;z-index:251656704;o:allowoverlap:true;o:allowincell:true;mso-position-horizontal-relative:text;margin-left:11.9pt;mso-position-horizontal:absolute;mso-position-vertical-relative:text;margin-top:1.4pt;mso-position-vertical:absolute;width:34.5pt;height:7.5pt;mso-wrap-distance-left:9.0pt;mso-wrap-distance-top:0.0pt;mso-wrap-distance-right:9.0pt;mso-wrap-distance-bottom:0.0pt;visibility:visible;" fillcolor="#C0C0C0" strokecolor="#000000" strokeweight="1.00pt"/>
                  </w:pict>
                </mc:Fallback>
              </mc:AlternateContent>
            </w:r>
            <w:r>
              <w:rPr>
                <w:sz w:val="20"/>
              </w:rPr>
              <w:t xml:space="preserve">                            - границы земельных участков по данным ЕГРН;</w:t>
            </w:r>
            <w:r/>
          </w:p>
          <w:p>
            <w:pPr>
              <w:rPr>
                <w:sz w:val="20"/>
              </w:rPr>
            </w:pPr>
            <w:r>
              <w:rPr>
                <w:sz w:val="14"/>
              </w:rPr>
              <w:t xml:space="preserve">    86:07:0101008:1489         </w:t>
            </w:r>
            <w:r>
              <w:rPr>
                <w:sz w:val="20"/>
              </w:rPr>
              <w:t xml:space="preserve">- кадастровый номер земельного участка по данным ЕГРН;</w:t>
            </w:r>
            <w:r/>
          </w:p>
          <w:p>
            <w:pPr>
              <w:rPr>
                <w:sz w:val="20"/>
              </w:rPr>
            </w:pPr>
            <w:r>
              <w:rPr>
                <w:rFonts w:asciiTheme="minorHAnsi" w:hAnsiTheme="minorHAnsi" w:cstheme="minorBidi"/>
                <w:sz w:val="22"/>
                <w:lang w:eastAsia="en-US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64135</wp:posOffset>
                      </wp:positionV>
                      <wp:extent cx="400050" cy="0"/>
                      <wp:effectExtent l="0" t="0" r="0" b="0"/>
                      <wp:wrapNone/>
                      <wp:docPr id="8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4F81BD"/>
                                </a:solidFill>
                                <a:miter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7" o:spid="_x0000_s7" style="position:absolute;left:0;text-align:left;z-index:251654656;mso-wrap-distance-left:9.0pt;mso-wrap-distance-top:0.0pt;mso-wrap-distance-right:9.0pt;mso-wrap-distance-bottom:0.0pt;visibility:visible;" from="16.6pt,5.0pt" to="48.1pt,5.0pt" fillcolor="#FFFFFF" strokecolor="#4F81BD" strokeweight="0.50pt"/>
                  </w:pict>
                </mc:Fallback>
              </mc:AlternateContent>
            </w:r>
            <w:r>
              <w:rPr>
                <w:sz w:val="20"/>
              </w:rPr>
              <w:t xml:space="preserve">                            - границы кадастрового квартала;</w:t>
            </w:r>
            <w:r/>
          </w:p>
          <w:p>
            <w:pPr>
              <w:rPr>
                <w:sz w:val="20"/>
              </w:rPr>
            </w:pPr>
            <w:r>
              <w:rPr>
                <w:sz w:val="14"/>
              </w:rPr>
              <w:t xml:space="preserve">       86:07:0101008</w:t>
            </w:r>
            <w:r>
              <w:rPr>
                <w:sz w:val="20"/>
              </w:rPr>
              <w:t xml:space="preserve">      - номер кадастрового квартала;</w:t>
            </w:r>
            <w:r/>
          </w:p>
          <w:p>
            <w:pPr>
              <w:rPr>
                <w:sz w:val="20"/>
              </w:rPr>
            </w:pPr>
            <w:r>
              <w:rPr>
                <w:rFonts w:asciiTheme="minorHAnsi" w:hAnsiTheme="minorHAnsi" w:cstheme="minorBidi"/>
                <w:sz w:val="22"/>
                <w:lang w:eastAsia="en-US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79375</wp:posOffset>
                      </wp:positionV>
                      <wp:extent cx="400050" cy="0"/>
                      <wp:effectExtent l="0" t="0" r="0" b="0"/>
                      <wp:wrapNone/>
                      <wp:docPr id="9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V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8" o:spid="_x0000_s8" style="position:absolute;left:0;text-align:left;z-index:251655680;mso-wrap-distance-left:9.0pt;mso-wrap-distance-top:0.0pt;mso-wrap-distance-right:9.0pt;mso-wrap-distance-bottom:0.0pt;flip:y;visibility:visible;" from="16.4pt,6.2pt" to="48.0pt,6.2pt" fillcolor="#FFFFFF" strokecolor="#FF0000" strokeweight="1.50pt"/>
                  </w:pict>
                </mc:Fallback>
              </mc:AlternateContent>
            </w:r>
            <w:r>
              <w:rPr>
                <w:sz w:val="20"/>
              </w:rPr>
              <w:t xml:space="preserve">                            - границы испрашиваемого земельного участка под публичный сервитут;</w:t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sz w:val="14"/>
              </w:rPr>
              <w:t xml:space="preserve">1,2,3                </w:t>
            </w:r>
            <w:r>
              <w:rPr>
                <w:sz w:val="20"/>
              </w:rPr>
              <w:t xml:space="preserve">- номер и обозначение характерной точки испрашиваемого земельного участка;  </w:t>
            </w:r>
            <w:r/>
          </w:p>
          <w:p>
            <w:pPr>
              <w:rPr>
                <w:b/>
                <w:sz w:val="14"/>
              </w:rPr>
            </w:pPr>
            <w:r>
              <w:rPr>
                <w:color w:val="ff0000"/>
                <w:sz w:val="14"/>
              </w:rPr>
              <w:t xml:space="preserve">   </w:t>
            </w:r>
            <w:r>
              <w:rPr>
                <w:b/>
                <w:color w:val="ff0000"/>
                <w:sz w:val="14"/>
              </w:rPr>
              <w:t xml:space="preserve">86:07:0101008:296/чзу1 </w:t>
            </w:r>
            <w:r>
              <w:rPr>
                <w:sz w:val="20"/>
              </w:rPr>
              <w:t xml:space="preserve">- условный номер испрашиваемого земельного участка под сервитут;</w:t>
            </w:r>
            <w:r/>
          </w:p>
          <w:p>
            <w:pPr>
              <w:rPr>
                <w:sz w:val="20"/>
              </w:rPr>
            </w:pPr>
            <w:r>
              <w:rPr>
                <w:sz w:val="16"/>
              </w:rPr>
              <w:t xml:space="preserve">          86:00-15.1</w:t>
            </w:r>
            <w:r>
              <w:rPr>
                <w:sz w:val="20"/>
              </w:rPr>
              <w:t xml:space="preserve">        - условный номер территориальной зоны; граница охранной зоны; муниципального образования</w:t>
            </w:r>
            <w:r/>
          </w:p>
          <w:p>
            <w:pPr>
              <w:rPr>
                <w:sz w:val="20"/>
              </w:rPr>
            </w:pPr>
            <w:r>
              <w:rPr>
                <w:rFonts w:asciiTheme="minorHAnsi" w:hAnsiTheme="minorHAnsi" w:cstheme="minorBidi"/>
                <w:sz w:val="22"/>
                <w:lang w:eastAsia="en-US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7620</wp:posOffset>
                      </wp:positionV>
                      <wp:extent cx="755650" cy="76200"/>
                      <wp:effectExtent l="0" t="0" r="0" b="0"/>
                      <wp:wrapNone/>
                      <wp:docPr id="10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75565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42CD11"/>
                                </a:solidFill>
                                <a:prstDash val="dash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9" o:spid="_x0000_s9" o:spt="1" type="#_x0000_t1" style="position:absolute;z-index:251657728;o:allowoverlap:true;o:allowincell:true;mso-position-horizontal-relative:text;margin-left:4.5pt;mso-position-horizontal:absolute;mso-position-vertical-relative:text;margin-top:0.6pt;mso-position-vertical:absolute;width:59.5pt;height:6.0pt;mso-wrap-distance-left:9.0pt;mso-wrap-distance-top:0.0pt;mso-wrap-distance-right:9.0pt;mso-wrap-distance-bottom:0.0pt;visibility:visible;" filled="f" strokecolor="#42CD11" strokeweight="2.25pt">
                      <v:stroke dashstyle="dash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                              - граница территориальной зоны; граница охранной зоны</w:t>
            </w:r>
            <w:r/>
          </w:p>
          <w:p>
            <w:pPr>
              <w:rPr>
                <w:sz w:val="20"/>
              </w:rPr>
            </w:pPr>
            <w:r>
              <w:t xml:space="preserve">       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33425" cy="47625"/>
                      <wp:effectExtent l="0" t="0" r="0" b="0"/>
                      <wp:docPr id="11" name="Рисунок 2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0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15"/>
                              <a:srcRect l="5109" t="30742" r="10950" b="4259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3424" cy="4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width:57.8pt;height:3.8pt;mso-wrap-distance-left:0.0pt;mso-wrap-distance-top:0.0pt;mso-wrap-distance-right:0.0pt;mso-wrap-distance-bottom:0.0pt;" stroked="f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sz w:val="20"/>
              </w:rPr>
              <w:t xml:space="preserve">- граница муниципального образования</w:t>
            </w:r>
            <w:r/>
          </w:p>
          <w:p>
            <w:pPr>
              <w:jc w:val="both"/>
              <w:tabs>
                <w:tab w:val="left" w:pos="1905" w:leader="none"/>
              </w:tabs>
            </w:pPr>
            <w:r>
              <w:rPr>
                <w:rFonts w:asciiTheme="minorHAnsi" w:hAnsiTheme="minorHAnsi" w:cstheme="minorBidi"/>
                <w:sz w:val="22"/>
                <w:lang w:eastAsia="en-US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131445</wp:posOffset>
                      </wp:positionV>
                      <wp:extent cx="400050" cy="0"/>
                      <wp:effectExtent l="0" t="0" r="0" b="0"/>
                      <wp:wrapNone/>
                      <wp:docPr id="12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V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miter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1" o:spid="_x0000_s11" style="position:absolute;left:0;text-align:left;z-index:251658752;mso-wrap-distance-left:9.0pt;mso-wrap-distance-top:0.0pt;mso-wrap-distance-right:9.0pt;mso-wrap-distance-bottom:0.0pt;flip:y;visibility:visible;" from="27.5pt,10.3pt" to="59.0pt,10.3pt" fillcolor="#FFFFFF" strokecolor="#0000FF" strokeweight="1.50pt"/>
                  </w:pict>
                </mc:Fallback>
              </mc:AlternateContent>
            </w:r>
            <w:r>
              <w:t xml:space="preserve">                         </w:t>
            </w:r>
            <w:r>
              <w:rPr>
                <w:sz w:val="20"/>
              </w:rPr>
              <w:t xml:space="preserve">- нефтегазосборный трубопровод</w:t>
            </w:r>
            <w:r/>
          </w:p>
          <w:p>
            <w:r>
              <w:br w:type="page" w:clear="all"/>
            </w:r>
            <w:r/>
          </w:p>
        </w:tc>
      </w:tr>
    </w:tbl>
    <w:tbl>
      <w:tblPr>
        <w:tblW w:w="1006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559"/>
        <w:gridCol w:w="6807"/>
      </w:tblGrid>
      <w:tr>
        <w:trPr>
          <w:trHeight w:val="243"/>
        </w:trPr>
        <w:tc>
          <w:tcPr>
            <w:gridSpan w:val="3"/>
            <w:tcW w:w="1006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Текстовое описание местоположения границ объекта</w:t>
            </w:r>
            <w:r/>
          </w:p>
        </w:tc>
      </w:tr>
      <w:tr>
        <w:trPr>
          <w:trHeight w:val="243"/>
        </w:trPr>
        <w:tc>
          <w:tcPr>
            <w:gridSpan w:val="2"/>
            <w:tcW w:w="3257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Прохождение границы</w:t>
            </w:r>
            <w:r/>
          </w:p>
        </w:tc>
        <w:tc>
          <w:tcPr>
            <w:tcW w:w="6807" w:type="dxa"/>
            <w:vAlign w:val="center"/>
            <w:vMerge w:val="restart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Описание прохождения границы</w:t>
            </w:r>
            <w:r/>
          </w:p>
        </w:tc>
      </w:tr>
      <w:tr>
        <w:trPr>
          <w:trHeight w:val="243"/>
        </w:trPr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7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точки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</w:t>
            </w:r>
            <w:r>
              <w:rPr>
                <w:sz w:val="20"/>
                <w:lang w:val="en-US"/>
              </w:rPr>
              <w:t xml:space="preserve">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точки</w:t>
            </w:r>
            <w:r/>
          </w:p>
        </w:tc>
        <w:tc>
          <w:tcPr>
            <w:tcW w:w="6807" w:type="dxa"/>
            <w:vMerge w:val="continue"/>
            <w:textDirection w:val="lrTb"/>
            <w:noWrap w:val="false"/>
          </w:tcPr>
          <w:p>
            <w:pPr>
              <w:pStyle w:val="76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43"/>
        </w:trPr>
        <w:tc>
          <w:tcPr>
            <w:tcW w:w="1698" w:type="dxa"/>
            <w:textDirection w:val="lrTb"/>
            <w:noWrap w:val="false"/>
          </w:tcPr>
          <w:p>
            <w:pPr>
              <w:pStyle w:val="7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W w:w="6807" w:type="dxa"/>
            <w:textDirection w:val="lrTb"/>
            <w:noWrap w:val="false"/>
          </w:tcPr>
          <w:p>
            <w:pPr>
              <w:pStyle w:val="7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  <w:r/>
          </w:p>
        </w:tc>
      </w:tr>
      <w:tr>
        <w:trPr>
          <w:trHeight w:val="243"/>
        </w:trPr>
        <w:tc>
          <w:tcPr>
            <w:tcW w:w="169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  <w:tc>
          <w:tcPr>
            <w:tcW w:w="6807" w:type="dxa"/>
            <w:textDirection w:val="lrTb"/>
            <w:noWrap w:val="false"/>
          </w:tcPr>
          <w:p>
            <w:pPr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–</w:t>
            </w:r>
            <w:r/>
          </w:p>
        </w:tc>
      </w:tr>
    </w:tbl>
    <w:p>
      <w:r/>
      <w:r/>
    </w:p>
    <w:sectPr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1085" w:bottom="1418" w:left="1134" w:header="709" w:footer="850" w:gutter="0"/>
      <w:cols w:num="1" w:sep="0" w:space="39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  <w:rPr>
        <w:rStyle w:val="763"/>
      </w:rPr>
      <w:framePr w:wrap="around" w:vAnchor="text" w:hAnchor="margin" w:xAlign="right" w:y="1"/>
    </w:pPr>
    <w:r>
      <w:rPr>
        <w:rStyle w:val="763"/>
      </w:rPr>
      <w:fldChar w:fldCharType="begin"/>
    </w:r>
    <w:r>
      <w:rPr>
        <w:rStyle w:val="763"/>
      </w:rPr>
      <w:instrText xml:space="preserve">PAGE  </w:instrText>
    </w:r>
    <w:r>
      <w:rPr>
        <w:rStyle w:val="763"/>
      </w:rPr>
      <w:fldChar w:fldCharType="end"/>
    </w:r>
    <w:r/>
  </w:p>
  <w:p>
    <w:pPr>
      <w:pStyle w:val="762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  <w:ind w:right="360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  <w:rPr>
        <w:rStyle w:val="763"/>
      </w:rPr>
      <w:framePr w:wrap="around" w:vAnchor="text" w:hAnchor="margin" w:xAlign="right" w:y="1"/>
    </w:pPr>
    <w:r>
      <w:rPr>
        <w:rStyle w:val="763"/>
      </w:rPr>
      <w:fldChar w:fldCharType="begin"/>
    </w:r>
    <w:r>
      <w:rPr>
        <w:rStyle w:val="763"/>
      </w:rPr>
      <w:instrText xml:space="preserve">PAGE  </w:instrText>
    </w:r>
    <w:r>
      <w:rPr>
        <w:rStyle w:val="763"/>
      </w:rPr>
      <w:fldChar w:fldCharType="end"/>
    </w:r>
    <w:r/>
  </w:p>
  <w:p>
    <w:pPr>
      <w:pStyle w:val="76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firstLine="32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rFonts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firstLine="320"/>
        <w:tabs>
          <w:tab w:val="num" w:pos="360" w:leader="none"/>
        </w:tabs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04" w:hanging="1296"/>
        <w:tabs>
          <w:tab w:val="num" w:pos="2004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428" w:hanging="1140"/>
        <w:tabs>
          <w:tab w:val="num" w:pos="1428" w:leader="none"/>
        </w:tabs>
      </w:pPr>
      <w:rPr>
        <w:rFonts w:hint="default"/>
        <w:sz w:val="18"/>
      </w:rPr>
    </w:lvl>
    <w:lvl w:ilvl="1">
      <w:start w:val="1"/>
      <w:numFmt w:val="lowerLetter"/>
      <w:isLgl w:val="false"/>
      <w:suff w:val="tab"/>
      <w:lvlText w:val="%2."/>
      <w:lvlJc w:val="left"/>
      <w:pPr>
        <w:ind w:left="1332" w:hanging="360"/>
        <w:tabs>
          <w:tab w:val="num" w:pos="133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52" w:hanging="180"/>
        <w:tabs>
          <w:tab w:val="num" w:pos="205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72" w:hanging="360"/>
        <w:tabs>
          <w:tab w:val="num" w:pos="277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92" w:hanging="360"/>
        <w:tabs>
          <w:tab w:val="num" w:pos="349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12" w:hanging="180"/>
        <w:tabs>
          <w:tab w:val="num" w:pos="421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32" w:hanging="360"/>
        <w:tabs>
          <w:tab w:val="num" w:pos="493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52" w:hanging="360"/>
        <w:tabs>
          <w:tab w:val="num" w:pos="565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72" w:hanging="180"/>
        <w:tabs>
          <w:tab w:val="num" w:pos="6372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firstLine="32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65" w:hanging="825"/>
        <w:tabs>
          <w:tab w:val="num" w:pos="13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04" w:hanging="1296"/>
        <w:tabs>
          <w:tab w:val="num" w:pos="2004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788" w:hanging="360"/>
        <w:tabs>
          <w:tab w:val="num" w:pos="1788" w:leader="none"/>
        </w:tabs>
      </w:pPr>
      <w:rPr>
        <w:rFonts w:hint="default"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firstLine="320"/>
        <w:tabs>
          <w:tab w:val="num" w:pos="360" w:leader="none"/>
        </w:tabs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00" w:hanging="360"/>
        <w:tabs>
          <w:tab w:val="num" w:pos="140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20" w:hanging="360"/>
        <w:tabs>
          <w:tab w:val="num" w:pos="212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40" w:hanging="360"/>
        <w:tabs>
          <w:tab w:val="num" w:pos="284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60" w:hanging="360"/>
        <w:tabs>
          <w:tab w:val="num" w:pos="356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0" w:hanging="360"/>
        <w:tabs>
          <w:tab w:val="num" w:pos="428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00" w:hanging="360"/>
        <w:tabs>
          <w:tab w:val="num" w:pos="500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20" w:hanging="360"/>
        <w:tabs>
          <w:tab w:val="num" w:pos="572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0" w:hanging="360"/>
        <w:tabs>
          <w:tab w:val="num" w:pos="644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60" w:hanging="360"/>
        <w:tabs>
          <w:tab w:val="num" w:pos="7160" w:leader="none"/>
        </w:tabs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75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60" w:hanging="360"/>
        <w:tabs>
          <w:tab w:val="num" w:pos="12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  <w:tabs>
          <w:tab w:val="num" w:pos="19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  <w:tabs>
          <w:tab w:val="num" w:pos="27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  <w:tabs>
          <w:tab w:val="num" w:pos="34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  <w:tabs>
          <w:tab w:val="num" w:pos="41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  <w:tabs>
          <w:tab w:val="num" w:pos="48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  <w:tabs>
          <w:tab w:val="num" w:pos="55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  <w:tabs>
          <w:tab w:val="num" w:pos="63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  <w:tabs>
          <w:tab w:val="num" w:pos="7020" w:leader="none"/>
        </w:tabs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620" w:hanging="360"/>
        <w:tabs>
          <w:tab w:val="num" w:pos="162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rFonts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55" w:hanging="915"/>
        <w:tabs>
          <w:tab w:val="num" w:pos="145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57"/>
    <w:next w:val="75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5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57"/>
    <w:next w:val="75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5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57"/>
    <w:next w:val="75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5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57"/>
    <w:next w:val="75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5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57"/>
    <w:next w:val="75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5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57"/>
    <w:next w:val="75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5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57"/>
    <w:next w:val="75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5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57"/>
    <w:next w:val="75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5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57"/>
    <w:next w:val="75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5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5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57"/>
    <w:next w:val="75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58"/>
    <w:link w:val="34"/>
    <w:uiPriority w:val="10"/>
    <w:rPr>
      <w:sz w:val="48"/>
      <w:szCs w:val="48"/>
    </w:rPr>
  </w:style>
  <w:style w:type="paragraph" w:styleId="36">
    <w:name w:val="Subtitle"/>
    <w:basedOn w:val="757"/>
    <w:next w:val="75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58"/>
    <w:link w:val="36"/>
    <w:uiPriority w:val="11"/>
    <w:rPr>
      <w:sz w:val="24"/>
      <w:szCs w:val="24"/>
    </w:rPr>
  </w:style>
  <w:style w:type="paragraph" w:styleId="38">
    <w:name w:val="Quote"/>
    <w:basedOn w:val="757"/>
    <w:next w:val="75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57"/>
    <w:next w:val="75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58"/>
    <w:link w:val="761"/>
    <w:uiPriority w:val="99"/>
  </w:style>
  <w:style w:type="character" w:styleId="45">
    <w:name w:val="Footer Char"/>
    <w:basedOn w:val="758"/>
    <w:link w:val="762"/>
    <w:uiPriority w:val="99"/>
  </w:style>
  <w:style w:type="paragraph" w:styleId="46">
    <w:name w:val="Caption"/>
    <w:basedOn w:val="757"/>
    <w:next w:val="7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62"/>
    <w:uiPriority w:val="99"/>
  </w:style>
  <w:style w:type="table" w:styleId="49">
    <w:name w:val="Table Grid Light"/>
    <w:basedOn w:val="7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5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58"/>
    <w:uiPriority w:val="99"/>
    <w:unhideWhenUsed/>
    <w:rPr>
      <w:vertAlign w:val="superscript"/>
    </w:rPr>
  </w:style>
  <w:style w:type="character" w:styleId="179">
    <w:name w:val="Endnote Text Char"/>
    <w:link w:val="766"/>
    <w:uiPriority w:val="99"/>
    <w:rPr>
      <w:sz w:val="20"/>
    </w:rPr>
  </w:style>
  <w:style w:type="character" w:styleId="180">
    <w:name w:val="endnote reference"/>
    <w:basedOn w:val="758"/>
    <w:uiPriority w:val="99"/>
    <w:semiHidden/>
    <w:unhideWhenUsed/>
    <w:rPr>
      <w:vertAlign w:val="superscript"/>
    </w:rPr>
  </w:style>
  <w:style w:type="paragraph" w:styleId="181">
    <w:name w:val="toc 1"/>
    <w:basedOn w:val="757"/>
    <w:next w:val="75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57"/>
    <w:next w:val="75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57"/>
    <w:next w:val="75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57"/>
    <w:next w:val="75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57"/>
    <w:next w:val="75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57"/>
    <w:next w:val="75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57"/>
    <w:next w:val="75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57"/>
    <w:next w:val="75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57"/>
    <w:next w:val="75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57"/>
    <w:next w:val="757"/>
    <w:uiPriority w:val="99"/>
    <w:unhideWhenUsed/>
    <w:pPr>
      <w:spacing w:after="0" w:afterAutospacing="0"/>
    </w:pPr>
  </w:style>
  <w:style w:type="paragraph" w:styleId="757" w:default="1">
    <w:name w:val="Normal"/>
    <w:qFormat/>
    <w:rPr>
      <w:sz w:val="24"/>
      <w:szCs w:val="24"/>
    </w:rPr>
  </w:style>
  <w:style w:type="character" w:styleId="758" w:default="1">
    <w:name w:val="Default Paragraph Font"/>
    <w:uiPriority w:val="1"/>
    <w:semiHidden/>
    <w:unhideWhenUsed/>
  </w:style>
  <w:style w:type="table" w:styleId="7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0" w:default="1">
    <w:name w:val="No List"/>
    <w:uiPriority w:val="99"/>
    <w:semiHidden/>
    <w:unhideWhenUsed/>
  </w:style>
  <w:style w:type="paragraph" w:styleId="761">
    <w:name w:val="Header"/>
    <w:basedOn w:val="757"/>
    <w:pPr>
      <w:tabs>
        <w:tab w:val="center" w:pos="4677" w:leader="none"/>
        <w:tab w:val="right" w:pos="9355" w:leader="none"/>
      </w:tabs>
    </w:pPr>
  </w:style>
  <w:style w:type="paragraph" w:styleId="762">
    <w:name w:val="Footer"/>
    <w:basedOn w:val="757"/>
    <w:pPr>
      <w:tabs>
        <w:tab w:val="center" w:pos="4677" w:leader="none"/>
        <w:tab w:val="right" w:pos="9355" w:leader="none"/>
      </w:tabs>
    </w:pPr>
  </w:style>
  <w:style w:type="character" w:styleId="763">
    <w:name w:val="page number"/>
    <w:basedOn w:val="758"/>
  </w:style>
  <w:style w:type="table" w:styleId="764">
    <w:name w:val="Table Grid"/>
    <w:basedOn w:val="7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65" w:customStyle="1">
    <w:name w:val="Обычный1"/>
    <w:rPr>
      <w:sz w:val="24"/>
    </w:rPr>
  </w:style>
  <w:style w:type="paragraph" w:styleId="766">
    <w:name w:val="endnote text"/>
    <w:basedOn w:val="757"/>
    <w:link w:val="767"/>
    <w:rPr>
      <w:sz w:val="20"/>
      <w:szCs w:val="20"/>
    </w:rPr>
  </w:style>
  <w:style w:type="character" w:styleId="767" w:customStyle="1">
    <w:name w:val="Текст концевой сноски Знак"/>
    <w:basedOn w:val="758"/>
    <w:link w:val="766"/>
  </w:style>
  <w:style w:type="paragraph" w:styleId="768">
    <w:name w:val="Normal (Web)"/>
    <w:basedOn w:val="757"/>
    <w:uiPriority w:val="99"/>
    <w:pPr>
      <w:spacing w:before="100" w:beforeAutospacing="1" w:after="119"/>
    </w:pPr>
  </w:style>
  <w:style w:type="paragraph" w:styleId="769">
    <w:name w:val="Balloon Text"/>
    <w:basedOn w:val="757"/>
    <w:link w:val="770"/>
    <w:rPr>
      <w:rFonts w:ascii="Tahoma" w:hAnsi="Tahoma" w:cs="Tahoma"/>
      <w:sz w:val="16"/>
      <w:szCs w:val="16"/>
    </w:rPr>
  </w:style>
  <w:style w:type="character" w:styleId="770" w:customStyle="1">
    <w:name w:val="Текст выноски Знак"/>
    <w:basedOn w:val="758"/>
    <w:link w:val="769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rnd</Company>
  <DocSecurity>0</DocSecurity>
  <HyperlinksChanged>false</HyperlinksChanged>
  <LinksUpToDate>false</LinksUpToDate>
  <ScaleCrop>false</ScaleCrop>
  <SharedDoc>false</SharedDoc>
  <Template>СведенияОбОбъекте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PBPROG-71</dc:creator>
  <cp:revision>10</cp:revision>
  <dcterms:created xsi:type="dcterms:W3CDTF">2023-08-31T12:07:00Z</dcterms:created>
  <dcterms:modified xsi:type="dcterms:W3CDTF">2023-09-05T06:43:11Z</dcterms:modified>
</cp:coreProperties>
</file>