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60" w:rsidRPr="006E1160" w:rsidRDefault="006E1160" w:rsidP="006E11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6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  <w:r w:rsidRPr="006E1160">
        <w:rPr>
          <w:rFonts w:ascii="Times New Roman" w:hAnsi="Times New Roman" w:cs="Times New Roman"/>
          <w:b/>
          <w:sz w:val="24"/>
          <w:szCs w:val="24"/>
        </w:rPr>
        <w:t xml:space="preserve">Дептруда и занятости Югры </w:t>
      </w:r>
      <w:r w:rsidRPr="006E1160">
        <w:rPr>
          <w:rFonts w:ascii="Times New Roman" w:eastAsia="Times New Roman" w:hAnsi="Times New Roman" w:cs="Times New Roman"/>
          <w:b/>
          <w:sz w:val="24"/>
          <w:szCs w:val="24"/>
        </w:rPr>
        <w:t>по пункт</w:t>
      </w:r>
      <w:r w:rsidR="00DC3F7F">
        <w:rPr>
          <w:rFonts w:ascii="Times New Roman" w:eastAsia="Times New Roman" w:hAnsi="Times New Roman" w:cs="Times New Roman"/>
          <w:b/>
          <w:sz w:val="24"/>
          <w:szCs w:val="24"/>
        </w:rPr>
        <w:t>ам 2.6. и</w:t>
      </w:r>
      <w:r w:rsidRPr="006E1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160">
        <w:rPr>
          <w:rFonts w:ascii="Times New Roman" w:hAnsi="Times New Roman" w:cs="Times New Roman"/>
          <w:b/>
          <w:sz w:val="24"/>
          <w:szCs w:val="24"/>
        </w:rPr>
        <w:t>2.7.</w:t>
      </w:r>
    </w:p>
    <w:p w:rsidR="006E1160" w:rsidRDefault="006E1160" w:rsidP="006E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60">
        <w:rPr>
          <w:rFonts w:ascii="Times New Roman" w:hAnsi="Times New Roman" w:cs="Times New Roman"/>
          <w:b/>
          <w:color w:val="000000"/>
          <w:sz w:val="24"/>
          <w:szCs w:val="24"/>
        </w:rPr>
        <w:t>Межведомственного плана мероприятий по решению вопроса досудебного сопровождения несовершеннолетних – как одного из механизмов ресоциализации несовершеннолетних, совершивших противоправные действия,</w:t>
      </w:r>
    </w:p>
    <w:p w:rsidR="00076AE5" w:rsidRDefault="006E1160" w:rsidP="006E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утверждённый  постановлением комиссии по делам несовершеннолетних и защите их прав </w:t>
      </w:r>
    </w:p>
    <w:p w:rsidR="006E1160" w:rsidRDefault="006E1160" w:rsidP="006E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60">
        <w:rPr>
          <w:rFonts w:ascii="Times New Roman" w:hAnsi="Times New Roman" w:cs="Times New Roman"/>
          <w:b/>
          <w:color w:val="000000"/>
          <w:sz w:val="24"/>
          <w:szCs w:val="24"/>
        </w:rPr>
        <w:t>при Правительстве Ханты-Мансийского автономного округа – Югры от 29.09.2014 №20</w:t>
      </w:r>
    </w:p>
    <w:p w:rsidR="006E1160" w:rsidRDefault="006E1160" w:rsidP="006E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984"/>
        <w:gridCol w:w="1701"/>
        <w:gridCol w:w="7513"/>
      </w:tblGrid>
      <w:tr w:rsidR="006E1160" w:rsidRPr="006E1902" w:rsidTr="00C94D2B">
        <w:trPr>
          <w:trHeight w:val="1071"/>
        </w:trPr>
        <w:tc>
          <w:tcPr>
            <w:tcW w:w="568" w:type="dxa"/>
            <w:vAlign w:val="center"/>
          </w:tcPr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Align w:val="center"/>
          </w:tcPr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7513" w:type="dxa"/>
            <w:vAlign w:val="center"/>
          </w:tcPr>
          <w:p w:rsidR="00DA3B6B" w:rsidRPr="006E1902" w:rsidRDefault="00DA3B6B" w:rsidP="006E11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ходе исполнения мероприятия</w:t>
            </w:r>
          </w:p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F7F" w:rsidRPr="006E1902" w:rsidTr="00C94D2B">
        <w:tc>
          <w:tcPr>
            <w:tcW w:w="568" w:type="dxa"/>
          </w:tcPr>
          <w:p w:rsidR="00DC3F7F" w:rsidRPr="006E1902" w:rsidRDefault="00DC3F7F" w:rsidP="006E1160">
            <w:pPr>
              <w:spacing w:line="240" w:lineRule="auto"/>
              <w:ind w:right="-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2.6.</w:t>
            </w:r>
          </w:p>
        </w:tc>
        <w:tc>
          <w:tcPr>
            <w:tcW w:w="3402" w:type="dxa"/>
          </w:tcPr>
          <w:p w:rsidR="00DC3F7F" w:rsidRPr="006E1902" w:rsidRDefault="006E1902" w:rsidP="006E11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с несовершеннолетними, совершившими противоправные действия</w:t>
            </w:r>
          </w:p>
        </w:tc>
        <w:tc>
          <w:tcPr>
            <w:tcW w:w="1984" w:type="dxa"/>
          </w:tcPr>
          <w:p w:rsidR="00DC3F7F" w:rsidRPr="006E1902" w:rsidRDefault="006E1902" w:rsidP="006E11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1701" w:type="dxa"/>
          </w:tcPr>
          <w:p w:rsidR="006E1902" w:rsidRPr="006E1902" w:rsidRDefault="006E1902" w:rsidP="006E1902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до 20 января 2015 года</w:t>
            </w:r>
          </w:p>
          <w:p w:rsidR="006E1902" w:rsidRPr="006E1902" w:rsidRDefault="006E1902" w:rsidP="006E1902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(результаты работы в 2014 году);</w:t>
            </w:r>
          </w:p>
          <w:p w:rsidR="006E1902" w:rsidRPr="006E1902" w:rsidRDefault="006E1902" w:rsidP="006E1902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 xml:space="preserve">до 30 декабря 2015 года </w:t>
            </w:r>
          </w:p>
          <w:p w:rsidR="00DC3F7F" w:rsidRPr="006E1902" w:rsidRDefault="006E1902" w:rsidP="006E1902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(результаты работы в 2015 году)</w:t>
            </w:r>
          </w:p>
        </w:tc>
        <w:tc>
          <w:tcPr>
            <w:tcW w:w="7513" w:type="dxa"/>
          </w:tcPr>
          <w:p w:rsidR="006E1902" w:rsidRPr="006E1902" w:rsidRDefault="006E1902" w:rsidP="006E19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предоставляют казенные учреждения Ханты-Мансийского автономного округа - Югры центры занятости населения.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В 2014 году данную услугу получили</w:t>
            </w:r>
            <w:r w:rsidR="00F9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14168 подрост</w:t>
            </w:r>
            <w:r w:rsidR="00506A0C">
              <w:rPr>
                <w:rFonts w:ascii="Times New Roman" w:hAnsi="Times New Roman" w:cs="Times New Roman"/>
                <w:sz w:val="24"/>
                <w:szCs w:val="24"/>
              </w:rPr>
              <w:t>ков в возрасте от 14 до 18 лет</w:t>
            </w:r>
            <w:r w:rsidR="00F9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в т.ч. доля состоящих на учете в комиссии по делам несовершеннолетних составила</w:t>
            </w:r>
            <w:r w:rsidR="0050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2,4 % или 336 чел. 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Для максимального учета особенностей работы с различными группами,  а так же целью интеграции подростков на рынке труда и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безработицы и правонарушений Департаментом труда и занятости населения Ханты-Мансийского автономного округа – Югры разработан проект «Выбор за тобой!».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«Выбор за тобой!» включает в себя комплекс мероприятий по профессиональной ориентации агитационной и информационной направленности, способствующих выбору будущей профессии 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учащимися общеобразовательных организаций Ханты-Мансийского автономного округа – Югры.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позволяют выйти за временные рамки и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предоставления государственной услуги, дают возможность участникам проекта составить наиболее точный и эффективный профплан реализации своих возможностей и амбиций в условиях современного рынка труда.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В 2014 году в различных мероприятиях Проекта «Выбор за тобой!» приняли участие 592 подростка, состоящих на учете в КДН.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«Выбор за тобой!» были проведены 229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67 классных часа;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55 бесед, лекций, элективных курсов и круглых столов;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42 экскурсии на предприятия, в том числе с целью посещения конкурсов Профессионального мастерства, проведение лабораторных опытов. Например ООО «Когалымское управление технологического транспорта», Южно-Балыкский газоперерабатывающий завод филиал ОАО «СибурТюментГаз», МАУ «Телерадиокомпания Пыть-Яхинформ», ООО «ГазпромтрансгазЮгорск», ООО СХ «Северстрой-инвест» г. Белоярский, ТПП «Повхнефтегаз» и   Нефтеперерабатывающий завод ТПП «Когалымнефтегаз» г. Когалым, ООО «РИМЕРА-СЕРВИС» Филиал «РИМЕРА-СЕРВИС-Нижневартовск» и ЗАО «Нижневартовскстройдеталь»  г. Нижневартовск, Покачевская и Когалымская городские больницы, Почта России и ОФПС -71 (Пожарная часть) г. Урай.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26 профессиональных проб на территории не только учебных заведений, но и непосредственно у работодателей. Например, налоговой инспекции, архиве, мировом и городском судах г. Мегиона.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14 профориентационных игр, таких как «Рынок профессий», «Лучший мотив», «Мир профессий», «Рынок труда: Вопросы и ответы» и т.д.</w:t>
            </w:r>
          </w:p>
          <w:p w:rsidR="006E1902" w:rsidRPr="006E1902" w:rsidRDefault="006E1902" w:rsidP="006E19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14 выставок и конкурсов рисунков и фотографий, в том числе и среди самых маленьких участников проекта.</w:t>
            </w:r>
          </w:p>
          <w:p w:rsidR="00DC3F7F" w:rsidRPr="007D4887" w:rsidRDefault="006E1902" w:rsidP="007D48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11 тренингов на темы «Мои жизненные и профессиональные темы», «Образ моей карьеры», «Лифт в будущее», «Как выбирать профессию», «Все профессии нужны - все профессии важны».</w:t>
            </w:r>
          </w:p>
        </w:tc>
      </w:tr>
      <w:tr w:rsidR="006E1160" w:rsidRPr="006E1902" w:rsidTr="00C94D2B">
        <w:tc>
          <w:tcPr>
            <w:tcW w:w="568" w:type="dxa"/>
          </w:tcPr>
          <w:p w:rsidR="006E1160" w:rsidRPr="006E1902" w:rsidRDefault="006E1160" w:rsidP="006E1160">
            <w:pPr>
              <w:spacing w:line="240" w:lineRule="auto"/>
              <w:ind w:right="-141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2.7.</w:t>
            </w:r>
          </w:p>
        </w:tc>
        <w:tc>
          <w:tcPr>
            <w:tcW w:w="3402" w:type="dxa"/>
          </w:tcPr>
          <w:p w:rsidR="006E1160" w:rsidRPr="006E1902" w:rsidRDefault="006E1160" w:rsidP="006E1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временного трудоустройства несовершеннолетних, совершивших противоправные действия, в досудебный период – как одна из мер по предупреждению совершения повторного деяния.</w:t>
            </w:r>
          </w:p>
        </w:tc>
        <w:tc>
          <w:tcPr>
            <w:tcW w:w="1984" w:type="dxa"/>
          </w:tcPr>
          <w:p w:rsidR="006E1160" w:rsidRPr="006E1902" w:rsidRDefault="006E1160" w:rsidP="006E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1701" w:type="dxa"/>
          </w:tcPr>
          <w:p w:rsidR="006E1160" w:rsidRPr="006E1902" w:rsidRDefault="00FC0D42" w:rsidP="006E1160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до 20 января 2015 года</w:t>
            </w:r>
          </w:p>
          <w:p w:rsidR="00FC0D42" w:rsidRPr="006E1902" w:rsidRDefault="00FC0D42" w:rsidP="006E1160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(результаты работы в 2014 году);</w:t>
            </w:r>
          </w:p>
          <w:p w:rsidR="00FC0D42" w:rsidRPr="006E1902" w:rsidRDefault="00FC0D42" w:rsidP="006E1160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 xml:space="preserve">до 30 декабря 2015 года </w:t>
            </w:r>
          </w:p>
          <w:p w:rsidR="00FC0D42" w:rsidRPr="006E1902" w:rsidRDefault="00FC0D42" w:rsidP="00FC0D42">
            <w:pPr>
              <w:pStyle w:val="a3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6E1902">
              <w:rPr>
                <w:color w:val="000000"/>
                <w:sz w:val="24"/>
              </w:rPr>
              <w:t>(результаты работы в 2015 году)</w:t>
            </w:r>
          </w:p>
        </w:tc>
        <w:tc>
          <w:tcPr>
            <w:tcW w:w="7513" w:type="dxa"/>
          </w:tcPr>
          <w:p w:rsidR="00DC3F7F" w:rsidRPr="006E1902" w:rsidRDefault="006E1160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4D2B"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F7F" w:rsidRPr="006E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Органами службы занятости населения оказывается адресное содействие трудоустройству несовершеннолетним, находящимся в социально опасном положении или иной трудной жизненной ситуации, в том числе состоящим на профилактических учётах в подразделения по делам несовершеннолетних и защите их прав, совершившим противоправные действия.</w:t>
            </w:r>
          </w:p>
          <w:p w:rsidR="006E1902" w:rsidRPr="006E1902" w:rsidRDefault="006E1902" w:rsidP="006E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     С указанными несовершеннолетними в рамках заключенных соглашений о взаимодействии между центрами занятости населения и подразделениями по делам несовершеннолетних (с территориальными комиссиями по делам несовершеннолетних и защите их прав, с органами внутренних дел муниципальных образований автономного округа) проводится индивидуальная профилактическая работа, со стороны органов службы занятости населения проводится адресная работа по вовлечению несовершеннолетних в трудовую деятельность. Подразделениями по делам несовершеннолетних в адрес центров занятости населения в постоянном режиме направляются списки несовершеннолетних, состоящих на профилактических учётах, в том числе совершивших противоправные действия.</w:t>
            </w:r>
          </w:p>
          <w:p w:rsidR="00506A0C" w:rsidRDefault="00DC3F7F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      В 2014 году центрами занятости населения было трудоустроено: </w:t>
            </w:r>
            <w:r w:rsidR="00506A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6A0C" w:rsidRDefault="00506A0C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624 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72F" w:rsidRPr="006E1902">
              <w:rPr>
                <w:rFonts w:ascii="Times New Roman" w:hAnsi="Times New Roman" w:cs="Times New Roman"/>
                <w:sz w:val="24"/>
                <w:szCs w:val="24"/>
              </w:rPr>
              <w:t>состоящих на учёте в комиссиях по делам несовершеннолетних и защите их прав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, совершивших противоправные действия</w:t>
            </w:r>
            <w:r w:rsidR="0077272F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90,0% от общей численности клиентов центров занятости населения указанной категории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605 человек на временное трудоустройство в свободное от учёбы время, 19 человек – на 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общественные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F7F" w:rsidRPr="006E1902" w:rsidRDefault="00506A0C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196 человек из числа состоящих на учёте в органах внутренних дел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, совершивших противоправные действия (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90,3% от общей численности клиентов центров занятости населения указанной категории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187 человек на временное трудоустройство в свободное от учёбы время, 9 человек – на 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общественные работы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2E59CF" w:rsidRDefault="006E1902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числа трудоустроенных несовершеннолетних 36 человек</w:t>
            </w:r>
            <w:r w:rsidR="00B54C34">
              <w:rPr>
                <w:rFonts w:ascii="Times New Roman" w:hAnsi="Times New Roman" w:cs="Times New Roman"/>
                <w:sz w:val="24"/>
                <w:szCs w:val="24"/>
              </w:rPr>
              <w:t xml:space="preserve"> были трудоустроены </w:t>
            </w:r>
            <w:r w:rsidR="00B54C34" w:rsidRPr="006E1902">
              <w:rPr>
                <w:rFonts w:ascii="Times New Roman" w:hAnsi="Times New Roman" w:cs="Times New Roman"/>
                <w:sz w:val="24"/>
                <w:szCs w:val="24"/>
              </w:rPr>
              <w:t>в досудебный период</w:t>
            </w:r>
            <w:r w:rsidR="00B54C34" w:rsidRPr="006E190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  <w:r w:rsidR="00B54C34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C34" w:rsidRPr="006E1902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54C34" w:rsidRPr="006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 человека на общественные работы и 34 человека на временное трудоустройство для несовершеннолетних граждан в свободное от учёбы время</w:t>
            </w:r>
            <w:r w:rsidR="00B54C34" w:rsidRPr="006E1902">
              <w:rPr>
                <w:rStyle w:val="ab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customMarkFollows="1" w:id="3"/>
              <w:t>**</w:t>
            </w:r>
            <w:r w:rsidR="00B54C34" w:rsidRPr="006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E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F7F" w:rsidRPr="006E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E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DC3F7F" w:rsidRPr="006E1902" w:rsidRDefault="002E59CF" w:rsidP="00DC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C3F7F" w:rsidRPr="006E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органов службы занятости населения в реализации мероприятий по вовлечению несовершеннолетних в трудовую деятельность 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на стадии досудебного разбирательства способствует формированию у несовершеннолетнего трудовых навыков, занятости в свободное время, профилактике правонарушений, совершения повторных противоправных де</w:t>
            </w:r>
            <w:r w:rsidR="0077272F">
              <w:rPr>
                <w:rFonts w:ascii="Times New Roman" w:hAnsi="Times New Roman" w:cs="Times New Roman"/>
                <w:sz w:val="24"/>
                <w:szCs w:val="24"/>
              </w:rPr>
              <w:t>йствий</w:t>
            </w:r>
            <w:r w:rsidR="00DC3F7F" w:rsidRPr="006E1902">
              <w:rPr>
                <w:rFonts w:ascii="Times New Roman" w:hAnsi="Times New Roman" w:cs="Times New Roman"/>
                <w:sz w:val="24"/>
                <w:szCs w:val="24"/>
              </w:rPr>
              <w:t>. Участие несовершеннолетних в мероприятиях органов службы занятости населения может способствовать к вынесению смягчающего обстоятельства при судебных разбирательствах. В 2014 году в отношении 44,4 % дел или                                          16 трудоустроенных при содействии центров занятости граждан было принято решение о прекращении судебных разбирательств в связи с применением сторон.</w:t>
            </w:r>
          </w:p>
          <w:p w:rsidR="00B54C34" w:rsidRPr="006E1902" w:rsidRDefault="00B54C34" w:rsidP="007D4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F1A" w:rsidRPr="00DC3F7F" w:rsidRDefault="00667F1A" w:rsidP="00DC3F7F">
      <w:pPr>
        <w:rPr>
          <w:rFonts w:ascii="Times New Roman" w:hAnsi="Times New Roman" w:cs="Times New Roman"/>
          <w:sz w:val="24"/>
          <w:szCs w:val="24"/>
        </w:rPr>
      </w:pPr>
    </w:p>
    <w:sectPr w:rsidR="00667F1A" w:rsidRPr="00DC3F7F" w:rsidSect="00802FA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61" w:rsidRDefault="000E5361" w:rsidP="00C94D2B">
      <w:pPr>
        <w:spacing w:after="0" w:line="240" w:lineRule="auto"/>
      </w:pPr>
      <w:r>
        <w:separator/>
      </w:r>
    </w:p>
  </w:endnote>
  <w:endnote w:type="continuationSeparator" w:id="1">
    <w:p w:rsidR="000E5361" w:rsidRDefault="000E5361" w:rsidP="00C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61" w:rsidRDefault="000E5361" w:rsidP="00C94D2B">
      <w:pPr>
        <w:spacing w:after="0" w:line="240" w:lineRule="auto"/>
      </w:pPr>
      <w:r>
        <w:separator/>
      </w:r>
    </w:p>
  </w:footnote>
  <w:footnote w:type="continuationSeparator" w:id="1">
    <w:p w:rsidR="000E5361" w:rsidRDefault="000E5361" w:rsidP="00C94D2B">
      <w:pPr>
        <w:spacing w:after="0" w:line="240" w:lineRule="auto"/>
      </w:pPr>
      <w:r>
        <w:continuationSeparator/>
      </w:r>
    </w:p>
  </w:footnote>
  <w:footnote w:id="2">
    <w:p w:rsidR="00B54C34" w:rsidRPr="00FB39A9" w:rsidRDefault="00B54C34" w:rsidP="00B54C34">
      <w:pPr>
        <w:pStyle w:val="a9"/>
        <w:jc w:val="both"/>
        <w:rPr>
          <w:rFonts w:ascii="Times New Roman" w:hAnsi="Times New Roman" w:cs="Times New Roman"/>
        </w:rPr>
      </w:pPr>
      <w:r w:rsidRPr="00FB39A9">
        <w:rPr>
          <w:rStyle w:val="ab"/>
          <w:rFonts w:ascii="Times New Roman" w:hAnsi="Times New Roman" w:cs="Times New Roman"/>
        </w:rPr>
        <w:t>*</w:t>
      </w:r>
      <w:r w:rsidRPr="00FB39A9">
        <w:rPr>
          <w:rFonts w:ascii="Times New Roman" w:hAnsi="Times New Roman" w:cs="Times New Roman"/>
        </w:rPr>
        <w:t xml:space="preserve"> отнесени</w:t>
      </w:r>
      <w:r>
        <w:rPr>
          <w:rFonts w:ascii="Times New Roman" w:hAnsi="Times New Roman" w:cs="Times New Roman"/>
        </w:rPr>
        <w:t>е</w:t>
      </w:r>
      <w:r w:rsidRPr="00FB39A9">
        <w:rPr>
          <w:rFonts w:ascii="Times New Roman" w:hAnsi="Times New Roman" w:cs="Times New Roman"/>
        </w:rPr>
        <w:t xml:space="preserve"> граждан к указанной категории </w:t>
      </w:r>
      <w:r>
        <w:rPr>
          <w:rFonts w:ascii="Times New Roman" w:hAnsi="Times New Roman" w:cs="Times New Roman"/>
        </w:rPr>
        <w:t>осуществлялось центрами занятости населения</w:t>
      </w:r>
      <w:r w:rsidRPr="00FB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информации, представленной органами внутренних дел.</w:t>
      </w:r>
    </w:p>
  </w:footnote>
  <w:footnote w:id="3">
    <w:p w:rsidR="00B54C34" w:rsidRDefault="00B54C34" w:rsidP="00B54C34">
      <w:pPr>
        <w:pStyle w:val="a9"/>
        <w:jc w:val="both"/>
      </w:pPr>
      <w:r w:rsidRPr="00FB39A9">
        <w:rPr>
          <w:rStyle w:val="ab"/>
          <w:rFonts w:ascii="Times New Roman" w:hAnsi="Times New Roman" w:cs="Times New Roman"/>
        </w:rPr>
        <w:t>**</w:t>
      </w:r>
      <w:r w:rsidRPr="00FB39A9">
        <w:rPr>
          <w:rFonts w:ascii="Times New Roman" w:hAnsi="Times New Roman" w:cs="Times New Roman"/>
        </w:rPr>
        <w:t xml:space="preserve"> при этом четверым гражданам услуга по временному трудоустройству в свободное от учёбы время предоставлена дважды, двоим гражданам </w:t>
      </w:r>
      <w:r>
        <w:rPr>
          <w:rFonts w:ascii="Times New Roman" w:hAnsi="Times New Roman" w:cs="Times New Roman"/>
        </w:rPr>
        <w:t>–</w:t>
      </w:r>
      <w:r w:rsidRPr="00FB39A9">
        <w:rPr>
          <w:rFonts w:ascii="Times New Roman" w:hAnsi="Times New Roman" w:cs="Times New Roman"/>
        </w:rPr>
        <w:t xml:space="preserve"> трижды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5966"/>
      <w:docPartObj>
        <w:docPartGallery w:val="Page Numbers (Top of Page)"/>
        <w:docPartUnique/>
      </w:docPartObj>
    </w:sdtPr>
    <w:sdtContent>
      <w:p w:rsidR="00802FAE" w:rsidRDefault="00875181">
        <w:pPr>
          <w:pStyle w:val="ac"/>
          <w:jc w:val="center"/>
        </w:pPr>
        <w:fldSimple w:instr=" PAGE   \* MERGEFORMAT ">
          <w:r w:rsidR="007D4887">
            <w:rPr>
              <w:noProof/>
            </w:rPr>
            <w:t>2</w:t>
          </w:r>
        </w:fldSimple>
      </w:p>
    </w:sdtContent>
  </w:sdt>
  <w:p w:rsidR="00802FAE" w:rsidRDefault="00802FA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160"/>
    <w:rsid w:val="00076AE5"/>
    <w:rsid w:val="000E5361"/>
    <w:rsid w:val="0026468C"/>
    <w:rsid w:val="002E59CF"/>
    <w:rsid w:val="00323FA1"/>
    <w:rsid w:val="0038037E"/>
    <w:rsid w:val="003D02BC"/>
    <w:rsid w:val="004F49A8"/>
    <w:rsid w:val="00506A0C"/>
    <w:rsid w:val="00641230"/>
    <w:rsid w:val="00667F1A"/>
    <w:rsid w:val="006E1160"/>
    <w:rsid w:val="006E1902"/>
    <w:rsid w:val="0077272F"/>
    <w:rsid w:val="007A1C1D"/>
    <w:rsid w:val="007D4887"/>
    <w:rsid w:val="00802FAE"/>
    <w:rsid w:val="00875181"/>
    <w:rsid w:val="00886846"/>
    <w:rsid w:val="0095643F"/>
    <w:rsid w:val="00A26DAA"/>
    <w:rsid w:val="00B43FF4"/>
    <w:rsid w:val="00B54C34"/>
    <w:rsid w:val="00C77080"/>
    <w:rsid w:val="00C94D2B"/>
    <w:rsid w:val="00DA3B6B"/>
    <w:rsid w:val="00DC3F7F"/>
    <w:rsid w:val="00DD2D8E"/>
    <w:rsid w:val="00ED4173"/>
    <w:rsid w:val="00EF6919"/>
    <w:rsid w:val="00F933EB"/>
    <w:rsid w:val="00FC0D42"/>
    <w:rsid w:val="00FE022C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11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11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6E11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1160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94D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D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4D2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2FAE"/>
  </w:style>
  <w:style w:type="paragraph" w:styleId="ae">
    <w:name w:val="footer"/>
    <w:basedOn w:val="a"/>
    <w:link w:val="af"/>
    <w:uiPriority w:val="99"/>
    <w:semiHidden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2FAE"/>
  </w:style>
  <w:style w:type="character" w:customStyle="1" w:styleId="level2">
    <w:name w:val="level2"/>
    <w:basedOn w:val="a0"/>
    <w:rsid w:val="00B5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373">
          <w:marLeft w:val="0"/>
          <w:marRight w:val="0"/>
          <w:marTop w:val="0"/>
          <w:marBottom w:val="0"/>
          <w:divBdr>
            <w:top w:val="single" w:sz="2" w:space="0" w:color="C4C7CC"/>
            <w:left w:val="single" w:sz="4" w:space="0" w:color="C4C7CC"/>
            <w:bottom w:val="single" w:sz="2" w:space="0" w:color="C4C7CC"/>
            <w:right w:val="single" w:sz="4" w:space="0" w:color="C4C7CC"/>
          </w:divBdr>
          <w:divsChild>
            <w:div w:id="102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4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Болтасева Галина Александровна</dc:creator>
  <cp:lastModifiedBy>Болтасева Галина Александровна</cp:lastModifiedBy>
  <cp:revision>2</cp:revision>
  <cp:lastPrinted>2015-01-20T04:47:00Z</cp:lastPrinted>
  <dcterms:created xsi:type="dcterms:W3CDTF">2015-12-01T05:12:00Z</dcterms:created>
  <dcterms:modified xsi:type="dcterms:W3CDTF">2015-12-01T05:12:00Z</dcterms:modified>
</cp:coreProperties>
</file>